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4148"/>
        <w:rPr>
          <w:sz w:val="20"/>
        </w:rPr>
      </w:pPr>
      <w:r>
        <w:rPr>
          <w:sz w:val="20"/>
        </w:rPr>
        <w:drawing>
          <wp:inline distT="0" distB="0" distL="0" distR="0">
            <wp:extent cx="705172" cy="846962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72" cy="846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tabs>
          <w:tab w:pos="2703" w:val="left" w:leader="none"/>
          <w:tab w:pos="5521" w:val="left" w:leader="none"/>
        </w:tabs>
        <w:spacing w:before="118"/>
        <w:ind w:left="13" w:right="0" w:firstLine="0"/>
        <w:jc w:val="center"/>
        <w:rPr>
          <w:b/>
          <w:sz w:val="40"/>
        </w:rPr>
      </w:pPr>
      <w:bookmarkStart w:name="5082-redactat-ro" w:id="1"/>
      <w:bookmarkEnd w:id="1"/>
      <w:r>
        <w:rPr/>
      </w:r>
      <w:r>
        <w:rPr>
          <w:b/>
          <w:spacing w:val="16"/>
          <w:sz w:val="40"/>
        </w:rPr>
        <w:t>GUVERNUL</w:t>
        <w:tab/>
      </w:r>
      <w:r>
        <w:rPr>
          <w:b/>
          <w:spacing w:val="17"/>
          <w:sz w:val="40"/>
        </w:rPr>
        <w:t>REPUBLICII</w:t>
        <w:tab/>
      </w:r>
      <w:r>
        <w:rPr>
          <w:b/>
          <w:spacing w:val="19"/>
          <w:sz w:val="40"/>
        </w:rPr>
        <w:t>MOLDOVA</w:t>
      </w:r>
    </w:p>
    <w:p>
      <w:pPr>
        <w:pStyle w:val="Heading1"/>
        <w:ind w:left="12"/>
      </w:pPr>
      <w:r>
        <w:rPr>
          <w:spacing w:val="26"/>
        </w:rPr>
        <w:t>HOT</w:t>
      </w:r>
      <w:r>
        <w:rPr>
          <w:spacing w:val="-40"/>
        </w:rPr>
        <w:t> </w:t>
      </w:r>
      <w:r>
        <w:rPr/>
        <w:t>Ă R Â R E nr.179</w:t>
      </w:r>
    </w:p>
    <w:p>
      <w:pPr>
        <w:spacing w:before="233"/>
        <w:ind w:left="12" w:right="0" w:firstLine="0"/>
        <w:jc w:val="center"/>
        <w:rPr>
          <w:b/>
          <w:sz w:val="28"/>
        </w:rPr>
      </w:pPr>
      <w:r>
        <w:rPr>
          <w:b/>
          <w:sz w:val="28"/>
          <w:u w:val="thick"/>
        </w:rPr>
        <w:t>din 25 martie 2020</w:t>
      </w:r>
    </w:p>
    <w:p>
      <w:pPr>
        <w:spacing w:before="119"/>
        <w:ind w:left="13" w:right="0" w:firstLine="0"/>
        <w:jc w:val="center"/>
        <w:rPr>
          <w:b/>
          <w:sz w:val="24"/>
        </w:rPr>
      </w:pPr>
      <w:r>
        <w:rPr>
          <w:b/>
          <w:sz w:val="24"/>
        </w:rPr>
        <w:t>Chișinău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0"/>
        </w:rPr>
      </w:pPr>
    </w:p>
    <w:p>
      <w:pPr>
        <w:pStyle w:val="Heading2"/>
        <w:spacing w:before="89"/>
        <w:ind w:left="2018" w:right="2004"/>
      </w:pPr>
      <w:r>
        <w:rPr/>
        <w:t>Privind aprobarea proiectului de lege pentru modificarea unor acte normative</w:t>
      </w:r>
    </w:p>
    <w:p>
      <w:pPr>
        <w:spacing w:line="321" w:lineRule="exact" w:before="0"/>
        <w:ind w:left="2181" w:right="0" w:firstLine="0"/>
        <w:jc w:val="left"/>
        <w:rPr>
          <w:b/>
          <w:sz w:val="28"/>
        </w:rPr>
      </w:pPr>
      <w:r>
        <w:rPr>
          <w:b/>
          <w:sz w:val="28"/>
        </w:rPr>
        <w:t>------------------------------------------------------</w:t>
      </w:r>
    </w:p>
    <w:p>
      <w:pPr>
        <w:pStyle w:val="BodyText"/>
        <w:spacing w:before="11"/>
        <w:rPr>
          <w:b/>
          <w:sz w:val="27"/>
        </w:rPr>
      </w:pPr>
    </w:p>
    <w:p>
      <w:pPr>
        <w:pStyle w:val="BodyText"/>
        <w:ind w:left="842"/>
      </w:pPr>
      <w:r>
        <w:rPr/>
        <w:t>Guvernul HOTĂRĂŞTE: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spacing w:line="242" w:lineRule="auto"/>
        <w:ind w:left="134" w:firstLine="707"/>
      </w:pPr>
      <w:r>
        <w:rPr/>
        <w:t>Se aprobă și se prezintă Parlamentului spre examinare proiectul de lege pentru modificarea unor acte normative.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Heading2"/>
        <w:tabs>
          <w:tab w:pos="6614" w:val="left" w:leader="none"/>
        </w:tabs>
        <w:spacing w:before="1"/>
        <w:ind w:left="842"/>
        <w:jc w:val="left"/>
      </w:pPr>
      <w:r>
        <w:rPr/>
        <w:t>Prim-ministru</w:t>
        <w:tab/>
        <w:t>ION</w:t>
      </w:r>
      <w:r>
        <w:rPr>
          <w:spacing w:val="-3"/>
        </w:rPr>
        <w:t> </w:t>
      </w:r>
      <w:r>
        <w:rPr/>
        <w:t>CHICU</w:t>
      </w:r>
    </w:p>
    <w:p>
      <w:pPr>
        <w:pStyle w:val="BodyText"/>
        <w:rPr>
          <w:b/>
          <w:sz w:val="30"/>
        </w:rPr>
      </w:pPr>
    </w:p>
    <w:p>
      <w:pPr>
        <w:pStyle w:val="BodyText"/>
        <w:spacing w:before="1"/>
        <w:rPr>
          <w:b/>
          <w:sz w:val="26"/>
        </w:rPr>
      </w:pPr>
    </w:p>
    <w:p>
      <w:pPr>
        <w:pStyle w:val="BodyText"/>
        <w:ind w:left="842"/>
      </w:pPr>
      <w:r>
        <w:rPr/>
        <w:t>Contrasemnează: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spacing w:line="322" w:lineRule="exact"/>
        <w:ind w:left="842"/>
      </w:pPr>
      <w:r>
        <w:rPr/>
        <w:t>Ministrul sănătății,</w:t>
      </w:r>
    </w:p>
    <w:p>
      <w:pPr>
        <w:pStyle w:val="BodyText"/>
        <w:tabs>
          <w:tab w:pos="6614" w:val="left" w:leader="none"/>
        </w:tabs>
        <w:spacing w:line="322" w:lineRule="exact"/>
        <w:ind w:left="842"/>
      </w:pPr>
      <w:r>
        <w:rPr/>
        <w:t>muncii și</w:t>
      </w:r>
      <w:r>
        <w:rPr>
          <w:spacing w:val="-2"/>
        </w:rPr>
        <w:t> </w:t>
      </w:r>
      <w:r>
        <w:rPr/>
        <w:t>protecţiei</w:t>
      </w:r>
      <w:r>
        <w:rPr>
          <w:spacing w:val="-3"/>
        </w:rPr>
        <w:t> </w:t>
      </w:r>
      <w:r>
        <w:rPr/>
        <w:t>sociale</w:t>
        <w:tab/>
        <w:t>Viorica</w:t>
      </w:r>
      <w:r>
        <w:rPr>
          <w:spacing w:val="-2"/>
        </w:rPr>
        <w:t> </w:t>
      </w:r>
      <w:r>
        <w:rPr/>
        <w:t>Dumbrăveanu</w:t>
      </w:r>
    </w:p>
    <w:p>
      <w:pPr>
        <w:pStyle w:val="BodyText"/>
        <w:spacing w:before="11"/>
        <w:rPr>
          <w:sz w:val="27"/>
        </w:rPr>
      </w:pPr>
    </w:p>
    <w:p>
      <w:pPr>
        <w:pStyle w:val="BodyText"/>
        <w:tabs>
          <w:tab w:pos="6614" w:val="left" w:leader="none"/>
        </w:tabs>
        <w:ind w:left="842"/>
      </w:pPr>
      <w:r>
        <w:rPr/>
        <w:t>Ministrul</w:t>
      </w:r>
      <w:r>
        <w:rPr>
          <w:spacing w:val="-2"/>
        </w:rPr>
        <w:t> </w:t>
      </w:r>
      <w:r>
        <w:rPr/>
        <w:t>justiţiei</w:t>
        <w:tab/>
        <w:t>Fadei</w:t>
      </w:r>
      <w:r>
        <w:rPr>
          <w:spacing w:val="-1"/>
        </w:rPr>
        <w:t> </w:t>
      </w:r>
      <w:r>
        <w:rPr/>
        <w:t>Nagacevschi</w:t>
      </w:r>
    </w:p>
    <w:p>
      <w:pPr>
        <w:spacing w:after="0"/>
        <w:sectPr>
          <w:footerReference w:type="default" r:id="rId5"/>
          <w:type w:val="continuous"/>
          <w:pgSz w:w="11910" w:h="16850"/>
          <w:pgMar w:footer="829" w:top="1200" w:bottom="1020" w:left="1680" w:right="8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</w:pPr>
    </w:p>
    <w:p>
      <w:pPr>
        <w:pStyle w:val="BodyText"/>
        <w:spacing w:before="89"/>
        <w:ind w:left="842"/>
      </w:pPr>
      <w:r>
        <w:rPr/>
        <w:t>Vizează:</w:t>
      </w:r>
    </w:p>
    <w:p>
      <w:pPr>
        <w:pStyle w:val="BodyText"/>
        <w:rPr>
          <w:sz w:val="3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tabs>
          <w:tab w:pos="7334" w:val="left" w:leader="none"/>
        </w:tabs>
        <w:ind w:left="842"/>
      </w:pPr>
      <w:r>
        <w:rPr/>
        <w:t>Secretar general</w:t>
      </w:r>
      <w:r>
        <w:rPr>
          <w:spacing w:val="-6"/>
        </w:rPr>
        <w:t> </w:t>
      </w:r>
      <w:r>
        <w:rPr/>
        <w:t>al</w:t>
      </w:r>
      <w:r>
        <w:rPr>
          <w:spacing w:val="-2"/>
        </w:rPr>
        <w:t> </w:t>
      </w:r>
      <w:r>
        <w:rPr/>
        <w:t>Guvernului</w:t>
        <w:tab/>
        <w:t>Liliana</w:t>
      </w:r>
      <w:r>
        <w:rPr>
          <w:spacing w:val="-2"/>
        </w:rPr>
        <w:t> </w:t>
      </w:r>
      <w:r>
        <w:rPr/>
        <w:t>IACONI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251"/>
        <w:ind w:left="842"/>
      </w:pPr>
      <w:r>
        <w:rPr/>
        <w:t>Aprobată în şedinţa Guvernului</w:t>
      </w:r>
    </w:p>
    <w:p>
      <w:pPr>
        <w:pStyle w:val="BodyText"/>
        <w:spacing w:before="2"/>
        <w:ind w:left="842"/>
      </w:pPr>
      <w:r>
        <w:rPr/>
        <w:t>din</w:t>
      </w:r>
    </w:p>
    <w:p>
      <w:pPr>
        <w:spacing w:after="0"/>
        <w:sectPr>
          <w:headerReference w:type="default" r:id="rId7"/>
          <w:pgSz w:w="11910" w:h="16850"/>
          <w:pgMar w:header="1142" w:footer="829" w:top="1360" w:bottom="1020" w:left="1680" w:right="840"/>
          <w:pgNumType w:start="2"/>
        </w:sectPr>
      </w:pPr>
    </w:p>
    <w:p>
      <w:pPr>
        <w:pStyle w:val="BodyText"/>
        <w:spacing w:before="3"/>
        <w:rPr>
          <w:sz w:val="12"/>
        </w:rPr>
      </w:pPr>
    </w:p>
    <w:p>
      <w:pPr>
        <w:spacing w:before="89"/>
        <w:ind w:left="0" w:right="119" w:firstLine="0"/>
        <w:jc w:val="right"/>
        <w:rPr>
          <w:i/>
          <w:sz w:val="28"/>
        </w:rPr>
      </w:pPr>
      <w:r>
        <w:rPr>
          <w:i/>
          <w:sz w:val="28"/>
        </w:rPr>
        <w:t>Proiect</w:t>
      </w:r>
    </w:p>
    <w:p>
      <w:pPr>
        <w:pStyle w:val="BodyText"/>
        <w:spacing w:before="2"/>
        <w:rPr>
          <w:i/>
          <w:sz w:val="20"/>
        </w:rPr>
      </w:pPr>
    </w:p>
    <w:p>
      <w:pPr>
        <w:pStyle w:val="Heading2"/>
        <w:spacing w:before="89"/>
        <w:ind w:left="8"/>
      </w:pPr>
      <w:r>
        <w:rPr/>
        <w:t>PARLAMENTUL REPUBLICII MOLDOVA</w:t>
      </w:r>
    </w:p>
    <w:p>
      <w:pPr>
        <w:pStyle w:val="BodyText"/>
        <w:spacing w:before="2"/>
        <w:rPr>
          <w:b/>
        </w:rPr>
      </w:pPr>
    </w:p>
    <w:p>
      <w:pPr>
        <w:spacing w:line="322" w:lineRule="exact" w:before="0"/>
        <w:ind w:left="14" w:right="0" w:firstLine="0"/>
        <w:jc w:val="center"/>
        <w:rPr>
          <w:b/>
          <w:sz w:val="28"/>
        </w:rPr>
      </w:pPr>
      <w:r>
        <w:rPr>
          <w:b/>
          <w:sz w:val="28"/>
        </w:rPr>
        <w:t>LEGE</w:t>
      </w:r>
    </w:p>
    <w:p>
      <w:pPr>
        <w:spacing w:line="322" w:lineRule="exact" w:before="0"/>
        <w:ind w:left="12" w:right="0" w:firstLine="0"/>
        <w:jc w:val="center"/>
        <w:rPr>
          <w:b/>
          <w:sz w:val="28"/>
        </w:rPr>
      </w:pPr>
      <w:r>
        <w:rPr>
          <w:b/>
          <w:sz w:val="28"/>
        </w:rPr>
        <w:t>pentru modificarea unor acte normative</w:t>
      </w:r>
    </w:p>
    <w:p>
      <w:pPr>
        <w:pStyle w:val="BodyText"/>
        <w:spacing w:before="11"/>
        <w:rPr>
          <w:b/>
          <w:sz w:val="27"/>
        </w:rPr>
      </w:pPr>
    </w:p>
    <w:p>
      <w:pPr>
        <w:pStyle w:val="BodyText"/>
        <w:ind w:left="842"/>
      </w:pPr>
      <w:r>
        <w:rPr/>
        <w:t>Parlamentul adoptă prezenta lege organică.</w:t>
      </w:r>
    </w:p>
    <w:p>
      <w:pPr>
        <w:pStyle w:val="BodyText"/>
        <w:spacing w:before="6"/>
        <w:rPr>
          <w:sz w:val="27"/>
        </w:rPr>
      </w:pPr>
    </w:p>
    <w:p>
      <w:pPr>
        <w:pStyle w:val="BodyText"/>
        <w:spacing w:before="1"/>
        <w:ind w:left="134" w:right="117" w:firstLine="707"/>
        <w:jc w:val="both"/>
      </w:pPr>
      <w:r>
        <w:rPr>
          <w:b/>
        </w:rPr>
        <w:t>Art. I. </w:t>
      </w:r>
      <w:r>
        <w:rPr/>
        <w:t>– Articolul 215</w:t>
      </w:r>
      <w:r>
        <w:rPr>
          <w:position w:val="10"/>
          <w:sz w:val="18"/>
        </w:rPr>
        <w:t>1 </w:t>
      </w:r>
      <w:r>
        <w:rPr/>
        <w:t>din Codul de procedură penală al Republicii Moldova nr. 122/2003 (republicat în Monitorul Oficial al Republicii Moldova, 2013, nr. 248-251, art. 699), cu modificările ulterioare, se modifică după cum urmează:</w:t>
      </w:r>
    </w:p>
    <w:p>
      <w:pPr>
        <w:pStyle w:val="BodyText"/>
        <w:spacing w:line="317" w:lineRule="exact"/>
        <w:ind w:left="842"/>
      </w:pPr>
      <w:r>
        <w:rPr/>
        <w:t>se completează cu alineatul (3</w:t>
      </w:r>
      <w:r>
        <w:rPr>
          <w:position w:val="10"/>
          <w:sz w:val="18"/>
        </w:rPr>
        <w:t>1</w:t>
      </w:r>
      <w:r>
        <w:rPr/>
        <w:t>) cu următorul cuprins:</w:t>
      </w:r>
    </w:p>
    <w:p>
      <w:pPr>
        <w:pStyle w:val="BodyText"/>
        <w:ind w:left="134" w:right="118" w:firstLine="707"/>
        <w:jc w:val="both"/>
      </w:pPr>
      <w:r>
        <w:rPr/>
        <w:t>„(3</w:t>
      </w:r>
      <w:r>
        <w:rPr>
          <w:position w:val="10"/>
          <w:sz w:val="18"/>
        </w:rPr>
        <w:t>1</w:t>
      </w:r>
      <w:r>
        <w:rPr/>
        <w:t>) Măsurile de protecție prevăzute la alin. (3) lit. a)-d) se aplică în mod obligatoriu cu monitorizarea electronică, în modul prevăzut de lege.”;</w:t>
      </w:r>
    </w:p>
    <w:p>
      <w:pPr>
        <w:pStyle w:val="BodyText"/>
        <w:spacing w:line="320" w:lineRule="exact"/>
        <w:ind w:left="842"/>
      </w:pPr>
      <w:r>
        <w:rPr/>
        <w:t>se completează cu alineatul (4</w:t>
      </w:r>
      <w:r>
        <w:rPr>
          <w:position w:val="10"/>
          <w:sz w:val="18"/>
        </w:rPr>
        <w:t>1</w:t>
      </w:r>
      <w:r>
        <w:rPr/>
        <w:t>) cu următorul cuprins:</w:t>
      </w:r>
    </w:p>
    <w:p>
      <w:pPr>
        <w:pStyle w:val="BodyText"/>
        <w:ind w:left="134" w:right="118" w:firstLine="707"/>
        <w:jc w:val="both"/>
      </w:pPr>
      <w:r>
        <w:rPr/>
        <w:t>,,(4</w:t>
      </w:r>
      <w:r>
        <w:rPr>
          <w:position w:val="10"/>
          <w:sz w:val="18"/>
        </w:rPr>
        <w:t>1</w:t>
      </w:r>
      <w:r>
        <w:rPr/>
        <w:t>) Victima sau, după caz, membrii familiei acesteia, pot purta un sistem electronic de supraveghere care să permită verificarea respectării obligaţiei agresorului, exprimându-și acordul în formă scrisă.”;</w:t>
      </w:r>
    </w:p>
    <w:p>
      <w:pPr>
        <w:pStyle w:val="BodyText"/>
        <w:ind w:left="133" w:right="120" w:firstLine="708"/>
        <w:jc w:val="both"/>
      </w:pPr>
      <w:r>
        <w:rPr/>
        <w:t>alineatul (5) se completează cu propoziția ,,În cazul aplicării monitorizării electronice, ordonanţa de protecţie este expediată imediat și organului de probațiune de la locul aflării bănuitului, învinuitului, inculpatului şi a victimei.”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ind w:left="134" w:right="117" w:firstLine="707"/>
        <w:jc w:val="both"/>
      </w:pPr>
      <w:r>
        <w:rPr>
          <w:b/>
        </w:rPr>
        <w:t>Art. II. </w:t>
      </w:r>
      <w:r>
        <w:rPr/>
        <w:t>– Articolul 278</w:t>
      </w:r>
      <w:r>
        <w:rPr>
          <w:position w:val="10"/>
          <w:sz w:val="18"/>
        </w:rPr>
        <w:t>7 </w:t>
      </w:r>
      <w:r>
        <w:rPr/>
        <w:t>din Codul de procedură civilă al Republicii Moldova nr. 225/2003 (republicat în Monitorul Oficial al Republicii Moldova, 2018, nr. 285-294, art. 436), cu modificările ulterioare, se modifică după cum urmează:</w:t>
      </w:r>
    </w:p>
    <w:p>
      <w:pPr>
        <w:pStyle w:val="BodyText"/>
        <w:spacing w:line="318" w:lineRule="exact"/>
        <w:ind w:left="842"/>
      </w:pPr>
      <w:r>
        <w:rPr/>
        <w:t>se completează cu alineatele (2</w:t>
      </w:r>
      <w:r>
        <w:rPr>
          <w:position w:val="10"/>
          <w:sz w:val="18"/>
        </w:rPr>
        <w:t>1</w:t>
      </w:r>
      <w:r>
        <w:rPr/>
        <w:t>) și (2</w:t>
      </w:r>
      <w:r>
        <w:rPr>
          <w:position w:val="10"/>
          <w:sz w:val="18"/>
        </w:rPr>
        <w:t>2</w:t>
      </w:r>
      <w:r>
        <w:rPr/>
        <w:t>) cu următorul</w:t>
      </w:r>
      <w:r>
        <w:rPr>
          <w:spacing w:val="-24"/>
        </w:rPr>
        <w:t> </w:t>
      </w:r>
      <w:r>
        <w:rPr/>
        <w:t>cuprins:</w:t>
      </w:r>
    </w:p>
    <w:p>
      <w:pPr>
        <w:pStyle w:val="BodyText"/>
        <w:ind w:left="134" w:right="118" w:firstLine="707"/>
        <w:jc w:val="both"/>
      </w:pPr>
      <w:r>
        <w:rPr/>
        <w:t>„(2</w:t>
      </w:r>
      <w:r>
        <w:rPr>
          <w:position w:val="10"/>
          <w:sz w:val="18"/>
        </w:rPr>
        <w:t>1</w:t>
      </w:r>
      <w:r>
        <w:rPr/>
        <w:t>) Măsurile de protecție prevăzute la alin. (2) lit. a)-d) se aplică în mod obligatoriu cu monitorizarea electronică, în modul prevăzut de</w:t>
      </w:r>
      <w:r>
        <w:rPr>
          <w:spacing w:val="-9"/>
        </w:rPr>
        <w:t> </w:t>
      </w:r>
      <w:r>
        <w:rPr/>
        <w:t>lege.</w:t>
      </w:r>
    </w:p>
    <w:p>
      <w:pPr>
        <w:pStyle w:val="BodyText"/>
        <w:ind w:left="134" w:right="118" w:firstLine="708"/>
        <w:jc w:val="both"/>
      </w:pPr>
      <w:r>
        <w:rPr/>
        <w:t>(2</w:t>
      </w:r>
      <w:r>
        <w:rPr>
          <w:position w:val="10"/>
          <w:sz w:val="18"/>
        </w:rPr>
        <w:t>2</w:t>
      </w:r>
      <w:r>
        <w:rPr/>
        <w:t>) Victima sau, după caz, membrii familiei acesteia, pot purta un sistem electronic de supraveghere care să permită verificarea respectării obligaţiei agresorului, exprimându-și acordul în formă scrisă.”;</w:t>
      </w:r>
    </w:p>
    <w:p>
      <w:pPr>
        <w:pStyle w:val="BodyText"/>
        <w:spacing w:line="321" w:lineRule="exact"/>
        <w:ind w:left="841"/>
      </w:pPr>
      <w:r>
        <w:rPr/>
        <w:t>la alineatul (4), după cuvintele „ordonanţa de protecţie poliţiei” se introduc</w:t>
      </w:r>
    </w:p>
    <w:p>
      <w:pPr>
        <w:pStyle w:val="BodyText"/>
        <w:ind w:left="134"/>
      </w:pPr>
      <w:r>
        <w:rPr/>
        <w:t>cuvintele „ , organului de probațiune”.</w:t>
      </w:r>
    </w:p>
    <w:p>
      <w:pPr>
        <w:pStyle w:val="BodyText"/>
        <w:spacing w:before="8"/>
        <w:rPr>
          <w:sz w:val="26"/>
        </w:rPr>
      </w:pPr>
    </w:p>
    <w:p>
      <w:pPr>
        <w:pStyle w:val="BodyText"/>
        <w:ind w:left="134" w:right="118" w:firstLine="707"/>
        <w:jc w:val="both"/>
      </w:pPr>
      <w:r>
        <w:rPr>
          <w:b/>
        </w:rPr>
        <w:t>Art. III. </w:t>
      </w:r>
      <w:r>
        <w:rPr/>
        <w:t>– La articolul 271</w:t>
      </w:r>
      <w:r>
        <w:rPr>
          <w:position w:val="10"/>
          <w:sz w:val="18"/>
        </w:rPr>
        <w:t>1 </w:t>
      </w:r>
      <w:r>
        <w:rPr/>
        <w:t>din Codul de executare al Republicii Moldova nr. 443/2004 (republicat în Monitorul Oficial al Republicii Moldova, 2010, nr. 214-220, art. 704), cu modificările ulterioare, alineatul (7) va avea următorul cuprins:</w:t>
      </w:r>
    </w:p>
    <w:p>
      <w:pPr>
        <w:pStyle w:val="BodyText"/>
        <w:spacing w:before="1"/>
        <w:ind w:left="842"/>
      </w:pPr>
      <w:r>
        <w:rPr/>
        <w:t>„(7) Monitorizarea electronică poate fi aplicată şi:</w:t>
      </w:r>
    </w:p>
    <w:p>
      <w:pPr>
        <w:spacing w:after="0"/>
        <w:sectPr>
          <w:pgSz w:w="11910" w:h="16850"/>
          <w:pgMar w:header="1142" w:footer="829" w:top="1360" w:bottom="1020" w:left="1680" w:right="840"/>
        </w:sectPr>
      </w:pPr>
    </w:p>
    <w:p>
      <w:pPr>
        <w:pStyle w:val="BodyText"/>
        <w:spacing w:before="3"/>
        <w:rPr>
          <w:sz w:val="12"/>
        </w:rPr>
      </w:pPr>
    </w:p>
    <w:p>
      <w:pPr>
        <w:pStyle w:val="ListParagraph"/>
        <w:numPr>
          <w:ilvl w:val="0"/>
          <w:numId w:val="1"/>
        </w:numPr>
        <w:tabs>
          <w:tab w:pos="1268" w:val="left" w:leader="none"/>
        </w:tabs>
        <w:spacing w:line="240" w:lineRule="auto" w:before="89" w:after="0"/>
        <w:ind w:left="134" w:right="119" w:firstLine="708"/>
        <w:jc w:val="both"/>
        <w:rPr>
          <w:sz w:val="28"/>
        </w:rPr>
      </w:pPr>
      <w:r>
        <w:rPr>
          <w:sz w:val="28"/>
        </w:rPr>
        <w:t>condamnaților care se deplasează fără escortă sau însoţire şi/sau celor care se deplasează pe o durată scurtă de timp în afara penitenciarului, conform art. 216 şi</w:t>
      </w:r>
      <w:r>
        <w:rPr>
          <w:spacing w:val="-2"/>
          <w:sz w:val="28"/>
        </w:rPr>
        <w:t> </w:t>
      </w:r>
      <w:r>
        <w:rPr>
          <w:sz w:val="28"/>
        </w:rPr>
        <w:t>217;</w:t>
      </w:r>
    </w:p>
    <w:p>
      <w:pPr>
        <w:pStyle w:val="ListParagraph"/>
        <w:numPr>
          <w:ilvl w:val="0"/>
          <w:numId w:val="1"/>
        </w:numPr>
        <w:tabs>
          <w:tab w:pos="1268" w:val="left" w:leader="none"/>
        </w:tabs>
        <w:spacing w:line="322" w:lineRule="exact" w:before="2" w:after="0"/>
        <w:ind w:left="1267" w:right="0" w:hanging="425"/>
        <w:jc w:val="left"/>
        <w:rPr>
          <w:sz w:val="28"/>
        </w:rPr>
      </w:pPr>
      <w:r>
        <w:rPr>
          <w:sz w:val="28"/>
        </w:rPr>
        <w:t>persoanelor cărora le este aplicată o măsura preventivă cu</w:t>
      </w:r>
      <w:r>
        <w:rPr>
          <w:spacing w:val="63"/>
          <w:sz w:val="28"/>
        </w:rPr>
        <w:t> </w:t>
      </w:r>
      <w:r>
        <w:rPr>
          <w:sz w:val="28"/>
        </w:rPr>
        <w:t>stabilirea</w:t>
      </w:r>
    </w:p>
    <w:p>
      <w:pPr>
        <w:pStyle w:val="BodyText"/>
        <w:spacing w:line="322" w:lineRule="exact"/>
        <w:ind w:left="134"/>
      </w:pPr>
      <w:r>
        <w:rPr/>
        <w:t>anumitor obligaţii sau restricţii;</w:t>
      </w:r>
    </w:p>
    <w:p>
      <w:pPr>
        <w:pStyle w:val="ListParagraph"/>
        <w:numPr>
          <w:ilvl w:val="0"/>
          <w:numId w:val="1"/>
        </w:numPr>
        <w:tabs>
          <w:tab w:pos="1267" w:val="left" w:leader="none"/>
          <w:tab w:pos="1268" w:val="left" w:leader="none"/>
        </w:tabs>
        <w:spacing w:line="322" w:lineRule="exact" w:before="0" w:after="0"/>
        <w:ind w:left="1267" w:right="0" w:hanging="425"/>
        <w:jc w:val="left"/>
        <w:rPr>
          <w:sz w:val="28"/>
        </w:rPr>
      </w:pPr>
      <w:r>
        <w:rPr>
          <w:sz w:val="28"/>
        </w:rPr>
        <w:t>persoanelor</w:t>
      </w:r>
      <w:r>
        <w:rPr>
          <w:spacing w:val="30"/>
          <w:sz w:val="28"/>
        </w:rPr>
        <w:t> </w:t>
      </w:r>
      <w:r>
        <w:rPr>
          <w:sz w:val="28"/>
        </w:rPr>
        <w:t>bănuite,</w:t>
      </w:r>
      <w:r>
        <w:rPr>
          <w:spacing w:val="27"/>
          <w:sz w:val="28"/>
        </w:rPr>
        <w:t> </w:t>
      </w:r>
      <w:r>
        <w:rPr>
          <w:sz w:val="28"/>
        </w:rPr>
        <w:t>învinuite,</w:t>
      </w:r>
      <w:r>
        <w:rPr>
          <w:spacing w:val="29"/>
          <w:sz w:val="28"/>
        </w:rPr>
        <w:t> </w:t>
      </w:r>
      <w:r>
        <w:rPr>
          <w:sz w:val="28"/>
        </w:rPr>
        <w:t>inculpate</w:t>
      </w:r>
      <w:r>
        <w:rPr>
          <w:spacing w:val="28"/>
          <w:sz w:val="28"/>
        </w:rPr>
        <w:t> </w:t>
      </w:r>
      <w:r>
        <w:rPr>
          <w:sz w:val="28"/>
        </w:rPr>
        <w:t>de</w:t>
      </w:r>
      <w:r>
        <w:rPr>
          <w:spacing w:val="30"/>
          <w:sz w:val="28"/>
        </w:rPr>
        <w:t> </w:t>
      </w:r>
      <w:r>
        <w:rPr>
          <w:sz w:val="28"/>
        </w:rPr>
        <w:t>comiterea</w:t>
      </w:r>
      <w:r>
        <w:rPr>
          <w:spacing w:val="30"/>
          <w:sz w:val="28"/>
        </w:rPr>
        <w:t> </w:t>
      </w:r>
      <w:r>
        <w:rPr>
          <w:sz w:val="28"/>
        </w:rPr>
        <w:t>faptelor</w:t>
      </w:r>
      <w:r>
        <w:rPr>
          <w:spacing w:val="28"/>
          <w:sz w:val="28"/>
        </w:rPr>
        <w:t> </w:t>
      </w:r>
      <w:r>
        <w:rPr>
          <w:sz w:val="28"/>
        </w:rPr>
        <w:t>de</w:t>
      </w:r>
    </w:p>
    <w:p>
      <w:pPr>
        <w:pStyle w:val="BodyText"/>
        <w:spacing w:line="322" w:lineRule="exact"/>
        <w:ind w:left="134"/>
      </w:pPr>
      <w:r>
        <w:rPr/>
        <w:t>violență în familie.”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ind w:left="134" w:right="119" w:firstLine="708"/>
        <w:jc w:val="both"/>
      </w:pPr>
      <w:r>
        <w:rPr>
          <w:b/>
        </w:rPr>
        <w:t>Art. IV. </w:t>
      </w:r>
      <w:r>
        <w:rPr/>
        <w:t>– Articolul 15 din Legea nr. 45/2007 cu privire la prevenirea și combaterea violenței în familie (Monitorul Oficial al Republicii Moldova, 2008, nr. 55-56, art. 178), cu modificările ulterioare, se modifică după cum urmează:</w:t>
      </w:r>
    </w:p>
    <w:p>
      <w:pPr>
        <w:pStyle w:val="BodyText"/>
        <w:spacing w:line="320" w:lineRule="exact"/>
        <w:ind w:left="842"/>
      </w:pPr>
      <w:r>
        <w:rPr/>
        <w:t>se completează cu alineatele (1</w:t>
      </w:r>
      <w:r>
        <w:rPr>
          <w:position w:val="10"/>
          <w:sz w:val="18"/>
        </w:rPr>
        <w:t>1</w:t>
      </w:r>
      <w:r>
        <w:rPr/>
        <w:t>) și (1</w:t>
      </w:r>
      <w:r>
        <w:rPr>
          <w:position w:val="10"/>
          <w:sz w:val="18"/>
        </w:rPr>
        <w:t>2</w:t>
      </w:r>
      <w:r>
        <w:rPr/>
        <w:t>) cu următorul cuprins:</w:t>
      </w:r>
    </w:p>
    <w:p>
      <w:pPr>
        <w:pStyle w:val="BodyText"/>
        <w:spacing w:line="237" w:lineRule="auto"/>
        <w:ind w:left="134" w:right="118" w:firstLine="707"/>
        <w:jc w:val="both"/>
      </w:pPr>
      <w:r>
        <w:rPr/>
        <w:t>„(1</w:t>
      </w:r>
      <w:r>
        <w:rPr>
          <w:position w:val="10"/>
          <w:sz w:val="18"/>
        </w:rPr>
        <w:t>1</w:t>
      </w:r>
      <w:r>
        <w:rPr/>
        <w:t>) Măsurile de protecție prevăzute la alin. (1) lit. a)-d) se aplică în mod obligatoriu cu monitorizarea electronică. În acest caz, prevederile art. 271</w:t>
      </w:r>
      <w:r>
        <w:rPr>
          <w:position w:val="10"/>
          <w:sz w:val="18"/>
        </w:rPr>
        <w:t>1 </w:t>
      </w:r>
      <w:r>
        <w:rPr/>
        <w:t>din Codul de executare al Republicii Moldova nr. 443/2004 se aplică corespunzător.</w:t>
      </w:r>
    </w:p>
    <w:p>
      <w:pPr>
        <w:pStyle w:val="BodyText"/>
        <w:ind w:left="134" w:right="118" w:firstLine="708"/>
        <w:jc w:val="both"/>
      </w:pPr>
      <w:r>
        <w:rPr/>
        <w:t>(1</w:t>
      </w:r>
      <w:r>
        <w:rPr>
          <w:position w:val="10"/>
          <w:sz w:val="18"/>
        </w:rPr>
        <w:t>2</w:t>
      </w:r>
      <w:r>
        <w:rPr/>
        <w:t>) Victima sau, după caz, membrii familiei acesteia, pot purta un sistem electronic de supraveghere care să permită verificarea respectării obligaţiei agresorului, exprimându-și acordul în formă scrisă.”;</w:t>
      </w:r>
    </w:p>
    <w:p>
      <w:pPr>
        <w:pStyle w:val="BodyText"/>
        <w:spacing w:line="322" w:lineRule="exact"/>
        <w:ind w:left="841"/>
      </w:pPr>
      <w:r>
        <w:rPr/>
        <w:t>la alineatul (2), după cuvintele ,,subdiviziunii teritoriale ale poliției” se</w:t>
      </w:r>
    </w:p>
    <w:p>
      <w:pPr>
        <w:pStyle w:val="BodyText"/>
        <w:spacing w:line="322" w:lineRule="exact"/>
        <w:ind w:left="134"/>
      </w:pPr>
      <w:r>
        <w:rPr/>
        <w:t>introduc cuvintele ,,și organului de probațiune”;</w:t>
      </w:r>
    </w:p>
    <w:p>
      <w:pPr>
        <w:pStyle w:val="BodyText"/>
        <w:spacing w:line="322" w:lineRule="exact"/>
        <w:ind w:left="841"/>
      </w:pPr>
      <w:r>
        <w:rPr/>
        <w:t>la alineatul (5), după cuvintele ,,organului de poliție” se introduc cuvintele</w:t>
      </w:r>
    </w:p>
    <w:p>
      <w:pPr>
        <w:pStyle w:val="BodyText"/>
        <w:spacing w:line="322" w:lineRule="exact"/>
        <w:ind w:left="134"/>
      </w:pPr>
      <w:r>
        <w:rPr/>
        <w:t>,,și organului de probațiune”.</w:t>
      </w:r>
    </w:p>
    <w:p>
      <w:pPr>
        <w:pStyle w:val="BodyText"/>
        <w:spacing w:before="6"/>
        <w:rPr>
          <w:sz w:val="27"/>
        </w:rPr>
      </w:pPr>
    </w:p>
    <w:p>
      <w:pPr>
        <w:pStyle w:val="BodyText"/>
        <w:ind w:left="134" w:right="118" w:firstLine="707"/>
        <w:jc w:val="both"/>
      </w:pPr>
      <w:r>
        <w:rPr>
          <w:b/>
        </w:rPr>
        <w:t>Art. V. </w:t>
      </w:r>
      <w:r>
        <w:rPr/>
        <w:t>– (1) Prezenta lege intră în vigoare la expirarea a 6 luni de la data publicării.</w:t>
      </w:r>
    </w:p>
    <w:p>
      <w:pPr>
        <w:pStyle w:val="BodyText"/>
        <w:ind w:left="134" w:right="119" w:firstLine="707"/>
        <w:jc w:val="both"/>
      </w:pPr>
      <w:r>
        <w:rPr/>
        <w:t>(2) Guvernul, în termen de 6 luni, va adopta actele normative necesare pentru implementarea prezentei legi.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26"/>
        </w:rPr>
      </w:pPr>
    </w:p>
    <w:p>
      <w:pPr>
        <w:pStyle w:val="Heading2"/>
        <w:ind w:left="842"/>
        <w:jc w:val="left"/>
      </w:pPr>
      <w:r>
        <w:rPr/>
        <w:t>Preşedintele Parlamentului</w:t>
      </w:r>
    </w:p>
    <w:p>
      <w:pPr>
        <w:spacing w:after="0"/>
        <w:jc w:val="left"/>
        <w:sectPr>
          <w:pgSz w:w="11910" w:h="16850"/>
          <w:pgMar w:header="1142" w:footer="829" w:top="1360" w:bottom="1020" w:left="1680" w:right="84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2"/>
        </w:rPr>
      </w:pPr>
    </w:p>
    <w:p>
      <w:pPr>
        <w:spacing w:before="85"/>
        <w:ind w:left="10" w:right="0" w:firstLine="0"/>
        <w:jc w:val="center"/>
        <w:rPr>
          <w:b/>
          <w:sz w:val="36"/>
        </w:rPr>
      </w:pPr>
      <w:r>
        <w:rPr/>
        <w:drawing>
          <wp:anchor distT="0" distB="0" distL="0" distR="0" allowOverlap="1" layoutInCell="1" locked="0" behindDoc="0" simplePos="0" relativeHeight="1024">
            <wp:simplePos x="0" y="0"/>
            <wp:positionH relativeFrom="page">
              <wp:posOffset>3701023</wp:posOffset>
            </wp:positionH>
            <wp:positionV relativeFrom="paragraph">
              <wp:posOffset>-876715</wp:posOffset>
            </wp:positionV>
            <wp:extent cx="680815" cy="817708"/>
            <wp:effectExtent l="0" t="0" r="0" b="0"/>
            <wp:wrapNone/>
            <wp:docPr id="3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815" cy="8177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5082-redactat-ru" w:id="2"/>
      <w:bookmarkEnd w:id="2"/>
      <w:r>
        <w:rPr/>
      </w:r>
      <w:r>
        <w:rPr>
          <w:b/>
          <w:sz w:val="36"/>
        </w:rPr>
        <w:t>ПРАВИТЕЛЬСТВО РЕСПУБЛИКИ</w:t>
      </w:r>
      <w:r>
        <w:rPr>
          <w:b/>
          <w:spacing w:val="85"/>
          <w:sz w:val="36"/>
        </w:rPr>
        <w:t> </w:t>
      </w:r>
      <w:r>
        <w:rPr>
          <w:b/>
          <w:sz w:val="36"/>
        </w:rPr>
        <w:t>МОЛДОВА</w:t>
      </w:r>
    </w:p>
    <w:p>
      <w:pPr>
        <w:pStyle w:val="Heading1"/>
        <w:spacing w:before="228"/>
      </w:pPr>
      <w:r>
        <w:rPr>
          <w:spacing w:val="26"/>
        </w:rPr>
        <w:t>ПОС</w:t>
      </w:r>
      <w:r>
        <w:rPr>
          <w:spacing w:val="-41"/>
        </w:rPr>
        <w:t> </w:t>
      </w:r>
      <w:r>
        <w:rPr/>
        <w:t>Т А </w:t>
      </w:r>
      <w:r>
        <w:rPr>
          <w:spacing w:val="26"/>
        </w:rPr>
        <w:t>НОВ</w:t>
      </w:r>
      <w:r>
        <w:rPr>
          <w:spacing w:val="-37"/>
        </w:rPr>
        <w:t> </w:t>
      </w:r>
      <w:r>
        <w:rPr/>
        <w:t>Л Е </w:t>
      </w:r>
      <w:r>
        <w:rPr>
          <w:spacing w:val="26"/>
        </w:rPr>
        <w:t>НИЕ </w:t>
      </w:r>
      <w:r>
        <w:rPr/>
        <w:t>№179</w:t>
      </w:r>
    </w:p>
    <w:p>
      <w:pPr>
        <w:spacing w:before="231"/>
        <w:ind w:left="12" w:right="0" w:firstLine="0"/>
        <w:jc w:val="center"/>
        <w:rPr>
          <w:b/>
          <w:sz w:val="28"/>
        </w:rPr>
      </w:pPr>
      <w:r>
        <w:rPr>
          <w:b/>
          <w:sz w:val="28"/>
          <w:u w:val="thick"/>
        </w:rPr>
        <w:t>от 25 марта 2020 г.</w:t>
      </w:r>
    </w:p>
    <w:p>
      <w:pPr>
        <w:spacing w:before="119"/>
        <w:ind w:left="9" w:right="0" w:firstLine="0"/>
        <w:jc w:val="center"/>
        <w:rPr>
          <w:b/>
          <w:sz w:val="24"/>
        </w:rPr>
      </w:pPr>
      <w:r>
        <w:rPr>
          <w:b/>
          <w:sz w:val="24"/>
        </w:rPr>
        <w:t>Кишинэу</w:t>
      </w:r>
    </w:p>
    <w:p>
      <w:pPr>
        <w:pStyle w:val="BodyText"/>
        <w:rPr>
          <w:b/>
          <w:sz w:val="20"/>
        </w:rPr>
      </w:pPr>
    </w:p>
    <w:p>
      <w:pPr>
        <w:pStyle w:val="Heading2"/>
        <w:spacing w:before="231"/>
        <w:ind w:left="2150" w:right="2138"/>
      </w:pPr>
      <w:r>
        <w:rPr/>
        <w:t>О проекте закона о внесении изменений в некоторые нормативные акты</w:t>
      </w:r>
    </w:p>
    <w:p>
      <w:pPr>
        <w:spacing w:line="321" w:lineRule="exact" w:before="0"/>
        <w:ind w:left="2366" w:right="0" w:firstLine="0"/>
        <w:jc w:val="left"/>
        <w:rPr>
          <w:b/>
          <w:sz w:val="28"/>
        </w:rPr>
      </w:pPr>
      <w:r>
        <w:rPr>
          <w:b/>
          <w:sz w:val="28"/>
        </w:rPr>
        <w:t>--------------------------------------------------</w:t>
      </w:r>
    </w:p>
    <w:p>
      <w:pPr>
        <w:pStyle w:val="BodyText"/>
        <w:spacing w:before="11"/>
        <w:rPr>
          <w:b/>
          <w:sz w:val="27"/>
        </w:rPr>
      </w:pPr>
    </w:p>
    <w:p>
      <w:pPr>
        <w:pStyle w:val="BodyText"/>
        <w:ind w:left="842"/>
      </w:pPr>
      <w:r>
        <w:rPr/>
        <w:t>Правительство ПОСТАНОВЛЯЕТ:</w:t>
      </w:r>
    </w:p>
    <w:p>
      <w:pPr>
        <w:pStyle w:val="BodyText"/>
        <w:spacing w:before="1"/>
      </w:pPr>
    </w:p>
    <w:p>
      <w:pPr>
        <w:pStyle w:val="BodyText"/>
        <w:spacing w:before="1"/>
        <w:ind w:left="133" w:right="186" w:firstLine="708"/>
      </w:pPr>
      <w:r>
        <w:rPr/>
        <w:t>Одобрить и представить Парламенту на рассмотрение проект закона о внесении изменений в некоторые нормативные</w:t>
      </w:r>
      <w:r>
        <w:rPr>
          <w:spacing w:val="-9"/>
        </w:rPr>
        <w:t> </w:t>
      </w:r>
      <w:r>
        <w:rPr/>
        <w:t>акты.</w:t>
      </w:r>
    </w:p>
    <w:p>
      <w:pPr>
        <w:pStyle w:val="BodyText"/>
        <w:rPr>
          <w:sz w:val="30"/>
        </w:rPr>
      </w:pPr>
    </w:p>
    <w:p>
      <w:pPr>
        <w:pStyle w:val="BodyText"/>
        <w:spacing w:before="9"/>
        <w:rPr>
          <w:sz w:val="25"/>
        </w:rPr>
      </w:pPr>
    </w:p>
    <w:p>
      <w:pPr>
        <w:pStyle w:val="Heading2"/>
        <w:tabs>
          <w:tab w:pos="6515" w:val="left" w:leader="none"/>
        </w:tabs>
        <w:ind w:left="842"/>
        <w:jc w:val="left"/>
      </w:pPr>
      <w:r>
        <w:rPr/>
        <w:t>Премьер-министр</w:t>
        <w:tab/>
        <w:t>ИОН</w:t>
      </w:r>
      <w:r>
        <w:rPr>
          <w:spacing w:val="-1"/>
        </w:rPr>
        <w:t> </w:t>
      </w:r>
      <w:r>
        <w:rPr/>
        <w:t>КИКУ</w:t>
      </w:r>
    </w:p>
    <w:p>
      <w:pPr>
        <w:pStyle w:val="BodyText"/>
        <w:rPr>
          <w:b/>
          <w:sz w:val="30"/>
        </w:rPr>
      </w:pPr>
    </w:p>
    <w:p>
      <w:pPr>
        <w:pStyle w:val="BodyText"/>
        <w:spacing w:before="1"/>
        <w:rPr>
          <w:b/>
          <w:sz w:val="26"/>
        </w:rPr>
      </w:pPr>
    </w:p>
    <w:p>
      <w:pPr>
        <w:pStyle w:val="BodyText"/>
        <w:ind w:left="842"/>
      </w:pPr>
      <w:r>
        <w:rPr/>
        <w:t>Контрасигнуют:</w:t>
      </w:r>
    </w:p>
    <w:p>
      <w:pPr>
        <w:pStyle w:val="BodyText"/>
        <w:spacing w:before="11"/>
        <w:rPr>
          <w:sz w:val="27"/>
        </w:rPr>
      </w:pPr>
    </w:p>
    <w:p>
      <w:pPr>
        <w:pStyle w:val="BodyText"/>
        <w:spacing w:line="322" w:lineRule="exact"/>
        <w:ind w:left="842"/>
      </w:pPr>
      <w:r>
        <w:rPr/>
        <w:t>Министр здравоохранения,</w:t>
      </w:r>
    </w:p>
    <w:p>
      <w:pPr>
        <w:pStyle w:val="BodyText"/>
        <w:tabs>
          <w:tab w:pos="6515" w:val="left" w:leader="none"/>
        </w:tabs>
        <w:spacing w:line="322" w:lineRule="exact"/>
        <w:ind w:left="842"/>
      </w:pPr>
      <w:r>
        <w:rPr/>
        <w:t>труда и</w:t>
      </w:r>
      <w:r>
        <w:rPr>
          <w:spacing w:val="-3"/>
        </w:rPr>
        <w:t> </w:t>
      </w:r>
      <w:r>
        <w:rPr/>
        <w:t>социальной</w:t>
      </w:r>
      <w:r>
        <w:rPr>
          <w:spacing w:val="-4"/>
        </w:rPr>
        <w:t> </w:t>
      </w:r>
      <w:r>
        <w:rPr/>
        <w:t>защиты</w:t>
        <w:tab/>
        <w:t>Виорика</w:t>
      </w:r>
      <w:r>
        <w:rPr>
          <w:spacing w:val="-3"/>
        </w:rPr>
        <w:t> </w:t>
      </w:r>
      <w:r>
        <w:rPr/>
        <w:t>Думбрэвяну</w:t>
      </w:r>
    </w:p>
    <w:p>
      <w:pPr>
        <w:pStyle w:val="BodyText"/>
        <w:spacing w:before="1"/>
      </w:pPr>
    </w:p>
    <w:p>
      <w:pPr>
        <w:pStyle w:val="BodyText"/>
        <w:tabs>
          <w:tab w:pos="6515" w:val="left" w:leader="none"/>
        </w:tabs>
        <w:spacing w:before="1"/>
        <w:ind w:left="842"/>
      </w:pPr>
      <w:r>
        <w:rPr/>
        <w:t>Министр</w:t>
      </w:r>
      <w:r>
        <w:rPr>
          <w:spacing w:val="-2"/>
        </w:rPr>
        <w:t> </w:t>
      </w:r>
      <w:r>
        <w:rPr/>
        <w:t>юстиции</w:t>
        <w:tab/>
        <w:t>Фадей</w:t>
      </w:r>
      <w:r>
        <w:rPr>
          <w:spacing w:val="-1"/>
        </w:rPr>
        <w:t> </w:t>
      </w:r>
      <w:r>
        <w:rPr/>
        <w:t>Нагачевски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7"/>
        </w:rPr>
      </w:pPr>
    </w:p>
    <w:p>
      <w:pPr>
        <w:spacing w:before="91"/>
        <w:ind w:left="134" w:right="0" w:firstLine="0"/>
        <w:jc w:val="left"/>
        <w:rPr>
          <w:sz w:val="16"/>
        </w:rPr>
      </w:pPr>
      <w:r>
        <w:rPr>
          <w:sz w:val="20"/>
        </w:rPr>
        <w:t>C:\Users\msimcenco\</w:t>
      </w:r>
      <w:r>
        <w:rPr>
          <w:sz w:val="16"/>
        </w:rPr>
        <w:t>Desktop\5082-redactat-ru.docx</w:t>
      </w:r>
    </w:p>
    <w:p>
      <w:pPr>
        <w:spacing w:after="0"/>
        <w:jc w:val="left"/>
        <w:rPr>
          <w:sz w:val="16"/>
        </w:rPr>
        <w:sectPr>
          <w:headerReference w:type="default" r:id="rId8"/>
          <w:footerReference w:type="default" r:id="rId9"/>
          <w:pgSz w:w="11910" w:h="16840"/>
          <w:pgMar w:header="1142" w:footer="0" w:top="1400" w:bottom="280" w:left="1680" w:right="8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89"/>
        <w:ind w:left="842"/>
      </w:pPr>
      <w:r>
        <w:rPr/>
        <w:t>Визирует:</w:t>
      </w:r>
    </w:p>
    <w:p>
      <w:pPr>
        <w:pStyle w:val="BodyText"/>
        <w:spacing w:before="11"/>
        <w:rPr>
          <w:sz w:val="27"/>
        </w:rPr>
      </w:pPr>
    </w:p>
    <w:p>
      <w:pPr>
        <w:pStyle w:val="BodyText"/>
        <w:spacing w:line="322" w:lineRule="exact"/>
        <w:ind w:left="842"/>
      </w:pPr>
      <w:r>
        <w:rPr/>
        <w:t>Генеральный секретарь</w:t>
      </w:r>
    </w:p>
    <w:p>
      <w:pPr>
        <w:pStyle w:val="BodyText"/>
        <w:tabs>
          <w:tab w:pos="6434" w:val="left" w:leader="none"/>
        </w:tabs>
        <w:spacing w:line="322" w:lineRule="exact"/>
        <w:ind w:left="842"/>
      </w:pPr>
      <w:r>
        <w:rPr/>
        <w:t>Правительства</w:t>
        <w:tab/>
        <w:t>Лилиана</w:t>
      </w:r>
      <w:r>
        <w:rPr>
          <w:spacing w:val="-2"/>
        </w:rPr>
        <w:t> </w:t>
      </w:r>
      <w:r>
        <w:rPr/>
        <w:t>ЯКОНИ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24"/>
        </w:rPr>
      </w:pPr>
    </w:p>
    <w:p>
      <w:pPr>
        <w:pStyle w:val="BodyText"/>
        <w:ind w:left="842" w:right="5447"/>
      </w:pPr>
      <w:r>
        <w:rPr/>
        <w:t>Утверждено на заседании Правительства от</w:t>
      </w:r>
    </w:p>
    <w:p>
      <w:pPr>
        <w:spacing w:after="0"/>
        <w:sectPr>
          <w:headerReference w:type="default" r:id="rId10"/>
          <w:footerReference w:type="default" r:id="rId11"/>
          <w:pgSz w:w="11910" w:h="16840"/>
          <w:pgMar w:header="1142" w:footer="873" w:top="1360" w:bottom="1060" w:left="1680" w:right="840"/>
          <w:pgNumType w:start="2"/>
        </w:sectPr>
      </w:pPr>
    </w:p>
    <w:p>
      <w:pPr>
        <w:pStyle w:val="BodyText"/>
        <w:spacing w:before="3"/>
        <w:rPr>
          <w:sz w:val="12"/>
        </w:rPr>
      </w:pPr>
    </w:p>
    <w:p>
      <w:pPr>
        <w:spacing w:before="89"/>
        <w:ind w:left="8265" w:right="121" w:firstLine="55"/>
        <w:jc w:val="right"/>
        <w:rPr>
          <w:i/>
          <w:sz w:val="28"/>
        </w:rPr>
      </w:pPr>
      <w:r>
        <w:rPr>
          <w:i/>
          <w:sz w:val="28"/>
        </w:rPr>
        <w:t>Проект </w:t>
      </w:r>
      <w:r>
        <w:rPr>
          <w:i/>
          <w:sz w:val="28"/>
        </w:rPr>
        <w:t>Перевод</w:t>
      </w:r>
    </w:p>
    <w:p>
      <w:pPr>
        <w:pStyle w:val="BodyText"/>
        <w:spacing w:before="5"/>
        <w:rPr>
          <w:i/>
          <w:sz w:val="20"/>
        </w:rPr>
      </w:pPr>
    </w:p>
    <w:p>
      <w:pPr>
        <w:pStyle w:val="Heading2"/>
        <w:spacing w:before="89"/>
        <w:ind w:left="11"/>
      </w:pPr>
      <w:r>
        <w:rPr/>
        <w:t>ПАРЛАМЕНТ РЕСПУБЛИКИ МОЛДОВА</w:t>
      </w:r>
    </w:p>
    <w:p>
      <w:pPr>
        <w:pStyle w:val="BodyText"/>
        <w:spacing w:before="10"/>
        <w:rPr>
          <w:b/>
          <w:sz w:val="27"/>
        </w:rPr>
      </w:pPr>
    </w:p>
    <w:p>
      <w:pPr>
        <w:spacing w:line="322" w:lineRule="exact" w:before="0"/>
        <w:ind w:left="9" w:right="0" w:firstLine="0"/>
        <w:jc w:val="center"/>
        <w:rPr>
          <w:b/>
          <w:sz w:val="28"/>
        </w:rPr>
      </w:pPr>
      <w:r>
        <w:rPr>
          <w:b/>
          <w:sz w:val="28"/>
        </w:rPr>
        <w:t>ЗАКОН</w:t>
      </w:r>
    </w:p>
    <w:p>
      <w:pPr>
        <w:spacing w:line="322" w:lineRule="exact" w:before="0"/>
        <w:ind w:left="13" w:right="0" w:firstLine="0"/>
        <w:jc w:val="center"/>
        <w:rPr>
          <w:b/>
          <w:sz w:val="28"/>
        </w:rPr>
      </w:pPr>
      <w:r>
        <w:rPr>
          <w:b/>
          <w:sz w:val="28"/>
        </w:rPr>
        <w:t>o внесении изменений в некоторые нормативные акты</w:t>
      </w:r>
    </w:p>
    <w:p>
      <w:pPr>
        <w:pStyle w:val="BodyText"/>
        <w:spacing w:before="11"/>
        <w:rPr>
          <w:b/>
          <w:sz w:val="27"/>
        </w:rPr>
      </w:pPr>
    </w:p>
    <w:p>
      <w:pPr>
        <w:pStyle w:val="BodyText"/>
        <w:ind w:left="842"/>
      </w:pPr>
      <w:r>
        <w:rPr/>
        <w:t>Парламент принимает настоящий органический закон.</w:t>
      </w:r>
    </w:p>
    <w:p>
      <w:pPr>
        <w:pStyle w:val="BodyText"/>
        <w:spacing w:before="7"/>
        <w:rPr>
          <w:sz w:val="27"/>
        </w:rPr>
      </w:pPr>
    </w:p>
    <w:p>
      <w:pPr>
        <w:pStyle w:val="BodyText"/>
        <w:ind w:left="134" w:right="119" w:firstLine="707"/>
        <w:jc w:val="both"/>
      </w:pPr>
      <w:r>
        <w:rPr>
          <w:b/>
        </w:rPr>
        <w:t>Cт. I. </w:t>
      </w:r>
      <w:r>
        <w:rPr/>
        <w:t>– В статью 215</w:t>
      </w:r>
      <w:r>
        <w:rPr>
          <w:position w:val="10"/>
          <w:sz w:val="18"/>
        </w:rPr>
        <w:t>1 </w:t>
      </w:r>
      <w:r>
        <w:rPr/>
        <w:t>Уголовно-процессуального  кодекса Республики Молдова № 122/2003 (повторное опубликование: Официальный монитор Республики Молдова, 2013 г., № 248–251, ст. 699), с последующими изменениями, внести следующие</w:t>
      </w:r>
      <w:r>
        <w:rPr>
          <w:spacing w:val="-10"/>
        </w:rPr>
        <w:t> </w:t>
      </w:r>
      <w:r>
        <w:rPr/>
        <w:t>изменения:</w:t>
      </w:r>
    </w:p>
    <w:p>
      <w:pPr>
        <w:pStyle w:val="BodyText"/>
        <w:spacing w:line="317" w:lineRule="exact"/>
        <w:ind w:left="842"/>
      </w:pPr>
      <w:r>
        <w:rPr/>
        <w:t>дополнить частью (3</w:t>
      </w:r>
      <w:r>
        <w:rPr>
          <w:position w:val="10"/>
          <w:sz w:val="18"/>
        </w:rPr>
        <w:t>1</w:t>
      </w:r>
      <w:r>
        <w:rPr/>
        <w:t>) следующего содержания:</w:t>
      </w:r>
    </w:p>
    <w:p>
      <w:pPr>
        <w:pStyle w:val="BodyText"/>
        <w:ind w:left="133" w:right="120" w:firstLine="708"/>
        <w:jc w:val="both"/>
      </w:pPr>
      <w:r>
        <w:rPr/>
        <w:t>«(3</w:t>
      </w:r>
      <w:r>
        <w:rPr>
          <w:position w:val="10"/>
          <w:sz w:val="18"/>
        </w:rPr>
        <w:t>1</w:t>
      </w:r>
      <w:r>
        <w:rPr/>
        <w:t>) Меры защиты, предусмотренные пунктами a)-d) части (3) применяются в обязательном порядке с электронным наблюдением, в предусмотренном законом порядке.»;</w:t>
      </w:r>
    </w:p>
    <w:p>
      <w:pPr>
        <w:pStyle w:val="BodyText"/>
        <w:spacing w:line="320" w:lineRule="exact"/>
        <w:ind w:left="841"/>
      </w:pPr>
      <w:r>
        <w:rPr/>
        <w:t>дополнить частью (4</w:t>
      </w:r>
      <w:r>
        <w:rPr>
          <w:position w:val="10"/>
          <w:sz w:val="18"/>
        </w:rPr>
        <w:t>1</w:t>
      </w:r>
      <w:r>
        <w:rPr/>
        <w:t>) следующего содержания:</w:t>
      </w:r>
    </w:p>
    <w:p>
      <w:pPr>
        <w:pStyle w:val="BodyText"/>
        <w:ind w:left="133" w:right="119" w:firstLine="708"/>
        <w:jc w:val="both"/>
      </w:pPr>
      <w:r>
        <w:rPr/>
        <w:t>«(4</w:t>
      </w:r>
      <w:r>
        <w:rPr>
          <w:position w:val="10"/>
          <w:sz w:val="18"/>
        </w:rPr>
        <w:t>1</w:t>
      </w:r>
      <w:r>
        <w:rPr/>
        <w:t>) Жертва или, по обстоятельствам, члены ее семьи могут носить электронную систему наблюдения, которая позволяет проверять соблюдение обязательства агрессора, выразив свое согласие в письменной форме.»;</w:t>
      </w:r>
    </w:p>
    <w:p>
      <w:pPr>
        <w:pStyle w:val="BodyText"/>
        <w:ind w:left="133" w:right="119" w:firstLine="708"/>
        <w:jc w:val="both"/>
      </w:pPr>
      <w:r>
        <w:rPr/>
        <w:t>часть (5) дополнить предложением «В случае применения электронного наблюдения защитное предписание безотлагательно направляется в орган пробации по месту нахождения подозреваемого, обвиняемого, подсудимого и жертвы.».</w:t>
      </w:r>
    </w:p>
    <w:p>
      <w:pPr>
        <w:pStyle w:val="BodyText"/>
        <w:spacing w:before="8"/>
        <w:rPr>
          <w:sz w:val="26"/>
        </w:rPr>
      </w:pPr>
    </w:p>
    <w:p>
      <w:pPr>
        <w:pStyle w:val="BodyText"/>
        <w:ind w:left="134" w:right="120" w:firstLine="707"/>
        <w:jc w:val="both"/>
      </w:pPr>
      <w:r>
        <w:rPr>
          <w:b/>
        </w:rPr>
        <w:t>Cт. II. </w:t>
      </w:r>
      <w:r>
        <w:rPr/>
        <w:t>– В статью 278</w:t>
      </w:r>
      <w:r>
        <w:rPr>
          <w:position w:val="10"/>
          <w:sz w:val="18"/>
        </w:rPr>
        <w:t>7 </w:t>
      </w:r>
      <w:r>
        <w:rPr/>
        <w:t>Гражданского процессуального кодекса Республики Молдова № 225/2003 (повторное опубликование: Официальный монитор Республики Молдова, 2018 г., № 285-294, ст. 436), с последующими изменениями, внести следующие</w:t>
      </w:r>
      <w:r>
        <w:rPr>
          <w:spacing w:val="-4"/>
        </w:rPr>
        <w:t> </w:t>
      </w:r>
      <w:r>
        <w:rPr/>
        <w:t>изменения:</w:t>
      </w:r>
    </w:p>
    <w:p>
      <w:pPr>
        <w:pStyle w:val="BodyText"/>
        <w:spacing w:line="319" w:lineRule="exact"/>
        <w:ind w:left="842"/>
      </w:pPr>
      <w:r>
        <w:rPr/>
        <w:t>дополнить частями (2</w:t>
      </w:r>
      <w:r>
        <w:rPr>
          <w:position w:val="10"/>
          <w:sz w:val="18"/>
        </w:rPr>
        <w:t>1</w:t>
      </w:r>
      <w:r>
        <w:rPr/>
        <w:t>) и (2</w:t>
      </w:r>
      <w:r>
        <w:rPr>
          <w:position w:val="10"/>
          <w:sz w:val="18"/>
        </w:rPr>
        <w:t>2</w:t>
      </w:r>
      <w:r>
        <w:rPr/>
        <w:t>) следующего</w:t>
      </w:r>
      <w:r>
        <w:rPr>
          <w:spacing w:val="-21"/>
        </w:rPr>
        <w:t> </w:t>
      </w:r>
      <w:r>
        <w:rPr/>
        <w:t>содержания:</w:t>
      </w:r>
    </w:p>
    <w:p>
      <w:pPr>
        <w:pStyle w:val="BodyText"/>
        <w:ind w:left="133" w:right="120" w:firstLine="708"/>
        <w:jc w:val="both"/>
      </w:pPr>
      <w:r>
        <w:rPr/>
        <w:t>«(2</w:t>
      </w:r>
      <w:r>
        <w:rPr>
          <w:position w:val="10"/>
          <w:sz w:val="18"/>
        </w:rPr>
        <w:t>1</w:t>
      </w:r>
      <w:r>
        <w:rPr/>
        <w:t>) Меры защиты, предусмотренные пунктами a)-d) части (2) применяются в обязательном порядке с электронным наблюдением, в предусмотренном законом порядке.</w:t>
      </w:r>
    </w:p>
    <w:p>
      <w:pPr>
        <w:pStyle w:val="BodyText"/>
        <w:ind w:left="134" w:right="119" w:firstLine="707"/>
        <w:jc w:val="both"/>
      </w:pPr>
      <w:r>
        <w:rPr/>
        <w:t>(2</w:t>
      </w:r>
      <w:r>
        <w:rPr>
          <w:position w:val="10"/>
          <w:sz w:val="18"/>
        </w:rPr>
        <w:t>2</w:t>
      </w:r>
      <w:r>
        <w:rPr/>
        <w:t>) Жертва или, по обстоятельствам, члены ее семьи могут носить электронную систему наблюдения, которая позволяет проверять соблюдение обязательства агрессора, выразив свое согласие в письменной форме.»;</w:t>
      </w:r>
    </w:p>
    <w:p>
      <w:pPr>
        <w:pStyle w:val="BodyText"/>
        <w:spacing w:line="242" w:lineRule="auto"/>
        <w:ind w:left="134" w:right="121" w:firstLine="707"/>
        <w:jc w:val="both"/>
      </w:pPr>
      <w:r>
        <w:rPr/>
        <w:t>часть (4) после слов «защитное предписание полиции» дополнить словами « , органа пробации».</w:t>
      </w:r>
    </w:p>
    <w:p>
      <w:pPr>
        <w:spacing w:after="0" w:line="242" w:lineRule="auto"/>
        <w:jc w:val="both"/>
        <w:sectPr>
          <w:pgSz w:w="11910" w:h="16840"/>
          <w:pgMar w:header="1142" w:footer="873" w:top="1360" w:bottom="1060" w:left="1680" w:right="840"/>
        </w:sectPr>
      </w:pPr>
    </w:p>
    <w:p>
      <w:pPr>
        <w:pStyle w:val="BodyText"/>
        <w:spacing w:before="4"/>
        <w:rPr>
          <w:sz w:val="11"/>
        </w:rPr>
      </w:pPr>
    </w:p>
    <w:p>
      <w:pPr>
        <w:pStyle w:val="BodyText"/>
        <w:spacing w:before="93"/>
        <w:ind w:left="134" w:right="121" w:firstLine="708"/>
        <w:jc w:val="both"/>
      </w:pPr>
      <w:r>
        <w:rPr>
          <w:b/>
        </w:rPr>
        <w:t>Cт. III. </w:t>
      </w:r>
      <w:r>
        <w:rPr/>
        <w:t>– Часть (7) статьи 271</w:t>
      </w:r>
      <w:r>
        <w:rPr>
          <w:position w:val="10"/>
          <w:sz w:val="18"/>
        </w:rPr>
        <w:t>1 </w:t>
      </w:r>
      <w:r>
        <w:rPr/>
        <w:t>Исполнительного кодекса Республики Молдова № 443/2004 (повторное опубликование: Официальный монитор Республики Молдова, 2010 г., № 214-220, ст. 704), с последующими изменениями, изложить в следующей редакции:</w:t>
      </w:r>
    </w:p>
    <w:p>
      <w:pPr>
        <w:pStyle w:val="BodyText"/>
        <w:spacing w:line="322" w:lineRule="exact" w:before="1"/>
        <w:ind w:left="842"/>
      </w:pPr>
      <w:r>
        <w:rPr/>
        <w:t>«(7) Электронное наблюдение может быть применено также</w:t>
      </w:r>
      <w:r>
        <w:rPr>
          <w:spacing w:val="-25"/>
        </w:rPr>
        <w:t> </w:t>
      </w:r>
      <w:r>
        <w:rPr/>
        <w:t>к:</w:t>
      </w:r>
    </w:p>
    <w:p>
      <w:pPr>
        <w:pStyle w:val="BodyText"/>
        <w:ind w:left="134" w:right="120" w:firstLine="707"/>
        <w:jc w:val="both"/>
      </w:pPr>
      <w:r>
        <w:rPr/>
        <w:t>а) осужденным, передвигающимся без конвоя или сопровождения, и/или к осужденным, выехавшим на короткий срок за пределы пенитенциарного учреждения, в соответствии со статьями 216 и</w:t>
      </w:r>
      <w:r>
        <w:rPr>
          <w:spacing w:val="-16"/>
        </w:rPr>
        <w:t> </w:t>
      </w:r>
      <w:r>
        <w:rPr/>
        <w:t>217;</w:t>
      </w:r>
    </w:p>
    <w:p>
      <w:pPr>
        <w:pStyle w:val="BodyText"/>
        <w:spacing w:line="242" w:lineRule="auto"/>
        <w:ind w:left="134" w:right="120" w:firstLine="707"/>
        <w:jc w:val="both"/>
      </w:pPr>
      <w:r>
        <w:rPr/>
        <w:t>б) лицам, к которым применена мера пресечения с установлением определенных обязанностей и запретов;</w:t>
      </w:r>
    </w:p>
    <w:p>
      <w:pPr>
        <w:pStyle w:val="BodyText"/>
        <w:ind w:left="134" w:right="119" w:firstLine="707"/>
        <w:jc w:val="both"/>
      </w:pPr>
      <w:r>
        <w:rPr/>
        <w:t>в) подозреваемым, обвиняемым, подсудимым за совершение актов насилия в семье.»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before="1"/>
        <w:ind w:left="135" w:right="120" w:firstLine="707"/>
        <w:jc w:val="both"/>
      </w:pPr>
      <w:r>
        <w:rPr>
          <w:b/>
        </w:rPr>
        <w:t>Cт. IV. </w:t>
      </w:r>
      <w:r>
        <w:rPr/>
        <w:t>– В статью 15 Закона № 45/2007 о предупреждении и пресечении насилия в семье (Официальный монитор Республики Молдова, 2008 г., № 55-56, ст. 178), с последующими изменениями, внести следующие изменения:</w:t>
      </w:r>
    </w:p>
    <w:p>
      <w:pPr>
        <w:pStyle w:val="BodyText"/>
        <w:spacing w:line="320" w:lineRule="exact"/>
        <w:ind w:left="843"/>
      </w:pPr>
      <w:r>
        <w:rPr/>
        <w:t>дополнить частями (1</w:t>
      </w:r>
      <w:r>
        <w:rPr>
          <w:position w:val="10"/>
          <w:sz w:val="18"/>
        </w:rPr>
        <w:t>1</w:t>
      </w:r>
      <w:r>
        <w:rPr/>
        <w:t>) и (1</w:t>
      </w:r>
      <w:r>
        <w:rPr>
          <w:position w:val="10"/>
          <w:sz w:val="18"/>
        </w:rPr>
        <w:t>2</w:t>
      </w:r>
      <w:r>
        <w:rPr/>
        <w:t>) следующего содержания:</w:t>
      </w:r>
    </w:p>
    <w:p>
      <w:pPr>
        <w:pStyle w:val="BodyText"/>
        <w:spacing w:line="237" w:lineRule="auto"/>
        <w:ind w:left="134" w:right="119" w:firstLine="708"/>
        <w:jc w:val="both"/>
      </w:pPr>
      <w:r>
        <w:rPr/>
        <w:t>«(1</w:t>
      </w:r>
      <w:r>
        <w:rPr>
          <w:position w:val="10"/>
          <w:sz w:val="18"/>
        </w:rPr>
        <w:t>1</w:t>
      </w:r>
      <w:r>
        <w:rPr/>
        <w:t>) Меры защиты, предусмотренные пунктами a)-d) части (2), применяются в обязательном порядке с электронным наблюдением. В этом случае положения статьи 271</w:t>
      </w:r>
      <w:r>
        <w:rPr>
          <w:position w:val="10"/>
          <w:sz w:val="18"/>
        </w:rPr>
        <w:t>1 </w:t>
      </w:r>
      <w:r>
        <w:rPr/>
        <w:t>Исполнительного кодекса Республики Молдова № 443/2004 применяется соответственно.</w:t>
      </w:r>
    </w:p>
    <w:p>
      <w:pPr>
        <w:pStyle w:val="BodyText"/>
        <w:ind w:left="134" w:right="119" w:firstLine="708"/>
        <w:jc w:val="both"/>
      </w:pPr>
      <w:r>
        <w:rPr/>
        <w:t>(1</w:t>
      </w:r>
      <w:r>
        <w:rPr>
          <w:position w:val="10"/>
          <w:sz w:val="18"/>
        </w:rPr>
        <w:t>2</w:t>
      </w:r>
      <w:r>
        <w:rPr/>
        <w:t>) Жертва или, по обстоятельствам, члены ее семьи могут носить электронную систему наблюдения, которая позволяет проверять соблюдение обязательства агрессора, выразив свое согласие в письменной форме.»;</w:t>
      </w:r>
    </w:p>
    <w:p>
      <w:pPr>
        <w:pStyle w:val="BodyText"/>
        <w:ind w:left="133" w:right="122" w:firstLine="708"/>
        <w:jc w:val="both"/>
      </w:pPr>
      <w:r>
        <w:rPr/>
        <w:t>часть (2) после слов «территориальному подразделению полиции» дополнить словами «и органу пробации»;</w:t>
      </w:r>
    </w:p>
    <w:p>
      <w:pPr>
        <w:pStyle w:val="BodyText"/>
        <w:spacing w:line="242" w:lineRule="auto"/>
        <w:ind w:left="133" w:right="121" w:firstLine="707"/>
        <w:jc w:val="both"/>
      </w:pPr>
      <w:r>
        <w:rPr/>
        <w:t>часть (5) после слов «органа полиции» дополнить словами «и органа пробации».</w:t>
      </w:r>
    </w:p>
    <w:p>
      <w:pPr>
        <w:pStyle w:val="BodyText"/>
        <w:rPr>
          <w:sz w:val="27"/>
        </w:rPr>
      </w:pPr>
    </w:p>
    <w:p>
      <w:pPr>
        <w:pStyle w:val="BodyText"/>
        <w:ind w:left="133" w:right="120" w:firstLine="708"/>
        <w:jc w:val="both"/>
      </w:pPr>
      <w:r>
        <w:rPr>
          <w:b/>
        </w:rPr>
        <w:t>Cт. V. </w:t>
      </w:r>
      <w:r>
        <w:rPr/>
        <w:t>– (1) Настоящий закон вступает в силу по истечении 6 месяцев с даты опубликования.</w:t>
      </w:r>
    </w:p>
    <w:p>
      <w:pPr>
        <w:pStyle w:val="BodyText"/>
        <w:ind w:left="132" w:right="121" w:firstLine="708"/>
        <w:jc w:val="both"/>
      </w:pPr>
      <w:r>
        <w:rPr/>
        <w:t>(2) Правительству в 6-месячный срок принять необходимые нормативные акты для исполнения настоящего закона.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26"/>
        </w:rPr>
      </w:pPr>
    </w:p>
    <w:p>
      <w:pPr>
        <w:pStyle w:val="Heading2"/>
        <w:ind w:left="840"/>
        <w:jc w:val="left"/>
      </w:pPr>
      <w:r>
        <w:rPr/>
        <w:t>Председатель Парламента</w:t>
      </w:r>
    </w:p>
    <w:sectPr>
      <w:pgSz w:w="11910" w:h="16840"/>
      <w:pgMar w:header="1142" w:footer="873" w:top="1360" w:bottom="1060" w:left="1680" w:right="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9.720001pt;margin-top:789.595398pt;width:170.8pt;height:10.95pt;mso-position-horizontal-relative:page;mso-position-vertical-relative:page;z-index:-764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C:\Users\msimcenco\Desktop\5082-redactat-ro.docx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9.725998pt;margin-top:787.288086pt;width:188.05pt;height:13.05pt;mso-position-horizontal-relative:page;mso-position-vertical-relative:page;z-index:-755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20"/>
                  </w:rPr>
                  <w:t>C:\Users\msimcenco\</w:t>
                </w:r>
                <w:r>
                  <w:rPr>
                    <w:sz w:val="16"/>
                  </w:rPr>
                  <w:t>Desktop\5082-redactat-ru.docx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32.079987pt;margin-top:56.124489pt;width:9pt;height:13.05pt;mso-position-horizontal-relative:page;mso-position-vertical-relative:page;z-index:-7624" type="#_x0000_t202" filled="false" stroked="false">
          <v:textbox inset="0,0,0,0">
            <w:txbxContent>
              <w:p>
                <w:pPr>
                  <w:spacing w:before="10"/>
                  <w:ind w:left="40" w:right="0" w:firstLine="0"/>
                  <w:jc w:val="left"/>
                  <w:rPr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w w:val="99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03pt;margin-top:56.106625pt;width:45pt;height:15.3pt;mso-position-horizontal-relative:page;mso-position-vertical-relative:page;z-index:-76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4"/>
                  </w:rPr>
                </w:pPr>
                <w:r>
                  <w:rPr>
                    <w:sz w:val="24"/>
                  </w:rPr>
                  <w:t>Перевод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14.320007pt;margin-top:56.124496pt;width:9pt;height:13.05pt;mso-position-horizontal-relative:page;mso-position-vertical-relative:page;z-index:-7576" type="#_x0000_t202" filled="false" stroked="false">
          <v:textbox inset="0,0,0,0">
            <w:txbxContent>
              <w:p>
                <w:pPr>
                  <w:spacing w:before="10"/>
                  <w:ind w:left="40" w:right="0" w:firstLine="0"/>
                  <w:jc w:val="left"/>
                  <w:rPr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w w:val="99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134" w:hanging="425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</w:rPr>
    </w:lvl>
    <w:lvl w:ilvl="1">
      <w:start w:val="0"/>
      <w:numFmt w:val="bullet"/>
      <w:lvlText w:val="•"/>
      <w:lvlJc w:val="left"/>
      <w:pPr>
        <w:ind w:left="1064" w:hanging="42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989" w:hanging="42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913" w:hanging="42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838" w:hanging="42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63" w:hanging="42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687" w:hanging="42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612" w:hanging="42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537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</w:rPr>
  </w:style>
  <w:style w:styleId="Heading1" w:type="paragraph">
    <w:name w:val="Heading 1"/>
    <w:basedOn w:val="Normal"/>
    <w:uiPriority w:val="1"/>
    <w:qFormat/>
    <w:pPr>
      <w:spacing w:before="227"/>
      <w:ind w:left="9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</w:rPr>
  </w:style>
  <w:style w:styleId="Heading2" w:type="paragraph">
    <w:name w:val="Heading 2"/>
    <w:basedOn w:val="Normal"/>
    <w:uiPriority w:val="1"/>
    <w:qFormat/>
    <w:pPr>
      <w:ind w:left="12"/>
      <w:jc w:val="center"/>
      <w:outlineLvl w:val="2"/>
    </w:pPr>
    <w:rPr>
      <w:rFonts w:ascii="Times New Roman" w:hAnsi="Times New Roman" w:eastAsia="Times New Roman" w:cs="Times New Roman"/>
      <w:b/>
      <w:bCs/>
      <w:sz w:val="28"/>
      <w:szCs w:val="28"/>
    </w:rPr>
  </w:style>
  <w:style w:styleId="ListParagraph" w:type="paragraph">
    <w:name w:val="List Paragraph"/>
    <w:basedOn w:val="Normal"/>
    <w:uiPriority w:val="1"/>
    <w:qFormat/>
    <w:pPr>
      <w:spacing w:line="322" w:lineRule="exact"/>
      <w:ind w:left="1267" w:hanging="425"/>
    </w:pPr>
    <w:rPr>
      <w:rFonts w:ascii="Times New Roman" w:hAnsi="Times New Roman" w:eastAsia="Times New Roman" w:cs="Times New Roman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numbering" Target="numbering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footer" Target="footer1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04518D-C0D9-4144-99F2-3F86CA5A62DD}"/>
</file>

<file path=customXml/itemProps2.xml><?xml version="1.0" encoding="utf-8"?>
<ds:datastoreItem xmlns:ds="http://schemas.openxmlformats.org/officeDocument/2006/customXml" ds:itemID="{EE637CAF-1D37-434D-8437-98059F1DA888}"/>
</file>

<file path=customXml/itemProps3.xml><?xml version="1.0" encoding="utf-8"?>
<ds:datastoreItem xmlns:ds="http://schemas.openxmlformats.org/officeDocument/2006/customXml" ds:itemID="{59A5130A-09BF-4395-98CB-63D3C64F3F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138.2020.ro-ru</dc:title>
  <dcterms:created xsi:type="dcterms:W3CDTF">2020-04-16T08:31:43Z</dcterms:created>
  <dcterms:modified xsi:type="dcterms:W3CDTF">2020-04-16T08:31:43Z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19 для Word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5" name="Tipul documentului">
    <vt:lpwstr>Aviz</vt:lpwstr>
  </property>
</Properties>
</file>