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rPr>
          <w:rFonts w:hint="default" w:ascii="Times New Roman" w:hAnsi="Times New Roman" w:cs="Times New Roman"/>
          <w:sz w:val="28"/>
          <w:szCs w:val="28"/>
          <w:lang w:val="en-US"/>
        </w:rPr>
      </w:pPr>
      <w:bookmarkStart w:id="0" w:name="_Hlk22566897"/>
      <w:r>
        <w:rPr>
          <w:rFonts w:hint="default" w:ascii="Times New Roman" w:hAnsi="Times New Roman" w:cs="Times New Roman"/>
          <w:sz w:val="28"/>
          <w:szCs w:val="28"/>
          <w:lang w:eastAsia="ro-RO"/>
        </w:rPr>
        <mc:AlternateContent>
          <mc:Choice Requires="wps">
            <w:drawing>
              <wp:anchor distT="0" distB="0" distL="114300" distR="114300" simplePos="0" relativeHeight="251659264" behindDoc="0" locked="0" layoutInCell="1" allowOverlap="1">
                <wp:simplePos x="0" y="0"/>
                <wp:positionH relativeFrom="page">
                  <wp:posOffset>4792980</wp:posOffset>
                </wp:positionH>
                <wp:positionV relativeFrom="page">
                  <wp:posOffset>225425</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pPr>
                              <w:spacing w:after="160" w:line="251" w:lineRule="auto"/>
                              <w:ind w:left="0"/>
                              <w:jc w:val="right"/>
                              <w:rPr>
                                <w:color w:val="000000" w:themeColor="text1"/>
                                <w:sz w:val="28"/>
                                <w:szCs w:val="28"/>
                                <w14:textFill>
                                  <w14:solidFill>
                                    <w14:schemeClr w14:val="tx1"/>
                                  </w14:solidFill>
                                </w14:textFill>
                              </w:rPr>
                            </w:pPr>
                          </w:p>
                          <w:p>
                            <w:pPr>
                              <w:spacing w:after="160" w:line="251" w:lineRule="auto"/>
                              <w:ind w:left="0"/>
                              <w:jc w:val="righ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AC 82/0</w:t>
                            </w:r>
                            <w:r>
                              <w:rPr>
                                <w:color w:val="000000" w:themeColor="text1"/>
                                <w:sz w:val="28"/>
                                <w:szCs w:val="28"/>
                                <w:lang w:val="zh-CN"/>
                                <w14:textFill>
                                  <w14:solidFill>
                                    <w14:schemeClr w14:val="tx1"/>
                                  </w14:solidFill>
                                </w14:textFill>
                              </w:rPr>
                              <w:t>2</w:t>
                            </w:r>
                            <w:r>
                              <w:rPr>
                                <w:color w:val="000000" w:themeColor="text1"/>
                                <w:sz w:val="28"/>
                                <w:szCs w:val="28"/>
                                <w14:textFill>
                                  <w14:solidFill>
                                    <w14:schemeClr w14:val="tx1"/>
                                  </w14:solidFill>
                                </w14:textFill>
                              </w:rPr>
                              <w:t>-</w:t>
                            </w:r>
                            <w:r>
                              <w:rPr>
                                <w:color w:val="000000" w:themeColor="text1"/>
                                <w:sz w:val="28"/>
                                <w:szCs w:val="28"/>
                                <w:lang w:val="zh-CN"/>
                                <w14:textFill>
                                  <w14:solidFill>
                                    <w14:schemeClr w14:val="tx1"/>
                                  </w14:solidFill>
                                </w14:textFill>
                              </w:rPr>
                              <w:t>112</w:t>
                            </w:r>
                          </w:p>
                          <w:p>
                            <w:pPr>
                              <w:spacing w:after="400" w:line="251" w:lineRule="auto"/>
                              <w:ind w:left="0"/>
                              <w:jc w:val="right"/>
                              <w:rPr>
                                <w:color w:val="000000" w:themeColor="text1"/>
                                <w:sz w:val="28"/>
                                <w:szCs w:val="28"/>
                                <w:lang w:val="zh-CN"/>
                                <w14:textFill>
                                  <w14:solidFill>
                                    <w14:schemeClr w14:val="tx1"/>
                                  </w14:solidFill>
                                </w14:textFill>
                              </w:rPr>
                            </w:pPr>
                            <w:r>
                              <w:rPr>
                                <w:color w:val="000000" w:themeColor="text1"/>
                                <w:sz w:val="28"/>
                                <w:szCs w:val="28"/>
                                <w14:textFill>
                                  <w14:solidFill>
                                    <w14:schemeClr w14:val="tx1"/>
                                  </w14:solidFill>
                                </w14:textFill>
                              </w:rPr>
                              <w:t xml:space="preserve"> </w:t>
                            </w:r>
                            <w:r>
                              <w:rPr>
                                <w:color w:val="000000" w:themeColor="text1"/>
                                <w:sz w:val="28"/>
                                <w:szCs w:val="28"/>
                                <w:lang w:val="zh-CN"/>
                                <w14:textFill>
                                  <w14:solidFill>
                                    <w14:schemeClr w14:val="tx1"/>
                                  </w14:solidFill>
                                </w14:textFill>
                              </w:rPr>
                              <w:t xml:space="preserve"> 12 august </w:t>
                            </w:r>
                            <w:r>
                              <w:rPr>
                                <w:color w:val="000000" w:themeColor="text1"/>
                                <w:sz w:val="28"/>
                                <w:szCs w:val="28"/>
                                <w14:textFill>
                                  <w14:solidFill>
                                    <w14:schemeClr w14:val="tx1"/>
                                  </w14:solidFill>
                                </w14:textFill>
                              </w:rPr>
                              <w:t>202</w:t>
                            </w:r>
                            <w:r>
                              <w:rPr>
                                <w:color w:val="000000" w:themeColor="text1"/>
                                <w:sz w:val="28"/>
                                <w:szCs w:val="28"/>
                                <w:lang w:val="zh-CN"/>
                                <w14:textFill>
                                  <w14:solidFill>
                                    <w14:schemeClr w14:val="tx1"/>
                                  </w14:solidFill>
                                </w14:textFill>
                              </w:rPr>
                              <w:t>2</w:t>
                            </w:r>
                          </w:p>
                          <w:p>
                            <w:pPr>
                              <w:pStyle w:val="15"/>
                              <w:rPr>
                                <w:color w:val="000000" w:themeColor="text1"/>
                                <w:sz w:val="28"/>
                                <w:szCs w:val="28"/>
                                <w14:textFill>
                                  <w14:solidFill>
                                    <w14:schemeClr w14:val="tx1"/>
                                  </w14:solidFill>
                                </w14:textFill>
                              </w:rPr>
                            </w:pPr>
                          </w:p>
                        </w:txbxContent>
                      </wps:txbx>
                      <wps:bodyPr rot="0" spcFirstLastPara="0" vertOverflow="overflow" horzOverflow="overflow" vert="horz" wrap="square" lIns="0" tIns="0" rIns="0" bIns="0" numCol="1" spcCol="0" rtlCol="0" fromWordArt="0" anchor="b" anchorCtr="0" forceAA="0" compatLnSpc="1">
                        <a:noAutofit/>
                      </wps:bodyPr>
                    </wps:wsp>
                  </a:graphicData>
                </a:graphic>
              </wp:anchor>
            </w:drawing>
          </mc:Choice>
          <mc:Fallback>
            <w:pict>
              <v:shape id="Text Box 4" o:spid="_x0000_s1026" o:spt="202" type="#_x0000_t202" style="position:absolute;left:0pt;margin-left:377.4pt;margin-top:17.75pt;height:73.15pt;width:163.35pt;mso-position-horizontal-relative:page;mso-position-vertical-relative:page;z-index:251659264;v-text-anchor:bottom;mso-width-relative:page;mso-height-relative:page;" filled="f" stroked="f" coordsize="21600,21600" o:gfxdata="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iO/T9oAAAALAQAADwAAAAAAAAABACAAAAAiAAAAZHJzL2Rvd25yZXYueG1sUEsBAhQAFAAAAAgA&#10;h07iQITKjQ0jAgAAVQQAAA4AAAAAAAAAAQAgAAAAKQEAAGRycy9lMm9Eb2MueG1sUEsFBgAAAAAG&#10;AAYAWQEAAL4FAAAAAA==&#10;">
                <v:fill on="f" focussize="0,0"/>
                <v:stroke on="f" weight="0.5pt"/>
                <v:imagedata o:title=""/>
                <o:lock v:ext="edit" aspectratio="f"/>
                <v:textbox inset="0mm,0mm,0mm,0mm">
                  <w:txbxContent>
                    <w:p>
                      <w:pPr>
                        <w:spacing w:after="160" w:line="251" w:lineRule="auto"/>
                        <w:ind w:left="0"/>
                        <w:jc w:val="right"/>
                        <w:rPr>
                          <w:color w:val="000000" w:themeColor="text1"/>
                          <w:sz w:val="28"/>
                          <w:szCs w:val="28"/>
                          <w14:textFill>
                            <w14:solidFill>
                              <w14:schemeClr w14:val="tx1"/>
                            </w14:solidFill>
                          </w14:textFill>
                        </w:rPr>
                      </w:pPr>
                    </w:p>
                    <w:p>
                      <w:pPr>
                        <w:spacing w:after="160" w:line="251" w:lineRule="auto"/>
                        <w:ind w:left="0"/>
                        <w:jc w:val="righ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AC 82/0</w:t>
                      </w:r>
                      <w:r>
                        <w:rPr>
                          <w:color w:val="000000" w:themeColor="text1"/>
                          <w:sz w:val="28"/>
                          <w:szCs w:val="28"/>
                          <w:lang w:val="zh-CN"/>
                          <w14:textFill>
                            <w14:solidFill>
                              <w14:schemeClr w14:val="tx1"/>
                            </w14:solidFill>
                          </w14:textFill>
                        </w:rPr>
                        <w:t>2</w:t>
                      </w:r>
                      <w:r>
                        <w:rPr>
                          <w:color w:val="000000" w:themeColor="text1"/>
                          <w:sz w:val="28"/>
                          <w:szCs w:val="28"/>
                          <w14:textFill>
                            <w14:solidFill>
                              <w14:schemeClr w14:val="tx1"/>
                            </w14:solidFill>
                          </w14:textFill>
                        </w:rPr>
                        <w:t>-</w:t>
                      </w:r>
                      <w:r>
                        <w:rPr>
                          <w:color w:val="000000" w:themeColor="text1"/>
                          <w:sz w:val="28"/>
                          <w:szCs w:val="28"/>
                          <w:lang w:val="zh-CN"/>
                          <w14:textFill>
                            <w14:solidFill>
                              <w14:schemeClr w14:val="tx1"/>
                            </w14:solidFill>
                          </w14:textFill>
                        </w:rPr>
                        <w:t>112</w:t>
                      </w:r>
                    </w:p>
                    <w:p>
                      <w:pPr>
                        <w:spacing w:after="400" w:line="251" w:lineRule="auto"/>
                        <w:ind w:left="0"/>
                        <w:jc w:val="right"/>
                        <w:rPr>
                          <w:color w:val="000000" w:themeColor="text1"/>
                          <w:sz w:val="28"/>
                          <w:szCs w:val="28"/>
                          <w:lang w:val="zh-CN"/>
                          <w14:textFill>
                            <w14:solidFill>
                              <w14:schemeClr w14:val="tx1"/>
                            </w14:solidFill>
                          </w14:textFill>
                        </w:rPr>
                      </w:pPr>
                      <w:r>
                        <w:rPr>
                          <w:color w:val="000000" w:themeColor="text1"/>
                          <w:sz w:val="28"/>
                          <w:szCs w:val="28"/>
                          <w14:textFill>
                            <w14:solidFill>
                              <w14:schemeClr w14:val="tx1"/>
                            </w14:solidFill>
                          </w14:textFill>
                        </w:rPr>
                        <w:t xml:space="preserve"> </w:t>
                      </w:r>
                      <w:r>
                        <w:rPr>
                          <w:color w:val="000000" w:themeColor="text1"/>
                          <w:sz w:val="28"/>
                          <w:szCs w:val="28"/>
                          <w:lang w:val="zh-CN"/>
                          <w14:textFill>
                            <w14:solidFill>
                              <w14:schemeClr w14:val="tx1"/>
                            </w14:solidFill>
                          </w14:textFill>
                        </w:rPr>
                        <w:t xml:space="preserve"> 12 august </w:t>
                      </w:r>
                      <w:r>
                        <w:rPr>
                          <w:color w:val="000000" w:themeColor="text1"/>
                          <w:sz w:val="28"/>
                          <w:szCs w:val="28"/>
                          <w14:textFill>
                            <w14:solidFill>
                              <w14:schemeClr w14:val="tx1"/>
                            </w14:solidFill>
                          </w14:textFill>
                        </w:rPr>
                        <w:t>202</w:t>
                      </w:r>
                      <w:r>
                        <w:rPr>
                          <w:color w:val="000000" w:themeColor="text1"/>
                          <w:sz w:val="28"/>
                          <w:szCs w:val="28"/>
                          <w:lang w:val="zh-CN"/>
                          <w14:textFill>
                            <w14:solidFill>
                              <w14:schemeClr w14:val="tx1"/>
                            </w14:solidFill>
                          </w14:textFill>
                        </w:rPr>
                        <w:t>2</w:t>
                      </w:r>
                    </w:p>
                    <w:p>
                      <w:pPr>
                        <w:pStyle w:val="15"/>
                        <w:rPr>
                          <w:color w:val="000000" w:themeColor="text1"/>
                          <w:sz w:val="28"/>
                          <w:szCs w:val="28"/>
                          <w14:textFill>
                            <w14:solidFill>
                              <w14:schemeClr w14:val="tx1"/>
                            </w14:solidFill>
                          </w14:textFill>
                        </w:rPr>
                      </w:pPr>
                    </w:p>
                  </w:txbxContent>
                </v:textbox>
              </v:shape>
            </w:pict>
          </mc:Fallback>
        </mc:AlternateContent>
      </w:r>
      <w:r>
        <w:rPr>
          <w:rFonts w:hint="default" w:ascii="Times New Roman" w:hAnsi="Times New Roman" w:cs="Times New Roman"/>
          <w:sz w:val="28"/>
          <w:szCs w:val="28"/>
          <w:lang w:val="en-US"/>
        </w:rPr>
        <w:t>Deputat în Parlamentul</w:t>
      </w:r>
      <w:r>
        <w:rPr>
          <w:rFonts w:hint="default" w:ascii="Times New Roman" w:hAnsi="Times New Roman" w:cs="Times New Roman"/>
          <w:sz w:val="28"/>
          <w:szCs w:val="28"/>
          <w:lang w:val="en-US"/>
        </w:rPr>
        <w:br w:type="textWrapping"/>
      </w:r>
      <w:r>
        <w:rPr>
          <w:rFonts w:hint="default" w:ascii="Times New Roman" w:hAnsi="Times New Roman" w:cs="Times New Roman"/>
          <w:sz w:val="28"/>
          <w:szCs w:val="28"/>
          <w:lang w:val="en-US"/>
        </w:rPr>
        <w:t>Republicii Moldova</w:t>
      </w:r>
    </w:p>
    <w:p>
      <w:pPr>
        <w:spacing w:after="0"/>
        <w:ind w:left="567"/>
        <w:jc w:val="right"/>
        <w:rPr>
          <w:rFonts w:hint="default" w:ascii="Times New Roman" w:hAnsi="Times New Roman" w:eastAsia="Calibri" w:cs="Times New Roman"/>
          <w:b/>
          <w:sz w:val="28"/>
          <w:szCs w:val="28"/>
        </w:rPr>
      </w:pPr>
    </w:p>
    <w:p>
      <w:pPr>
        <w:spacing w:after="0"/>
        <w:ind w:left="567"/>
        <w:jc w:val="right"/>
        <w:rPr>
          <w:rFonts w:hint="default" w:ascii="Times New Roman" w:hAnsi="Times New Roman" w:eastAsia="Calibri" w:cs="Times New Roman"/>
          <w:b/>
          <w:sz w:val="28"/>
          <w:szCs w:val="28"/>
        </w:rPr>
      </w:pPr>
    </w:p>
    <w:p>
      <w:pPr>
        <w:spacing w:after="0"/>
        <w:ind w:left="567"/>
        <w:jc w:val="right"/>
        <w:rPr>
          <w:rFonts w:hint="default" w:ascii="Times New Roman" w:hAnsi="Times New Roman" w:eastAsia="Calibri" w:cs="Times New Roman"/>
          <w:b/>
          <w:sz w:val="28"/>
          <w:szCs w:val="28"/>
        </w:rPr>
      </w:pPr>
      <w:r>
        <w:rPr>
          <w:rFonts w:hint="default" w:ascii="Times New Roman" w:hAnsi="Times New Roman" w:eastAsia="Calibri" w:cs="Times New Roman"/>
          <w:b/>
          <w:sz w:val="28"/>
          <w:szCs w:val="28"/>
        </w:rPr>
        <w:t xml:space="preserve">Biroul Permanent al </w:t>
      </w:r>
    </w:p>
    <w:p>
      <w:pPr>
        <w:spacing w:after="0"/>
        <w:ind w:left="567"/>
        <w:jc w:val="right"/>
        <w:rPr>
          <w:rFonts w:hint="default" w:ascii="Times New Roman" w:hAnsi="Times New Roman" w:eastAsia="Calibri" w:cs="Times New Roman"/>
          <w:b/>
          <w:sz w:val="28"/>
          <w:szCs w:val="28"/>
        </w:rPr>
      </w:pPr>
      <w:r>
        <w:rPr>
          <w:rFonts w:hint="default" w:ascii="Times New Roman" w:hAnsi="Times New Roman" w:eastAsia="Calibri" w:cs="Times New Roman"/>
          <w:b/>
          <w:sz w:val="28"/>
          <w:szCs w:val="28"/>
        </w:rPr>
        <w:t>Parlamentului Republicii Moldova</w:t>
      </w:r>
    </w:p>
    <w:p>
      <w:pPr>
        <w:spacing w:after="0"/>
        <w:ind w:left="567"/>
        <w:jc w:val="right"/>
        <w:rPr>
          <w:rFonts w:hint="default" w:ascii="Times New Roman" w:hAnsi="Times New Roman" w:eastAsia="Calibri" w:cs="Times New Roman"/>
          <w:b/>
          <w:sz w:val="28"/>
          <w:szCs w:val="28"/>
        </w:rPr>
      </w:pPr>
    </w:p>
    <w:p>
      <w:pPr>
        <w:spacing w:after="0"/>
        <w:ind w:left="567"/>
        <w:jc w:val="right"/>
        <w:rPr>
          <w:rFonts w:hint="default" w:ascii="Times New Roman" w:hAnsi="Times New Roman" w:eastAsia="Calibri" w:cs="Times New Roman"/>
          <w:b/>
          <w:sz w:val="28"/>
          <w:szCs w:val="28"/>
          <w:lang w:val="en-US"/>
        </w:rPr>
      </w:pPr>
    </w:p>
    <w:p>
      <w:pPr>
        <w:spacing w:after="0" w:line="360" w:lineRule="auto"/>
        <w:ind w:left="567"/>
        <w:jc w:val="both"/>
        <w:rPr>
          <w:rFonts w:hint="default" w:ascii="Times New Roman" w:hAnsi="Times New Roman" w:cs="Times New Roman"/>
          <w:sz w:val="28"/>
          <w:szCs w:val="28"/>
        </w:rPr>
      </w:pPr>
      <w:r>
        <w:rPr>
          <w:rFonts w:hint="default" w:ascii="Times New Roman" w:hAnsi="Times New Roman" w:eastAsia="Calibri" w:cs="Times New Roman"/>
          <w:sz w:val="28"/>
          <w:szCs w:val="28"/>
        </w:rPr>
        <w:t xml:space="preserve">         </w:t>
      </w:r>
      <w:r>
        <w:rPr>
          <w:rFonts w:hint="default" w:ascii="Times New Roman" w:hAnsi="Times New Roman" w:cs="Times New Roman"/>
          <w:sz w:val="28"/>
          <w:szCs w:val="28"/>
          <w:lang w:val="zh-CN"/>
        </w:rPr>
        <w:t xml:space="preserve">În temeiul art. 73 din Constituția Republicii Moldova și art. 47 din Regulamentul Parlamentului, se înaintează spre examinare Parlamentului, cu titlu de inițiativa legislativă, </w:t>
      </w:r>
      <w:r>
        <w:rPr>
          <w:rFonts w:hint="default" w:ascii="Times New Roman" w:hAnsi="Times New Roman" w:cs="Times New Roman"/>
          <w:sz w:val="28"/>
          <w:szCs w:val="28"/>
        </w:rPr>
        <w:t xml:space="preserve">proiectul de lege pentru modificarea </w:t>
      </w:r>
      <w:r>
        <w:rPr>
          <w:rFonts w:hint="default" w:ascii="Times New Roman" w:hAnsi="Times New Roman" w:cs="Times New Roman"/>
          <w:bCs/>
          <w:sz w:val="28"/>
          <w:szCs w:val="28"/>
        </w:rPr>
        <w:t>Legii nr.198/2007 cu privire la asistența juridică garantată de stat</w:t>
      </w:r>
      <w:r>
        <w:rPr>
          <w:rFonts w:hint="default" w:ascii="Times New Roman" w:hAnsi="Times New Roman" w:eastAsia="Georgia" w:cs="Times New Roman"/>
          <w:sz w:val="28"/>
          <w:szCs w:val="28"/>
          <w:lang w:eastAsia="zh-CN"/>
        </w:rPr>
        <w:t xml:space="preserve"> (Monitorul Oficial al Republicii Moldova, 2007, Nr. 157-160 art. 614).</w:t>
      </w:r>
    </w:p>
    <w:p>
      <w:pPr>
        <w:spacing w:after="0" w:line="360" w:lineRule="auto"/>
        <w:ind w:left="567" w:firstLine="567"/>
        <w:jc w:val="both"/>
        <w:rPr>
          <w:rFonts w:hint="default" w:ascii="Times New Roman" w:hAnsi="Times New Roman" w:eastAsia="Calibri" w:cs="Times New Roman"/>
          <w:sz w:val="28"/>
          <w:szCs w:val="28"/>
          <w:lang w:val="en-US"/>
        </w:rPr>
      </w:pPr>
    </w:p>
    <w:p>
      <w:pPr>
        <w:spacing w:after="0"/>
        <w:ind w:left="567" w:firstLine="567"/>
        <w:rPr>
          <w:rFonts w:hint="default" w:ascii="Times New Roman" w:hAnsi="Times New Roman" w:eastAsia="Calibri" w:cs="Times New Roman"/>
          <w:i/>
          <w:sz w:val="28"/>
          <w:szCs w:val="28"/>
          <w:lang w:val="en-US"/>
        </w:rPr>
      </w:pPr>
      <w:r>
        <w:rPr>
          <w:rFonts w:hint="default" w:ascii="Times New Roman" w:hAnsi="Times New Roman" w:eastAsia="Calibri" w:cs="Times New Roman"/>
          <w:i/>
          <w:sz w:val="28"/>
          <w:szCs w:val="28"/>
          <w:lang w:val="en-US"/>
        </w:rPr>
        <w:t>Anexă:   Proiectul de lege</w:t>
      </w:r>
    </w:p>
    <w:p>
      <w:pPr>
        <w:spacing w:after="0" w:line="276" w:lineRule="auto"/>
        <w:ind w:left="567" w:firstLine="567"/>
        <w:rPr>
          <w:rFonts w:hint="default" w:ascii="Times New Roman" w:hAnsi="Times New Roman" w:eastAsia="Calibri" w:cs="Times New Roman"/>
          <w:i/>
          <w:sz w:val="28"/>
          <w:szCs w:val="28"/>
          <w:lang w:val="zh-CN"/>
        </w:rPr>
      </w:pPr>
      <w:r>
        <w:rPr>
          <w:rFonts w:hint="default" w:ascii="Times New Roman" w:hAnsi="Times New Roman" w:eastAsia="Calibri" w:cs="Times New Roman"/>
          <w:i/>
          <w:sz w:val="28"/>
          <w:szCs w:val="28"/>
          <w:lang w:val="en-US"/>
        </w:rPr>
        <w:t xml:space="preserve">                Nota informativă</w:t>
      </w:r>
    </w:p>
    <w:p>
      <w:pPr>
        <w:spacing w:after="0"/>
        <w:ind w:left="567"/>
        <w:jc w:val="both"/>
        <w:rPr>
          <w:rFonts w:hint="default" w:ascii="Times New Roman" w:hAnsi="Times New Roman" w:eastAsia="Calibri" w:cs="Times New Roman"/>
          <w:b/>
          <w:sz w:val="28"/>
          <w:szCs w:val="28"/>
          <w:lang w:val="en-US"/>
        </w:rPr>
      </w:pPr>
    </w:p>
    <w:p>
      <w:pPr>
        <w:spacing w:after="0"/>
        <w:ind w:left="567"/>
        <w:jc w:val="both"/>
        <w:rPr>
          <w:rFonts w:hint="default" w:ascii="Times New Roman" w:hAnsi="Times New Roman" w:eastAsia="Calibri" w:cs="Times New Roman"/>
          <w:b/>
          <w:sz w:val="28"/>
          <w:szCs w:val="28"/>
        </w:rPr>
      </w:pPr>
    </w:p>
    <w:p>
      <w:pPr>
        <w:spacing w:after="0"/>
        <w:ind w:left="567"/>
        <w:jc w:val="right"/>
        <w:rPr>
          <w:rFonts w:hint="default" w:ascii="Times New Roman" w:hAnsi="Times New Roman" w:eastAsia="Calibri" w:cs="Times New Roman"/>
          <w:b/>
          <w:sz w:val="28"/>
          <w:szCs w:val="28"/>
        </w:rPr>
      </w:pPr>
      <w:r>
        <w:rPr>
          <w:rFonts w:hint="default" w:ascii="Times New Roman" w:hAnsi="Times New Roman" w:cs="Times New Roman"/>
          <w:b/>
          <w:bCs/>
          <w:sz w:val="28"/>
          <w:szCs w:val="28"/>
        </w:rPr>
        <w:t>Deputați în Parlamentul Republicii Moldova</w:t>
      </w:r>
      <w:r>
        <w:rPr>
          <w:rFonts w:hint="default" w:ascii="Times New Roman" w:hAnsi="Times New Roman" w:eastAsia="Calibri" w:cs="Times New Roman"/>
          <w:b/>
          <w:sz w:val="28"/>
          <w:szCs w:val="28"/>
        </w:rPr>
        <w:tab/>
      </w:r>
    </w:p>
    <w:p>
      <w:pPr>
        <w:spacing w:after="0"/>
        <w:ind w:left="567"/>
        <w:jc w:val="right"/>
        <w:rPr>
          <w:rFonts w:hint="default" w:ascii="Times New Roman" w:hAnsi="Times New Roman" w:eastAsia="Calibri" w:cs="Times New Roman"/>
          <w:b/>
          <w:sz w:val="28"/>
          <w:szCs w:val="28"/>
        </w:rPr>
      </w:pPr>
      <w:r>
        <w:rPr>
          <w:rFonts w:hint="default" w:ascii="Times New Roman" w:hAnsi="Times New Roman" w:eastAsia="Calibri" w:cs="Times New Roman"/>
          <w:b/>
          <w:sz w:val="28"/>
          <w:szCs w:val="28"/>
        </w:rPr>
        <w:tab/>
      </w:r>
      <w:r>
        <w:rPr>
          <w:rFonts w:hint="default" w:ascii="Times New Roman" w:hAnsi="Times New Roman" w:eastAsia="Calibri" w:cs="Times New Roman"/>
          <w:b/>
          <w:sz w:val="28"/>
          <w:szCs w:val="28"/>
        </w:rPr>
        <w:tab/>
      </w:r>
    </w:p>
    <w:p>
      <w:pPr>
        <w:spacing w:after="0"/>
        <w:ind w:left="0"/>
        <w:rPr>
          <w:rFonts w:hint="default" w:ascii="Times New Roman" w:hAnsi="Times New Roman" w:eastAsia="Calibri" w:cs="Times New Roman"/>
          <w:b/>
          <w:sz w:val="28"/>
          <w:szCs w:val="28"/>
        </w:rPr>
      </w:pPr>
      <w:r>
        <w:rPr>
          <w:rFonts w:hint="default" w:ascii="Times New Roman" w:hAnsi="Times New Roman" w:eastAsia="Calibri" w:cs="Times New Roman"/>
          <w:b/>
          <w:sz w:val="28"/>
          <w:szCs w:val="28"/>
        </w:rPr>
        <w:t xml:space="preserve"> </w:t>
      </w:r>
    </w:p>
    <w:p>
      <w:pPr>
        <w:spacing w:after="0"/>
        <w:ind w:left="0"/>
        <w:rPr>
          <w:rFonts w:hint="default" w:ascii="Times New Roman" w:hAnsi="Times New Roman" w:eastAsia="Arial" w:cs="Times New Roman"/>
          <w:sz w:val="28"/>
          <w:szCs w:val="28"/>
        </w:rPr>
      </w:pPr>
    </w:p>
    <w:p>
      <w:pPr>
        <w:spacing w:after="0"/>
        <w:ind w:left="0"/>
        <w:rPr>
          <w:rFonts w:hint="default" w:ascii="Times New Roman" w:hAnsi="Times New Roman" w:eastAsia="Arial" w:cs="Times New Roman"/>
          <w:sz w:val="28"/>
          <w:szCs w:val="28"/>
        </w:rPr>
      </w:pPr>
    </w:p>
    <w:p>
      <w:pPr>
        <w:spacing w:after="0"/>
        <w:ind w:left="0"/>
        <w:rPr>
          <w:rFonts w:hint="default" w:ascii="Times New Roman" w:hAnsi="Times New Roman" w:eastAsia="Arial" w:cs="Times New Roman"/>
          <w:sz w:val="28"/>
          <w:szCs w:val="28"/>
        </w:rPr>
      </w:pPr>
    </w:p>
    <w:p>
      <w:pPr>
        <w:spacing w:after="0"/>
        <w:ind w:left="0"/>
        <w:rPr>
          <w:rFonts w:hint="default" w:ascii="Times New Roman" w:hAnsi="Times New Roman" w:eastAsia="Calibri" w:cs="Times New Roman"/>
          <w:b/>
          <w:sz w:val="28"/>
          <w:szCs w:val="28"/>
        </w:rPr>
      </w:pPr>
    </w:p>
    <w:p>
      <w:pPr>
        <w:spacing w:after="0"/>
        <w:ind w:left="0"/>
        <w:rPr>
          <w:rFonts w:hint="default" w:ascii="Times New Roman" w:hAnsi="Times New Roman" w:eastAsia="Calibri" w:cs="Times New Roman"/>
          <w:b/>
          <w:sz w:val="28"/>
          <w:szCs w:val="28"/>
        </w:rPr>
      </w:pPr>
    </w:p>
    <w:p>
      <w:pPr>
        <w:spacing w:after="0"/>
        <w:ind w:left="0"/>
        <w:rPr>
          <w:rFonts w:hint="default" w:ascii="Times New Roman" w:hAnsi="Times New Roman" w:eastAsia="Calibri" w:cs="Times New Roman"/>
          <w:b/>
          <w:sz w:val="28"/>
          <w:szCs w:val="28"/>
        </w:rPr>
      </w:pPr>
    </w:p>
    <w:p>
      <w:pPr>
        <w:spacing w:after="0" w:line="276" w:lineRule="auto"/>
        <w:ind w:left="0" w:firstLine="567"/>
        <w:jc w:val="right"/>
        <w:rPr>
          <w:rFonts w:hint="default" w:ascii="Times New Roman" w:hAnsi="Times New Roman" w:eastAsia="Calibri" w:cs="Times New Roman"/>
          <w:b/>
          <w:sz w:val="28"/>
          <w:szCs w:val="28"/>
        </w:rPr>
      </w:pPr>
    </w:p>
    <w:p>
      <w:pPr>
        <w:pStyle w:val="11"/>
        <w:spacing w:before="0" w:beforeAutospacing="0" w:after="0" w:afterAutospacing="0"/>
        <w:ind w:left="567" w:firstLine="709"/>
        <w:jc w:val="right"/>
        <w:rPr>
          <w:rFonts w:hint="default" w:ascii="Times New Roman" w:hAnsi="Times New Roman" w:cs="Times New Roman"/>
          <w:i/>
          <w:iCs/>
          <w:sz w:val="28"/>
          <w:szCs w:val="28"/>
        </w:rPr>
      </w:pPr>
    </w:p>
    <w:bookmarkEnd w:id="0"/>
    <w:p>
      <w:pPr>
        <w:spacing w:after="0"/>
        <w:jc w:val="right"/>
        <w:rPr>
          <w:rFonts w:hint="default" w:ascii="Times New Roman" w:hAnsi="Times New Roman" w:cs="Times New Roman"/>
          <w:sz w:val="28"/>
          <w:szCs w:val="28"/>
        </w:rPr>
      </w:pPr>
      <w:r>
        <w:rPr>
          <w:rFonts w:hint="default" w:ascii="Times New Roman" w:hAnsi="Times New Roman" w:cs="Times New Roman"/>
          <w:i/>
          <w:iCs/>
          <w:sz w:val="28"/>
          <w:szCs w:val="28"/>
        </w:rPr>
        <w:t>Proiect</w:t>
      </w:r>
    </w:p>
    <w:p>
      <w:pPr>
        <w:spacing w:line="240" w:lineRule="auto"/>
        <w:ind w:left="0"/>
        <w:rPr>
          <w:rFonts w:hint="default" w:ascii="Times New Roman" w:hAnsi="Times New Roman" w:cs="Times New Roman"/>
          <w:sz w:val="28"/>
          <w:szCs w:val="28"/>
        </w:rPr>
      </w:pPr>
    </w:p>
    <w:p>
      <w:pPr>
        <w:spacing w:line="24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LE</w:t>
      </w:r>
      <w:bookmarkStart w:id="2" w:name="_GoBack"/>
      <w:bookmarkEnd w:id="2"/>
      <w:r>
        <w:rPr>
          <w:rFonts w:hint="default" w:ascii="Times New Roman" w:hAnsi="Times New Roman" w:cs="Times New Roman"/>
          <w:b/>
          <w:bCs/>
          <w:sz w:val="28"/>
          <w:szCs w:val="28"/>
        </w:rPr>
        <w:t>GE</w:t>
      </w:r>
    </w:p>
    <w:p>
      <w:pPr>
        <w:spacing w:line="24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pentru modificarea Legii nr. 198/2007 cu</w:t>
      </w:r>
    </w:p>
    <w:p>
      <w:pPr>
        <w:spacing w:line="240" w:lineRule="auto"/>
        <w:jc w:val="center"/>
        <w:rPr>
          <w:rFonts w:hint="default" w:ascii="Times New Roman" w:hAnsi="Times New Roman" w:cs="Times New Roman"/>
          <w:sz w:val="28"/>
          <w:szCs w:val="28"/>
        </w:rPr>
      </w:pPr>
      <w:r>
        <w:rPr>
          <w:rFonts w:hint="default" w:ascii="Times New Roman" w:hAnsi="Times New Roman" w:cs="Times New Roman"/>
          <w:b/>
          <w:bCs/>
          <w:sz w:val="28"/>
          <w:szCs w:val="28"/>
        </w:rPr>
        <w:t>privire la asistența juridică garantată de stat</w:t>
      </w:r>
    </w:p>
    <w:p>
      <w:pPr>
        <w:spacing w:line="240" w:lineRule="auto"/>
        <w:jc w:val="center"/>
        <w:rPr>
          <w:rFonts w:hint="default" w:ascii="Times New Roman" w:hAnsi="Times New Roman" w:cs="Times New Roman"/>
          <w:sz w:val="28"/>
          <w:szCs w:val="28"/>
        </w:rPr>
      </w:pP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Parlamentul adoptă prezenta lege organică.</w:t>
      </w:r>
    </w:p>
    <w:p>
      <w:pPr>
        <w:spacing w:line="240" w:lineRule="auto"/>
        <w:ind w:firstLine="709"/>
        <w:jc w:val="both"/>
        <w:rPr>
          <w:rFonts w:hint="default" w:ascii="Times New Roman" w:hAnsi="Times New Roman" w:cs="Times New Roman"/>
          <w:sz w:val="28"/>
          <w:szCs w:val="28"/>
        </w:rPr>
      </w:pP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b/>
          <w:bCs/>
          <w:sz w:val="28"/>
          <w:szCs w:val="28"/>
        </w:rPr>
        <w:t>Art. I.</w:t>
      </w:r>
      <w:r>
        <w:rPr>
          <w:rFonts w:hint="default" w:ascii="Times New Roman" w:hAnsi="Times New Roman" w:cs="Times New Roman"/>
          <w:sz w:val="28"/>
          <w:szCs w:val="28"/>
        </w:rPr>
        <w:t xml:space="preserve"> – Legea nr. 198/2007 cu privire la asistența juridică garantată de stat (Monitorul Oficial al Republicii Moldova, 2007, nr. 157-160, art. 614), cu modificările ulterioare, se modifică după cum urmează:</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În tot cuprinsul legii, sintagma „Baroul Avocaților”, la orice formă gramaticală, se substituie cu sintagma „Uniunea Avocaților”, la forma gramaticală corespunzătoare.</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La articolul 2, la definiția noțiunii „para-jurist”, după cuvîntul „avînd” se completează cu textul „ , de regulă,”.</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La articolul 11 alineatul (3), cuvintele „și poate fi reînnoit doar o singură dată” se exclud.</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La articolul 13</w:t>
      </w:r>
      <w:r>
        <w:rPr>
          <w:rFonts w:hint="default" w:ascii="Times New Roman" w:hAnsi="Times New Roman" w:cs="Times New Roman"/>
          <w:sz w:val="28"/>
          <w:szCs w:val="28"/>
          <w:vertAlign w:val="superscript"/>
        </w:rPr>
        <w:t>1</w:t>
      </w:r>
      <w:r>
        <w:rPr>
          <w:rFonts w:hint="default" w:ascii="Times New Roman" w:hAnsi="Times New Roman" w:cs="Times New Roman"/>
          <w:sz w:val="28"/>
          <w:szCs w:val="28"/>
        </w:rPr>
        <w:t xml:space="preserve"> alineatul (1), enunțul „Mandatul său poate fi reînnoit o singură dată.” se exclude.</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Articolul 20:</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la litera i), semnul de punctuație „.” se substituie cu semnul de punctuație „;”;</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se completează cu litera j) cu următorul cuprins:</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„j) persoanelor cu dizabilitate severă sau accentuată.”.</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Articolul 21:</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la alineatul (1), cuvintele „nivelul venitului stabilit de Guvern pentru beneficiere de asistență juridică în conformitate cu prezenta lege” se substituie cu cuvintele „salariul minim lunar stabilit de Guvern”;</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la alineatul (3), cuvintele „și nivelul venitului” se exclud;</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alineatul (4) se abrogă.</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Articolul 24:</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alineatul (1):</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la litera d), semnul de punctuație „.” se substituie cu semnul de punctuație „;”;</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se completează cu litera e) cu următorul cuprins:</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„e) solicitantul deja beneficiază pe aceeași cauză de asistență juridică calificată garantată de stat sau de asistență juridică acordată de un avocat în bază de contract.”.</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la alineatul (1</w:t>
      </w:r>
      <w:r>
        <w:rPr>
          <w:rFonts w:hint="default" w:ascii="Times New Roman" w:hAnsi="Times New Roman" w:cs="Times New Roman"/>
          <w:sz w:val="28"/>
          <w:szCs w:val="28"/>
          <w:vertAlign w:val="superscript"/>
        </w:rPr>
        <w:t>1</w:t>
      </w:r>
      <w:r>
        <w:rPr>
          <w:rFonts w:hint="default" w:ascii="Times New Roman" w:hAnsi="Times New Roman" w:cs="Times New Roman"/>
          <w:sz w:val="28"/>
          <w:szCs w:val="28"/>
        </w:rPr>
        <w:t>):</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litera c) va avea următorul cuprins:</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„c) solicitantul deja beneficiază pe aceeași cauză de asistență juridică calificată garantată de stat sau de asistență juridică acordată de un avocat în bază de contract;”;</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la litera b), cuvintele „minimul de existență” se substituie cu cuvintele „salariul minim lunar stabilit de Guvern”.</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La articolul 33 alineatul (1), enunțul „Periodic, către data de 30 iunie și 31 decembrie, listele se actualizează și s</w:t>
      </w:r>
      <w:r>
        <w:rPr>
          <w:rFonts w:hint="default" w:ascii="Times New Roman" w:hAnsi="Times New Roman" w:cs="Times New Roman"/>
          <w:sz w:val="28"/>
          <w:szCs w:val="28"/>
          <w:lang/>
        </w:rPr>
        <w:t>î</w:t>
      </w:r>
      <w:r>
        <w:rPr>
          <w:rFonts w:hint="default" w:ascii="Times New Roman" w:hAnsi="Times New Roman" w:cs="Times New Roman"/>
          <w:sz w:val="28"/>
          <w:szCs w:val="28"/>
        </w:rPr>
        <w:t>nt făcute publice.” se substituie cu enunțul „Listele se actualizează semestrial și sunt făcute publice.”.</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La articolul 34 alineatul (4), cuvintele „Anual sau la cererea” se substituie cu cuvintele „La cererea”.</w:t>
      </w:r>
    </w:p>
    <w:p>
      <w:pPr>
        <w:spacing w:line="240" w:lineRule="auto"/>
        <w:ind w:firstLine="709"/>
        <w:jc w:val="right"/>
        <w:rPr>
          <w:rFonts w:hint="default" w:ascii="Times New Roman" w:hAnsi="Times New Roman" w:cs="Times New Roman"/>
          <w:sz w:val="28"/>
          <w:szCs w:val="28"/>
        </w:rPr>
      </w:pP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b/>
          <w:bCs/>
          <w:sz w:val="28"/>
          <w:szCs w:val="28"/>
        </w:rPr>
        <w:t>Art. II.</w:t>
      </w:r>
      <w:r>
        <w:rPr>
          <w:rFonts w:hint="default" w:ascii="Times New Roman" w:hAnsi="Times New Roman" w:cs="Times New Roman"/>
          <w:sz w:val="28"/>
          <w:szCs w:val="28"/>
        </w:rPr>
        <w:t xml:space="preserve"> – (1) Prezenta lege intră în vigoare la data publicării în Monitorul Oficial al Republicii Moldova, cu excepția art. I pct. 6, care intră în vigoare la 1 ianuarie 2023.</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Modificările prevăzute în prezenta lege nu constituie temei pentru încetarea acordării asistenței juridice calificate garantate de stat pentru persoanele care beneficiază de asistență juridică calificată la momentul intrării în vigoare a prezentei legi.</w:t>
      </w:r>
    </w:p>
    <w:p>
      <w:pPr>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Guvernul, în termen de 6 luni de la data publicării prezentei legi, va aduce actele sale normative în concordanță cu prezenta lege.</w:t>
      </w:r>
    </w:p>
    <w:p>
      <w:pPr>
        <w:spacing w:after="0"/>
        <w:ind w:left="0"/>
        <w:jc w:val="both"/>
        <w:rPr>
          <w:rFonts w:hint="default" w:ascii="Times New Roman" w:hAnsi="Times New Roman" w:cs="Times New Roman"/>
          <w:b/>
          <w:bCs/>
          <w:sz w:val="28"/>
          <w:szCs w:val="28"/>
        </w:rPr>
      </w:pPr>
    </w:p>
    <w:p>
      <w:pPr>
        <w:spacing w:after="0"/>
        <w:ind w:left="0"/>
        <w:jc w:val="center"/>
        <w:rPr>
          <w:rFonts w:hint="default" w:ascii="Times New Roman" w:hAnsi="Times New Roman" w:cs="Times New Roman"/>
          <w:b/>
          <w:bCs/>
          <w:sz w:val="28"/>
          <w:szCs w:val="28"/>
        </w:rPr>
      </w:pPr>
      <w:r>
        <w:rPr>
          <w:rFonts w:hint="default" w:ascii="Times New Roman" w:hAnsi="Times New Roman" w:cs="Times New Roman"/>
          <w:b/>
          <w:bCs/>
          <w:sz w:val="28"/>
          <w:szCs w:val="28"/>
        </w:rPr>
        <w:t>PREȘEDINTELE PARLAMENTULUI</w:t>
      </w:r>
    </w:p>
    <w:p>
      <w:pPr>
        <w:spacing w:after="0"/>
        <w:ind w:firstLine="709"/>
        <w:jc w:val="both"/>
        <w:rPr>
          <w:rFonts w:hint="default" w:ascii="Times New Roman" w:hAnsi="Times New Roman" w:cs="Times New Roman"/>
          <w:szCs w:val="28"/>
        </w:rPr>
      </w:pPr>
    </w:p>
    <w:p>
      <w:pPr>
        <w:spacing w:after="0"/>
        <w:ind w:firstLine="709"/>
        <w:jc w:val="both"/>
        <w:rPr>
          <w:rFonts w:hint="default" w:ascii="Times New Roman" w:hAnsi="Times New Roman" w:cs="Times New Roman"/>
          <w:szCs w:val="28"/>
        </w:rPr>
      </w:pPr>
    </w:p>
    <w:p>
      <w:pPr>
        <w:spacing w:after="0"/>
        <w:ind w:firstLine="709"/>
        <w:jc w:val="both"/>
        <w:rPr>
          <w:rFonts w:hint="default" w:ascii="Times New Roman" w:hAnsi="Times New Roman" w:cs="Times New Roman"/>
          <w:szCs w:val="28"/>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10172" w:type="dxa"/>
            <w:shd w:val="clear" w:color="auto" w:fill="B4C6E7" w:themeFill="accent1" w:themeFillTint="66"/>
            <w:vAlign w:val="center"/>
          </w:tcPr>
          <w:p>
            <w:pPr>
              <w:tabs>
                <w:tab w:val="left" w:pos="884"/>
                <w:tab w:val="left" w:pos="1196"/>
              </w:tabs>
              <w:ind w:right="141"/>
              <w:jc w:val="center"/>
              <w:rPr>
                <w:rFonts w:hint="default" w:ascii="Times New Roman" w:hAnsi="Times New Roman" w:eastAsia="Calibri" w:cs="Times New Roman"/>
                <w:b/>
                <w:szCs w:val="28"/>
                <w:lang w:eastAsia="ru-RU"/>
              </w:rPr>
            </w:pPr>
            <w:r>
              <w:rPr>
                <w:rFonts w:hint="default" w:ascii="Times New Roman" w:hAnsi="Times New Roman" w:eastAsia="Calibri" w:cs="Times New Roman"/>
                <w:b/>
                <w:szCs w:val="28"/>
                <w:lang w:eastAsia="ru-RU"/>
              </w:rPr>
              <w:t>NOTĂ INFORMATIVĂ</w:t>
            </w:r>
          </w:p>
          <w:p>
            <w:pPr>
              <w:tabs>
                <w:tab w:val="left" w:pos="884"/>
                <w:tab w:val="left" w:pos="1196"/>
              </w:tabs>
              <w:ind w:right="141"/>
              <w:jc w:val="center"/>
              <w:rPr>
                <w:rFonts w:hint="default" w:ascii="Times New Roman" w:hAnsi="Times New Roman" w:eastAsia="Calibri" w:cs="Times New Roman"/>
                <w:b/>
                <w:szCs w:val="28"/>
                <w:lang w:eastAsia="ru-RU"/>
              </w:rPr>
            </w:pPr>
            <w:r>
              <w:rPr>
                <w:rFonts w:hint="default" w:ascii="Times New Roman" w:hAnsi="Times New Roman" w:eastAsia="Calibri" w:cs="Times New Roman"/>
                <w:b/>
                <w:szCs w:val="28"/>
                <w:lang w:eastAsia="ru-RU"/>
              </w:rPr>
              <w:t>la proiectul de lege pentru modificarea Legii nr. 198/2007 cu</w:t>
            </w:r>
          </w:p>
          <w:p>
            <w:pPr>
              <w:tabs>
                <w:tab w:val="left" w:pos="884"/>
                <w:tab w:val="left" w:pos="1196"/>
              </w:tabs>
              <w:ind w:right="141"/>
              <w:jc w:val="center"/>
              <w:rPr>
                <w:rFonts w:hint="default" w:ascii="Times New Roman" w:hAnsi="Times New Roman" w:eastAsia="Calibri" w:cs="Times New Roman"/>
                <w:b/>
                <w:szCs w:val="28"/>
                <w:lang w:eastAsia="ru-RU"/>
              </w:rPr>
            </w:pPr>
            <w:r>
              <w:rPr>
                <w:rFonts w:hint="default" w:ascii="Times New Roman" w:hAnsi="Times New Roman" w:eastAsia="Calibri" w:cs="Times New Roman"/>
                <w:b/>
                <w:szCs w:val="28"/>
                <w:lang w:eastAsia="ru-RU"/>
              </w:rPr>
              <w:t>privire la asistența juridică garantată de stat</w:t>
            </w:r>
          </w:p>
        </w:tc>
      </w:tr>
    </w:tbl>
    <w:p>
      <w:pPr>
        <w:tabs>
          <w:tab w:val="left" w:pos="884"/>
          <w:tab w:val="left" w:pos="1196"/>
        </w:tabs>
        <w:spacing w:after="0"/>
        <w:jc w:val="center"/>
        <w:rPr>
          <w:rFonts w:hint="default" w:ascii="Times New Roman" w:hAnsi="Times New Roman" w:eastAsia="Calibri" w:cs="Times New Roman"/>
          <w:b/>
          <w:szCs w:val="28"/>
          <w:lang w:eastAsia="ru-RU"/>
        </w:rPr>
      </w:pPr>
    </w:p>
    <w:tbl>
      <w:tblPr>
        <w:tblStyle w:val="3"/>
        <w:tblW w:w="494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shd w:val="clear" w:color="auto" w:fill="BDD6EE"/>
          </w:tcPr>
          <w:p>
            <w:pPr>
              <w:tabs>
                <w:tab w:val="left" w:pos="284"/>
                <w:tab w:val="left" w:pos="1196"/>
              </w:tabs>
              <w:spacing w:after="0"/>
              <w:ind w:left="28"/>
              <w:jc w:val="center"/>
              <w:rPr>
                <w:rFonts w:hint="default" w:ascii="Times New Roman" w:hAnsi="Times New Roman" w:eastAsia="Calibri" w:cs="Times New Roman"/>
                <w:b/>
                <w:szCs w:val="28"/>
                <w:lang w:eastAsia="ru-RU"/>
              </w:rPr>
            </w:pPr>
            <w:r>
              <w:rPr>
                <w:rFonts w:hint="default" w:ascii="Times New Roman" w:hAnsi="Times New Roman" w:eastAsia="Calibri" w:cs="Times New Roman"/>
                <w:b/>
                <w:szCs w:val="28"/>
                <w:lang w:eastAsia="ru-RU"/>
              </w:rPr>
              <w:t>1. Denumirea autorului şi, după caz, a participanților la elaborarea proiectului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Proiectul de lege pentru modificarea Legii nr. 198/2007 cu privire la asistența juridică garantată de stat a fost elaborat de către deputatul în Parlamentul Republicii Moldova, Artemie Cătănoi, în colaborare cu Ministerul Justiției și Consiliul Național pentru Asistență Juridică Garantată de Stat.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shd w:val="clear" w:color="auto" w:fill="BDD6EE"/>
          </w:tcPr>
          <w:p>
            <w:pPr>
              <w:tabs>
                <w:tab w:val="left" w:pos="884"/>
                <w:tab w:val="left" w:pos="1196"/>
              </w:tabs>
              <w:spacing w:after="0"/>
              <w:jc w:val="center"/>
              <w:rPr>
                <w:rFonts w:hint="default" w:ascii="Times New Roman" w:hAnsi="Times New Roman" w:eastAsia="Calibri" w:cs="Times New Roman"/>
                <w:b/>
                <w:szCs w:val="28"/>
                <w:lang w:eastAsia="ru-RU"/>
              </w:rPr>
            </w:pPr>
            <w:r>
              <w:rPr>
                <w:rFonts w:hint="default" w:ascii="Times New Roman" w:hAnsi="Times New Roman" w:eastAsia="Calibri" w:cs="Times New Roman"/>
                <w:b/>
                <w:szCs w:val="28"/>
                <w:lang w:eastAsia="ru-RU"/>
              </w:rPr>
              <w:t>2. Condițiile ce au impus elaborarea proiectului de act normativ şi finalitățile urmărite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Proiectul are drept scop fortificarea sistemului de asistență juridică garantată de stat, în vederea asigurării efective a dreptului la apărare, în corespundere cu </w:t>
            </w:r>
            <w:r>
              <w:rPr>
                <w:rFonts w:hint="default" w:ascii="Times New Roman" w:hAnsi="Times New Roman" w:eastAsia="Calibri" w:cs="Times New Roman"/>
                <w:i/>
                <w:iCs/>
                <w:szCs w:val="28"/>
                <w:lang w:eastAsia="ru-RU"/>
              </w:rPr>
              <w:t>Constituția Republicii Moldova</w:t>
            </w:r>
            <w:r>
              <w:rPr>
                <w:rFonts w:hint="default" w:ascii="Times New Roman" w:hAnsi="Times New Roman" w:eastAsia="Calibri" w:cs="Times New Roman"/>
                <w:szCs w:val="28"/>
                <w:lang w:eastAsia="ru-RU"/>
              </w:rPr>
              <w:t xml:space="preserve"> și </w:t>
            </w:r>
            <w:r>
              <w:rPr>
                <w:rFonts w:hint="default" w:ascii="Times New Roman" w:hAnsi="Times New Roman" w:eastAsia="Calibri" w:cs="Times New Roman"/>
                <w:i/>
                <w:iCs/>
                <w:szCs w:val="28"/>
                <w:lang w:eastAsia="ru-RU"/>
              </w:rPr>
              <w:t>Convenția pentru apărarea Drepturilor Omului și a Libertăților fundamentale</w:t>
            </w:r>
            <w:r>
              <w:rPr>
                <w:rFonts w:hint="default" w:ascii="Times New Roman" w:hAnsi="Times New Roman" w:eastAsia="Calibri" w:cs="Times New Roman"/>
                <w:szCs w:val="28"/>
                <w:lang w:eastAsia="ru-RU"/>
              </w:rPr>
              <w:t xml:space="preserve"> (în continuare – </w:t>
            </w:r>
            <w:r>
              <w:rPr>
                <w:rFonts w:hint="default" w:ascii="Times New Roman" w:hAnsi="Times New Roman" w:eastAsia="Calibri" w:cs="Times New Roman"/>
                <w:i/>
                <w:iCs/>
                <w:szCs w:val="28"/>
                <w:lang w:eastAsia="ru-RU"/>
              </w:rPr>
              <w:t>CEDO</w:t>
            </w:r>
            <w:r>
              <w:rPr>
                <w:rFonts w:hint="default" w:ascii="Times New Roman" w:hAnsi="Times New Roman" w:eastAsia="Calibri" w:cs="Times New Roman"/>
                <w:szCs w:val="28"/>
                <w:lang w:eastAsia="ru-RU"/>
              </w:rPr>
              <w:t>).</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Art. 26 alin. (3) din </w:t>
            </w:r>
            <w:r>
              <w:rPr>
                <w:rFonts w:hint="default" w:ascii="Times New Roman" w:hAnsi="Times New Roman" w:eastAsia="Calibri" w:cs="Times New Roman"/>
                <w:i/>
                <w:iCs/>
                <w:szCs w:val="28"/>
                <w:lang w:eastAsia="ru-RU"/>
              </w:rPr>
              <w:t>Constituția Republicii Moldova</w:t>
            </w:r>
            <w:r>
              <w:rPr>
                <w:rFonts w:hint="default" w:ascii="Times New Roman" w:hAnsi="Times New Roman" w:eastAsia="Calibri" w:cs="Times New Roman"/>
                <w:szCs w:val="28"/>
                <w:lang w:eastAsia="ru-RU"/>
              </w:rPr>
              <w:t xml:space="preserve"> prevede că, în tot cursul procesului, părțile au dreptul să fie asistate de un avocat, ales sau numit din oficiu. Iar, art. 6 § 3 (c) din </w:t>
            </w:r>
            <w:r>
              <w:rPr>
                <w:rFonts w:hint="default" w:ascii="Times New Roman" w:hAnsi="Times New Roman" w:eastAsia="Calibri" w:cs="Times New Roman"/>
                <w:i/>
                <w:iCs/>
                <w:szCs w:val="28"/>
                <w:lang w:eastAsia="ru-RU"/>
              </w:rPr>
              <w:t>CEDO</w:t>
            </w:r>
            <w:r>
              <w:rPr>
                <w:rFonts w:hint="default" w:ascii="Times New Roman" w:hAnsi="Times New Roman" w:eastAsia="Calibri" w:cs="Times New Roman"/>
                <w:szCs w:val="28"/>
                <w:lang w:eastAsia="ru-RU"/>
              </w:rPr>
              <w:t xml:space="preserve"> stabilește următoarele:</w:t>
            </w:r>
          </w:p>
          <w:p>
            <w:pPr>
              <w:tabs>
                <w:tab w:val="left" w:pos="884"/>
                <w:tab w:val="left" w:pos="1196"/>
              </w:tabs>
              <w:spacing w:after="0"/>
              <w:ind w:left="1020" w:right="775" w:hanging="283"/>
              <w:jc w:val="both"/>
              <w:rPr>
                <w:rFonts w:hint="default" w:ascii="Times New Roman" w:hAnsi="Times New Roman" w:eastAsia="Calibri" w:cs="Times New Roman"/>
                <w:lang w:eastAsia="ru-RU"/>
              </w:rPr>
            </w:pPr>
            <w:r>
              <w:rPr>
                <w:rFonts w:hint="default" w:ascii="Times New Roman" w:hAnsi="Times New Roman" w:eastAsia="Calibri" w:cs="Times New Roman"/>
                <w:lang w:eastAsia="ru-RU"/>
              </w:rPr>
              <w:t>„3. Orice acuzat are, mai ales dreptul:</w:t>
            </w:r>
          </w:p>
          <w:p>
            <w:pPr>
              <w:tabs>
                <w:tab w:val="left" w:pos="884"/>
                <w:tab w:val="left" w:pos="1196"/>
              </w:tabs>
              <w:spacing w:before="120"/>
              <w:ind w:left="1021" w:right="777" w:hanging="284"/>
              <w:jc w:val="both"/>
              <w:rPr>
                <w:rFonts w:hint="default" w:ascii="Times New Roman" w:hAnsi="Times New Roman" w:eastAsia="Calibri" w:cs="Times New Roman"/>
                <w:lang w:eastAsia="ru-RU"/>
              </w:rPr>
            </w:pPr>
            <w:r>
              <w:rPr>
                <w:rFonts w:hint="default" w:ascii="Times New Roman" w:hAnsi="Times New Roman" w:eastAsia="Calibri" w:cs="Times New Roman"/>
                <w:lang w:val="en-US" w:eastAsia="ru-RU"/>
              </w:rPr>
              <w:t>[...]</w:t>
            </w:r>
          </w:p>
          <w:p>
            <w:pPr>
              <w:tabs>
                <w:tab w:val="left" w:pos="884"/>
                <w:tab w:val="left" w:pos="1196"/>
              </w:tabs>
              <w:spacing w:after="0"/>
              <w:ind w:left="1020" w:right="775" w:hanging="283"/>
              <w:jc w:val="both"/>
              <w:rPr>
                <w:rFonts w:hint="default" w:ascii="Times New Roman" w:hAnsi="Times New Roman" w:eastAsia="Calibri" w:cs="Times New Roman"/>
                <w:lang w:eastAsia="ru-RU"/>
              </w:rPr>
            </w:pPr>
            <w:r>
              <w:rPr>
                <w:rFonts w:hint="default" w:ascii="Times New Roman" w:hAnsi="Times New Roman" w:eastAsia="Calibri" w:cs="Times New Roman"/>
                <w:lang w:eastAsia="ru-RU"/>
              </w:rPr>
              <w:t xml:space="preserve">c. să se apere el însuși sau să fie asistat de un apărător ales de el și, dacă nu dispune de mijloace necesare remunerării unui apărător, să poată fi asistat gratuit de un avocat din oficiu, atunci </w:t>
            </w:r>
            <w:r>
              <w:rPr>
                <w:rFonts w:hint="default" w:ascii="Times New Roman" w:hAnsi="Times New Roman" w:eastAsia="Calibri" w:cs="Times New Roman"/>
                <w:lang w:eastAsia="ru-RU"/>
              </w:rPr>
              <w:t>când</w:t>
            </w:r>
            <w:r>
              <w:rPr>
                <w:rFonts w:hint="default" w:ascii="Times New Roman" w:hAnsi="Times New Roman" w:eastAsia="Calibri" w:cs="Times New Roman"/>
                <w:lang w:eastAsia="ru-RU"/>
              </w:rPr>
              <w:t xml:space="preserve"> interesele justiției o cer;”.</w:t>
            </w:r>
          </w:p>
          <w:p>
            <w:pPr>
              <w:tabs>
                <w:tab w:val="left" w:pos="884"/>
                <w:tab w:val="left" w:pos="1196"/>
              </w:tabs>
              <w:spacing w:after="0"/>
              <w:ind w:firstLine="737"/>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În prezent, nivelul venitului pentru care o persoană poate beneficia de asistență juridică garantată de stat este stabilit la pct. 2 din </w:t>
            </w:r>
            <w:r>
              <w:rPr>
                <w:rFonts w:hint="default" w:ascii="Times New Roman" w:hAnsi="Times New Roman" w:eastAsia="Calibri" w:cs="Times New Roman"/>
                <w:i/>
                <w:iCs/>
                <w:szCs w:val="28"/>
                <w:lang w:eastAsia="ru-RU"/>
              </w:rPr>
              <w:t>Regulamentul privind metodologia de calcul al venitului în scopul acordării asistenței juridice calificate garantate de stat</w:t>
            </w:r>
            <w:r>
              <w:rPr>
                <w:rFonts w:hint="default" w:ascii="Times New Roman" w:hAnsi="Times New Roman" w:eastAsia="Calibri" w:cs="Times New Roman"/>
                <w:szCs w:val="28"/>
                <w:lang w:eastAsia="ru-RU"/>
              </w:rPr>
              <w:t xml:space="preserve">, aprobat prin </w:t>
            </w:r>
            <w:r>
              <w:rPr>
                <w:rFonts w:hint="default" w:ascii="Times New Roman" w:hAnsi="Times New Roman" w:eastAsia="Calibri" w:cs="Times New Roman"/>
                <w:i/>
                <w:iCs/>
                <w:szCs w:val="28"/>
                <w:lang w:eastAsia="ru-RU"/>
              </w:rPr>
              <w:t>Hotărârea</w:t>
            </w:r>
            <w:r>
              <w:rPr>
                <w:rFonts w:hint="default" w:ascii="Times New Roman" w:hAnsi="Times New Roman" w:eastAsia="Calibri" w:cs="Times New Roman"/>
                <w:i/>
                <w:iCs/>
                <w:szCs w:val="28"/>
                <w:lang w:eastAsia="ru-RU"/>
              </w:rPr>
              <w:t xml:space="preserve"> Guvernului nr. 1016/2008</w:t>
            </w:r>
            <w:r>
              <w:rPr>
                <w:rFonts w:hint="default" w:ascii="Times New Roman" w:hAnsi="Times New Roman" w:eastAsia="Calibri" w:cs="Times New Roman"/>
                <w:szCs w:val="28"/>
                <w:lang w:eastAsia="ru-RU"/>
              </w:rPr>
              <w:t>.</w:t>
            </w:r>
          </w:p>
          <w:p>
            <w:pPr>
              <w:tabs>
                <w:tab w:val="left" w:pos="884"/>
                <w:tab w:val="left" w:pos="1196"/>
              </w:tabs>
              <w:spacing w:after="0"/>
              <w:ind w:firstLine="737"/>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Astfel, actualmente, asistența juridică calificată garantată de stat se acordă persoanelor a căror venit mediu lunar este mai mic </w:t>
            </w:r>
            <w:r>
              <w:rPr>
                <w:rFonts w:hint="default" w:ascii="Times New Roman" w:hAnsi="Times New Roman" w:eastAsia="Calibri" w:cs="Times New Roman"/>
                <w:szCs w:val="28"/>
                <w:lang w:eastAsia="ru-RU"/>
              </w:rPr>
              <w:t>decât</w:t>
            </w:r>
            <w:r>
              <w:rPr>
                <w:rFonts w:hint="default" w:ascii="Times New Roman" w:hAnsi="Times New Roman" w:eastAsia="Calibri" w:cs="Times New Roman"/>
                <w:szCs w:val="28"/>
                <w:lang w:eastAsia="ru-RU"/>
              </w:rPr>
              <w:t xml:space="preserve"> nivelul minim de existență pe cap de locuitor din țară. Valoarea minimului de existență se determină în baza calculelor efectuate de către Biroul Național de Statistică, în conformitate cu </w:t>
            </w:r>
            <w:r>
              <w:rPr>
                <w:rFonts w:hint="default" w:ascii="Times New Roman" w:hAnsi="Times New Roman" w:eastAsia="Calibri" w:cs="Times New Roman"/>
                <w:i/>
                <w:iCs/>
                <w:szCs w:val="28"/>
                <w:lang w:eastAsia="ru-RU"/>
              </w:rPr>
              <w:t>Regulamentul cu privire la modul de calculare a minimului de existență</w:t>
            </w:r>
            <w:r>
              <w:rPr>
                <w:rFonts w:hint="default" w:ascii="Times New Roman" w:hAnsi="Times New Roman" w:eastAsia="Calibri" w:cs="Times New Roman"/>
                <w:szCs w:val="28"/>
                <w:lang w:eastAsia="ru-RU"/>
              </w:rPr>
              <w:t xml:space="preserve">, aprobat prin </w:t>
            </w:r>
            <w:r>
              <w:rPr>
                <w:rFonts w:hint="default" w:ascii="Times New Roman" w:hAnsi="Times New Roman" w:eastAsia="Calibri" w:cs="Times New Roman"/>
                <w:i/>
                <w:iCs/>
                <w:szCs w:val="28"/>
                <w:lang w:eastAsia="ru-RU"/>
              </w:rPr>
              <w:t>Hotărârea</w:t>
            </w:r>
            <w:r>
              <w:rPr>
                <w:rFonts w:hint="default" w:ascii="Times New Roman" w:hAnsi="Times New Roman" w:eastAsia="Calibri" w:cs="Times New Roman"/>
                <w:i/>
                <w:iCs/>
                <w:szCs w:val="28"/>
                <w:lang w:eastAsia="ru-RU"/>
              </w:rPr>
              <w:t xml:space="preserve"> Guvernului nr. 902/2000</w:t>
            </w:r>
            <w:r>
              <w:rPr>
                <w:rFonts w:hint="default" w:ascii="Times New Roman" w:hAnsi="Times New Roman" w:eastAsia="Calibri" w:cs="Times New Roman"/>
                <w:szCs w:val="28"/>
                <w:lang w:eastAsia="ru-RU"/>
              </w:rPr>
              <w:t>.</w:t>
            </w:r>
          </w:p>
          <w:p>
            <w:pPr>
              <w:tabs>
                <w:tab w:val="left" w:pos="884"/>
                <w:tab w:val="left" w:pos="1196"/>
              </w:tabs>
              <w:spacing w:after="0"/>
              <w:ind w:firstLine="737"/>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În acest sens, constatăm că stabilirea minimului de existență în calitate de limită pentru a putea beneficia de asistență juridică calificată, reprezintă o reglementare precară și improprie, care nu este conformă cu funcția și natura acestui concept socio-economic. Or, în conformitate cu </w:t>
            </w:r>
            <w:r>
              <w:rPr>
                <w:rFonts w:hint="default" w:ascii="Times New Roman" w:hAnsi="Times New Roman" w:eastAsia="Calibri" w:cs="Times New Roman"/>
                <w:i/>
                <w:iCs/>
                <w:szCs w:val="28"/>
                <w:lang w:eastAsia="ru-RU"/>
              </w:rPr>
              <w:t>Legea nr. 152/2012 cu privire la minimul de existență</w:t>
            </w:r>
            <w:r>
              <w:rPr>
                <w:rFonts w:hint="default" w:ascii="Times New Roman" w:hAnsi="Times New Roman" w:eastAsia="Calibri" w:cs="Times New Roman"/>
                <w:szCs w:val="28"/>
                <w:lang w:eastAsia="ru-RU"/>
              </w:rPr>
              <w:t>, acest indicator reprezintă mărimea valorică a volumului minim de consum al bunurilor materiale și a serviciilor pentru satisfacerea necesităților principale, menținerea sănătății și pentru susținerea viabilității unei persoane individuale.</w:t>
            </w:r>
          </w:p>
          <w:p>
            <w:pPr>
              <w:tabs>
                <w:tab w:val="left" w:pos="884"/>
                <w:tab w:val="left" w:pos="1196"/>
              </w:tabs>
              <w:spacing w:after="0"/>
              <w:ind w:firstLine="737"/>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Astfel, minimul de existență stabilește bunurile și serviciile strict necesare pentru susținerea viabilității unei singure persoane, fără a fi luate în calcul cheltuielile financiare esențiale care sunt necesare pentru:</w:t>
            </w:r>
          </w:p>
          <w:p>
            <w:pPr>
              <w:pStyle w:val="19"/>
              <w:numPr>
                <w:ilvl w:val="0"/>
                <w:numId w:val="1"/>
              </w:numPr>
              <w:tabs>
                <w:tab w:val="left" w:pos="884"/>
                <w:tab w:val="left" w:pos="1196"/>
              </w:tabs>
              <w:spacing w:after="0" w:line="360" w:lineRule="auto"/>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întreținerea copiilor sau a altor membri de familie;</w:t>
            </w:r>
          </w:p>
          <w:p>
            <w:pPr>
              <w:pStyle w:val="19"/>
              <w:numPr>
                <w:ilvl w:val="0"/>
                <w:numId w:val="1"/>
              </w:numPr>
              <w:tabs>
                <w:tab w:val="left" w:pos="884"/>
                <w:tab w:val="left" w:pos="1196"/>
              </w:tabs>
              <w:spacing w:after="0" w:line="360" w:lineRule="auto"/>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întreținerea persoanelor cu dizabilitate severă, accentuată sau medie;</w:t>
            </w:r>
          </w:p>
          <w:p>
            <w:pPr>
              <w:pStyle w:val="19"/>
              <w:numPr>
                <w:ilvl w:val="0"/>
                <w:numId w:val="1"/>
              </w:numPr>
              <w:tabs>
                <w:tab w:val="left" w:pos="884"/>
                <w:tab w:val="left" w:pos="1196"/>
              </w:tabs>
              <w:spacing w:after="0" w:line="360" w:lineRule="auto"/>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întreținerea persoanelor în etate, etc.</w:t>
            </w:r>
          </w:p>
          <w:p>
            <w:pPr>
              <w:tabs>
                <w:tab w:val="left" w:pos="884"/>
                <w:tab w:val="left" w:pos="1196"/>
              </w:tabs>
              <w:spacing w:before="120" w:after="0"/>
              <w:ind w:firstLine="737"/>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Din acest punct de vedere, stabilirea minimului de existență drept limită pentru a putea beneficia de asistență juridică garantată de stat, reprezintă o deficiență și lacună esențială. Or, conform pct. 3 și 4 din </w:t>
            </w:r>
            <w:r>
              <w:rPr>
                <w:rFonts w:hint="default" w:ascii="Times New Roman" w:hAnsi="Times New Roman" w:eastAsia="Calibri" w:cs="Times New Roman"/>
                <w:i/>
                <w:iCs/>
                <w:szCs w:val="28"/>
                <w:lang w:eastAsia="ru-RU"/>
              </w:rPr>
              <w:t>Regulamentul privind metodologia de calcul al venitului în scopul acordării asistenței juridice calificate garantate de stat</w:t>
            </w:r>
            <w:r>
              <w:rPr>
                <w:rFonts w:hint="default" w:ascii="Times New Roman" w:hAnsi="Times New Roman" w:eastAsia="Calibri" w:cs="Times New Roman"/>
                <w:szCs w:val="28"/>
                <w:lang w:eastAsia="ru-RU"/>
              </w:rPr>
              <w:t xml:space="preserve">, aprobat prin </w:t>
            </w:r>
            <w:r>
              <w:rPr>
                <w:rFonts w:hint="default" w:ascii="Times New Roman" w:hAnsi="Times New Roman" w:eastAsia="Calibri" w:cs="Times New Roman"/>
                <w:i/>
                <w:iCs/>
                <w:szCs w:val="28"/>
                <w:lang w:eastAsia="ru-RU"/>
              </w:rPr>
              <w:t>Hotărârea</w:t>
            </w:r>
            <w:r>
              <w:rPr>
                <w:rFonts w:hint="default" w:ascii="Times New Roman" w:hAnsi="Times New Roman" w:eastAsia="Calibri" w:cs="Times New Roman"/>
                <w:i/>
                <w:iCs/>
                <w:szCs w:val="28"/>
                <w:lang w:eastAsia="ru-RU"/>
              </w:rPr>
              <w:t xml:space="preserve"> Guvernului nr. 1016/2008</w:t>
            </w:r>
            <w:r>
              <w:rPr>
                <w:rFonts w:hint="default" w:ascii="Times New Roman" w:hAnsi="Times New Roman" w:eastAsia="Calibri" w:cs="Times New Roman"/>
                <w:szCs w:val="28"/>
                <w:lang w:eastAsia="ru-RU"/>
              </w:rPr>
              <w:t xml:space="preserve">, nivelul venitului mediu lunar al solicitantului de asistență juridică garantată de stat, se calculează din venitul mediu lunar al familiei, raportat la numărul membrilor de familie (prin familie </w:t>
            </w:r>
            <w:r>
              <w:rPr>
                <w:rFonts w:hint="default" w:ascii="Times New Roman" w:hAnsi="Times New Roman" w:eastAsia="Calibri" w:cs="Times New Roman"/>
                <w:szCs w:val="28"/>
                <w:lang w:eastAsia="ru-RU"/>
              </w:rPr>
              <w:t>înțelegându-se</w:t>
            </w:r>
            <w:r>
              <w:rPr>
                <w:rFonts w:hint="default" w:ascii="Times New Roman" w:hAnsi="Times New Roman" w:eastAsia="Calibri" w:cs="Times New Roman"/>
                <w:szCs w:val="28"/>
                <w:lang w:eastAsia="ru-RU"/>
              </w:rPr>
              <w:t xml:space="preserve"> persoanele care locuiesc în comun, țin gospodărie în comun și au un buget comun).</w:t>
            </w:r>
          </w:p>
          <w:p>
            <w:pPr>
              <w:tabs>
                <w:tab w:val="left" w:pos="884"/>
                <w:tab w:val="left" w:pos="1196"/>
              </w:tabs>
              <w:spacing w:after="0"/>
              <w:ind w:firstLine="737"/>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Astfel, </w:t>
            </w:r>
            <w:r>
              <w:rPr>
                <w:rFonts w:hint="default" w:ascii="Times New Roman" w:hAnsi="Times New Roman" w:eastAsia="Calibri" w:cs="Times New Roman"/>
                <w:i/>
                <w:iCs/>
                <w:szCs w:val="28"/>
                <w:lang w:eastAsia="ru-RU"/>
              </w:rPr>
              <w:t>ab initio</w:t>
            </w:r>
            <w:r>
              <w:rPr>
                <w:rFonts w:hint="default" w:ascii="Times New Roman" w:hAnsi="Times New Roman" w:eastAsia="Calibri" w:cs="Times New Roman"/>
                <w:szCs w:val="28"/>
                <w:lang w:eastAsia="ru-RU"/>
              </w:rPr>
              <w:t>, odată ce solicitantul de asistență juridică calificată are la întreținere membri de familie sau alte persoane (în special, dacă aceste persoane fac parte din categorii social-vulnerabile), cuantumul minimului de existență reprezintă o limită financiară improprie și neadecvată, care împiedică direct exercitarea efectivă a dreptului la apărare.</w:t>
            </w:r>
          </w:p>
          <w:p>
            <w:pPr>
              <w:tabs>
                <w:tab w:val="left" w:pos="884"/>
                <w:tab w:val="left" w:pos="1196"/>
              </w:tabs>
              <w:spacing w:after="0"/>
              <w:ind w:firstLine="737"/>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Mai mult </w:t>
            </w:r>
            <w:r>
              <w:rPr>
                <w:rFonts w:hint="default" w:ascii="Times New Roman" w:hAnsi="Times New Roman" w:eastAsia="Calibri" w:cs="Times New Roman"/>
                <w:szCs w:val="28"/>
                <w:lang w:eastAsia="ru-RU"/>
              </w:rPr>
              <w:t>decât</w:t>
            </w:r>
            <w:r>
              <w:rPr>
                <w:rFonts w:hint="default" w:ascii="Times New Roman" w:hAnsi="Times New Roman" w:eastAsia="Calibri" w:cs="Times New Roman"/>
                <w:szCs w:val="28"/>
                <w:lang w:eastAsia="ru-RU"/>
              </w:rPr>
              <w:t xml:space="preserve"> at</w:t>
            </w:r>
            <w:r>
              <w:rPr>
                <w:rFonts w:hint="default" w:ascii="Times New Roman" w:hAnsi="Times New Roman" w:eastAsia="Calibri" w:cs="Times New Roman"/>
                <w:szCs w:val="28"/>
                <w:lang w:eastAsia="ru-RU"/>
              </w:rPr>
              <w:t>ât</w:t>
            </w:r>
            <w:r>
              <w:rPr>
                <w:rFonts w:hint="default" w:ascii="Times New Roman" w:hAnsi="Times New Roman" w:eastAsia="Calibri" w:cs="Times New Roman"/>
                <w:szCs w:val="28"/>
                <w:lang w:eastAsia="ru-RU"/>
              </w:rPr>
              <w:t>, remarcăm că cuantumul minimului de existență se menține constant la un nivel foarte scăzut, fără a fi ajustat la contextul inflației monedei naționale. Astfel, pentru perioada anilor 2019-2021, minimul de existență a rămas la un nivel relativ neschimbat:</w:t>
            </w:r>
          </w:p>
          <w:p>
            <w:pPr>
              <w:pStyle w:val="19"/>
              <w:numPr>
                <w:ilvl w:val="0"/>
                <w:numId w:val="2"/>
              </w:numPr>
              <w:tabs>
                <w:tab w:val="left" w:pos="884"/>
                <w:tab w:val="left" w:pos="1196"/>
              </w:tabs>
              <w:spacing w:after="0" w:line="240" w:lineRule="auto"/>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în 2019 – 2 031,20 lei;</w:t>
            </w:r>
          </w:p>
          <w:p>
            <w:pPr>
              <w:pStyle w:val="19"/>
              <w:numPr>
                <w:ilvl w:val="0"/>
                <w:numId w:val="2"/>
              </w:numPr>
              <w:tabs>
                <w:tab w:val="left" w:pos="884"/>
                <w:tab w:val="left" w:pos="1196"/>
              </w:tabs>
              <w:spacing w:after="0" w:line="240" w:lineRule="auto"/>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în 2020 – 2 088,40 lei;</w:t>
            </w:r>
          </w:p>
          <w:p>
            <w:pPr>
              <w:pStyle w:val="19"/>
              <w:numPr>
                <w:ilvl w:val="0"/>
                <w:numId w:val="2"/>
              </w:numPr>
              <w:tabs>
                <w:tab w:val="left" w:pos="884"/>
                <w:tab w:val="left" w:pos="1196"/>
              </w:tabs>
              <w:spacing w:after="0" w:line="240" w:lineRule="auto"/>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în 2021 – 2 154,00 lei.</w:t>
            </w:r>
          </w:p>
          <w:p>
            <w:pPr>
              <w:tabs>
                <w:tab w:val="left" w:pos="884"/>
                <w:tab w:val="left" w:pos="1196"/>
              </w:tabs>
              <w:spacing w:before="120" w:after="0"/>
              <w:ind w:firstLine="731"/>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În pofida inflației monedei naționale în perioada anilor 2019-2021,</w:t>
            </w:r>
            <w:r>
              <w:rPr>
                <w:rFonts w:hint="default" w:ascii="Times New Roman" w:hAnsi="Times New Roman" w:eastAsia="Calibri" w:cs="Times New Roman"/>
                <w:szCs w:val="28"/>
                <w:lang w:eastAsia="ru-RU"/>
              </w:rPr>
              <w:t xml:space="preserve"> </w:t>
            </w:r>
            <w:r>
              <w:rPr>
                <w:rFonts w:hint="default" w:ascii="Times New Roman" w:hAnsi="Times New Roman" w:eastAsia="Calibri" w:cs="Times New Roman"/>
                <w:szCs w:val="28"/>
                <w:lang w:eastAsia="ru-RU"/>
              </w:rPr>
              <w:t xml:space="preserve">cuantumul minimului de existență a crescut cu doar </w:t>
            </w:r>
            <w:r>
              <w:rPr>
                <w:rFonts w:hint="default" w:ascii="Times New Roman" w:hAnsi="Times New Roman" w:eastAsia="Calibri" w:cs="Times New Roman"/>
                <w:b/>
                <w:bCs/>
                <w:szCs w:val="28"/>
                <w:lang w:eastAsia="ru-RU"/>
              </w:rPr>
              <w:t>122,80 lei</w:t>
            </w:r>
            <w:r>
              <w:rPr>
                <w:rFonts w:hint="default" w:ascii="Times New Roman" w:hAnsi="Times New Roman" w:eastAsia="Calibri" w:cs="Times New Roman"/>
                <w:szCs w:val="28"/>
                <w:lang w:eastAsia="ru-RU"/>
              </w:rPr>
              <w:t>.</w:t>
            </w:r>
          </w:p>
          <w:p>
            <w:pPr>
              <w:tabs>
                <w:tab w:val="left" w:pos="884"/>
                <w:tab w:val="left" w:pos="1196"/>
              </w:tabs>
              <w:spacing w:after="0"/>
              <w:ind w:firstLine="731"/>
              <w:jc w:val="both"/>
              <w:rPr>
                <w:rFonts w:hint="default" w:ascii="Times New Roman" w:hAnsi="Times New Roman" w:eastAsia="Calibri" w:cs="Times New Roman"/>
                <w:szCs w:val="28"/>
                <w:lang w:eastAsia="ru-RU"/>
              </w:rPr>
            </w:pPr>
            <w:r>
              <w:rPr>
                <w:rFonts w:hint="default" w:ascii="Times New Roman" w:hAnsi="Times New Roman" w:eastAsia="Calibri" w:cs="Times New Roman"/>
                <w:i/>
                <w:iCs/>
                <w:szCs w:val="28"/>
                <w:lang w:eastAsia="ru-RU"/>
              </w:rPr>
              <w:t>Per a contrario</w:t>
            </w:r>
            <w:r>
              <w:rPr>
                <w:rFonts w:hint="default" w:ascii="Times New Roman" w:hAnsi="Times New Roman" w:eastAsia="Calibri" w:cs="Times New Roman"/>
                <w:szCs w:val="28"/>
                <w:lang w:eastAsia="ru-RU"/>
              </w:rPr>
              <w:t xml:space="preserve">, cuantumul minim garantat al salariului în sectorul real a fost majorat cu </w:t>
            </w:r>
            <w:r>
              <w:rPr>
                <w:rFonts w:hint="default" w:ascii="Times New Roman" w:hAnsi="Times New Roman" w:eastAsia="Calibri" w:cs="Times New Roman"/>
                <w:b/>
                <w:bCs/>
                <w:szCs w:val="28"/>
                <w:lang w:eastAsia="ru-RU"/>
              </w:rPr>
              <w:t>725,00 lei</w:t>
            </w:r>
            <w:r>
              <w:rPr>
                <w:rFonts w:hint="default" w:ascii="Times New Roman" w:hAnsi="Times New Roman" w:eastAsia="Calibri" w:cs="Times New Roman"/>
                <w:szCs w:val="28"/>
                <w:lang w:eastAsia="ru-RU"/>
              </w:rPr>
              <w:t>, în corespundere cu tendințele inflaționiste ale monedei naționale:</w:t>
            </w:r>
          </w:p>
          <w:p>
            <w:pPr>
              <w:pStyle w:val="19"/>
              <w:numPr>
                <w:ilvl w:val="0"/>
                <w:numId w:val="3"/>
              </w:numPr>
              <w:tabs>
                <w:tab w:val="left" w:pos="884"/>
                <w:tab w:val="left" w:pos="1196"/>
              </w:tabs>
              <w:spacing w:after="0" w:line="240" w:lineRule="auto"/>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în 2019 – 2 775 lei;</w:t>
            </w:r>
          </w:p>
          <w:p>
            <w:pPr>
              <w:pStyle w:val="19"/>
              <w:numPr>
                <w:ilvl w:val="0"/>
                <w:numId w:val="3"/>
              </w:numPr>
              <w:tabs>
                <w:tab w:val="left" w:pos="884"/>
                <w:tab w:val="left" w:pos="1196"/>
              </w:tabs>
              <w:spacing w:after="0" w:line="240" w:lineRule="auto"/>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în 2020 – 2 935 lei;</w:t>
            </w:r>
          </w:p>
          <w:p>
            <w:pPr>
              <w:pStyle w:val="19"/>
              <w:numPr>
                <w:ilvl w:val="0"/>
                <w:numId w:val="3"/>
              </w:numPr>
              <w:tabs>
                <w:tab w:val="left" w:pos="884"/>
                <w:tab w:val="left" w:pos="1196"/>
              </w:tabs>
              <w:spacing w:after="0" w:line="240" w:lineRule="auto"/>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în 2022 – 3 500 lei.</w:t>
            </w:r>
          </w:p>
          <w:p>
            <w:pPr>
              <w:tabs>
                <w:tab w:val="left" w:pos="884"/>
                <w:tab w:val="left" w:pos="1196"/>
              </w:tabs>
              <w:spacing w:before="120" w:after="0"/>
              <w:ind w:firstLine="737"/>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Pornind de la raționamentele expuse </w:t>
            </w:r>
            <w:r>
              <w:rPr>
                <w:rFonts w:hint="default" w:ascii="Times New Roman" w:hAnsi="Times New Roman" w:eastAsia="Calibri" w:cs="Times New Roman"/>
                <w:i/>
                <w:iCs/>
                <w:szCs w:val="28"/>
                <w:lang w:eastAsia="ru-RU"/>
              </w:rPr>
              <w:t>supra</w:t>
            </w:r>
            <w:r>
              <w:rPr>
                <w:rFonts w:hint="default" w:ascii="Times New Roman" w:hAnsi="Times New Roman" w:eastAsia="Calibri" w:cs="Times New Roman"/>
                <w:szCs w:val="28"/>
                <w:lang w:eastAsia="ru-RU"/>
              </w:rPr>
              <w:t xml:space="preserve">, este imperioasă reglementarea expresă în </w:t>
            </w:r>
            <w:r>
              <w:rPr>
                <w:rFonts w:hint="default" w:ascii="Times New Roman" w:hAnsi="Times New Roman" w:eastAsia="Calibri" w:cs="Times New Roman"/>
                <w:i/>
                <w:iCs/>
                <w:szCs w:val="28"/>
                <w:lang w:eastAsia="ru-RU"/>
              </w:rPr>
              <w:t>Legea nr. 198/2007</w:t>
            </w:r>
            <w:r>
              <w:rPr>
                <w:rFonts w:hint="default" w:ascii="Times New Roman" w:hAnsi="Times New Roman" w:eastAsia="Calibri" w:cs="Times New Roman"/>
                <w:szCs w:val="28"/>
                <w:lang w:eastAsia="ru-RU"/>
              </w:rPr>
              <w:t xml:space="preserve"> a faptului că asistență juridică calificată (oferită în dependență de nivelul veniturilor) se acordă persoanelor al căror venit este mai mic de cuantumul minim garantat al salariului lunar în sectorul real (salariul minim lunar), care, în prezent, conform </w:t>
            </w:r>
            <w:r>
              <w:rPr>
                <w:rFonts w:hint="default" w:ascii="Times New Roman" w:hAnsi="Times New Roman" w:eastAsia="Calibri" w:cs="Times New Roman"/>
                <w:i/>
                <w:iCs/>
                <w:szCs w:val="28"/>
                <w:lang w:eastAsia="ru-RU"/>
              </w:rPr>
              <w:t>Hotărârii</w:t>
            </w:r>
            <w:r>
              <w:rPr>
                <w:rFonts w:hint="default" w:ascii="Times New Roman" w:hAnsi="Times New Roman" w:eastAsia="Calibri" w:cs="Times New Roman"/>
                <w:i/>
                <w:iCs/>
                <w:szCs w:val="28"/>
                <w:lang w:eastAsia="ru-RU"/>
              </w:rPr>
              <w:t xml:space="preserve"> Guvernului nr. 142/2022,</w:t>
            </w:r>
            <w:r>
              <w:rPr>
                <w:rFonts w:hint="default" w:ascii="Times New Roman" w:hAnsi="Times New Roman" w:eastAsia="Calibri" w:cs="Times New Roman"/>
                <w:szCs w:val="28"/>
                <w:lang w:eastAsia="ru-RU"/>
              </w:rPr>
              <w:t xml:space="preserve"> constituie </w:t>
            </w:r>
            <w:r>
              <w:rPr>
                <w:rFonts w:hint="default" w:ascii="Times New Roman" w:hAnsi="Times New Roman" w:eastAsia="Calibri" w:cs="Times New Roman"/>
                <w:b/>
                <w:bCs/>
                <w:szCs w:val="28"/>
                <w:lang w:eastAsia="ru-RU"/>
              </w:rPr>
              <w:t>3 500 lei</w:t>
            </w:r>
            <w:r>
              <w:rPr>
                <w:rFonts w:hint="default" w:ascii="Times New Roman" w:hAnsi="Times New Roman" w:eastAsia="Calibri" w:cs="Times New Roman"/>
                <w:szCs w:val="28"/>
                <w:lang w:eastAsia="ru-RU"/>
              </w:rPr>
              <w:t>. În așa mod, se va realiza acoperirea parțială a cheltuielilor financiare esențiale care nu sunt luate în considerare la determinarea cuantumului minimului de existență, precum și se va asigura exercitarea efectivă a dreptului la apărare de către persoanele social-vulnerabile.</w:t>
            </w:r>
          </w:p>
          <w:p>
            <w:pPr>
              <w:tabs>
                <w:tab w:val="left" w:pos="884"/>
                <w:tab w:val="left" w:pos="1196"/>
              </w:tabs>
              <w:spacing w:after="0"/>
              <w:ind w:firstLine="737"/>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Adițional, proiectul propune un șir de prevederi minore, care au drept scop fortificarea și eficientizarea capacităților funcționale ale Consiliului Național pentru Asistență Juridică Garantată de Stat (în continuare – CNAJGS) în vederea acordării asistenței juridice calificate. Acestea se referă la criteriile de angajare a para-juriștilor, mandatul membrilor CNAJGS și al directorului executiv, temeiurile refuzului de acordare a asistenței juridice calificate, etc.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shd w:val="clear" w:color="auto" w:fill="BDD6EE"/>
          </w:tcPr>
          <w:p>
            <w:pPr>
              <w:tabs>
                <w:tab w:val="left" w:pos="884"/>
                <w:tab w:val="left" w:pos="1196"/>
              </w:tabs>
              <w:spacing w:after="0"/>
              <w:jc w:val="center"/>
              <w:rPr>
                <w:rFonts w:hint="default" w:ascii="Times New Roman" w:hAnsi="Times New Roman" w:eastAsia="Calibri" w:cs="Times New Roman"/>
                <w:b/>
                <w:szCs w:val="28"/>
                <w:lang w:eastAsia="ru-RU"/>
              </w:rPr>
            </w:pPr>
            <w:r>
              <w:rPr>
                <w:rFonts w:hint="default" w:ascii="Times New Roman" w:hAnsi="Times New Roman" w:eastAsia="Calibri" w:cs="Times New Roman"/>
                <w:b/>
                <w:szCs w:val="28"/>
                <w:lang w:eastAsia="ru-RU"/>
              </w:rPr>
              <w:t>3. Principalele prevederi ale proiectului şi evidențierea elementelor noi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Principalele prevederi ale proiectului se referă la următoarele modificări ale </w:t>
            </w:r>
            <w:r>
              <w:rPr>
                <w:rFonts w:hint="default" w:ascii="Times New Roman" w:hAnsi="Times New Roman" w:eastAsia="Calibri" w:cs="Times New Roman"/>
                <w:i/>
                <w:iCs/>
                <w:szCs w:val="28"/>
                <w:lang w:eastAsia="ru-RU"/>
              </w:rPr>
              <w:t>Legii nr. 198/2007 cu privire la asistența juridică garantată de stat</w:t>
            </w:r>
            <w:r>
              <w:rPr>
                <w:rFonts w:hint="default" w:ascii="Times New Roman" w:hAnsi="Times New Roman" w:eastAsia="Calibri" w:cs="Times New Roman"/>
                <w:szCs w:val="28"/>
                <w:lang w:eastAsia="ru-RU"/>
              </w:rPr>
              <w:t>.</w:t>
            </w:r>
          </w:p>
          <w:p>
            <w:pPr>
              <w:tabs>
                <w:tab w:val="left" w:pos="884"/>
                <w:tab w:val="left" w:pos="1196"/>
              </w:tabs>
              <w:spacing w:before="120" w:after="0"/>
              <w:ind w:firstLine="709"/>
              <w:jc w:val="both"/>
              <w:rPr>
                <w:rFonts w:hint="default" w:ascii="Times New Roman" w:hAnsi="Times New Roman" w:eastAsia="Calibri" w:cs="Times New Roman"/>
                <w:b/>
                <w:bCs/>
                <w:szCs w:val="28"/>
                <w:lang w:eastAsia="ru-RU"/>
              </w:rPr>
            </w:pPr>
            <w:r>
              <w:rPr>
                <w:rFonts w:hint="default" w:ascii="Times New Roman" w:hAnsi="Times New Roman" w:eastAsia="Calibri" w:cs="Times New Roman"/>
                <w:b/>
                <w:bCs/>
                <w:szCs w:val="28"/>
                <w:lang w:eastAsia="ru-RU"/>
              </w:rPr>
              <w:t>1. Stabilirea expresă în lege a faptului că asistența juridică calificată, oferită în dependență de nivelul veniturilor, se acordă persoanelor al căror venit este mai mic de salariul minim lunar stabilit de Guvern</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În vederea înlăturării deficiențelor descrise în compartimentul nr. 2 al prezentei note informative, principala prevedere a proiectului propune stabilirea expresă în lege a faptului că asistența juridică calificată, oferită în temeiul art. 19 alin. (1) lit. a) și e) din </w:t>
            </w:r>
            <w:r>
              <w:rPr>
                <w:rFonts w:hint="default" w:ascii="Times New Roman" w:hAnsi="Times New Roman" w:eastAsia="Calibri" w:cs="Times New Roman"/>
                <w:i/>
                <w:iCs/>
                <w:szCs w:val="28"/>
                <w:lang w:eastAsia="ru-RU"/>
              </w:rPr>
              <w:t>Legea nr. 198/2007</w:t>
            </w:r>
            <w:r>
              <w:rPr>
                <w:rFonts w:hint="default" w:ascii="Times New Roman" w:hAnsi="Times New Roman" w:eastAsia="Calibri" w:cs="Times New Roman"/>
                <w:szCs w:val="28"/>
                <w:lang w:eastAsia="ru-RU"/>
              </w:rPr>
              <w:t>, se acordă persoanelor al căror venit este mai mic de cuantumul minim garantat al salariului lunar în sectorul real (în prezent – 3 500 lei).</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Astfel, pragul financiar sub care persoanele vor putea beneficia de asistență juridică calificată se va majora cu </w:t>
            </w:r>
            <w:r>
              <w:rPr>
                <w:rFonts w:hint="default" w:ascii="Times New Roman" w:hAnsi="Times New Roman" w:eastAsia="Calibri" w:cs="Times New Roman"/>
                <w:b/>
                <w:bCs/>
                <w:szCs w:val="28"/>
                <w:lang w:eastAsia="ru-RU"/>
              </w:rPr>
              <w:t>1 317 lei</w:t>
            </w:r>
            <w:r>
              <w:rPr>
                <w:rFonts w:hint="default" w:ascii="Times New Roman" w:hAnsi="Times New Roman" w:eastAsia="Calibri" w:cs="Times New Roman"/>
                <w:szCs w:val="28"/>
                <w:lang w:eastAsia="ru-RU"/>
              </w:rPr>
              <w:t>, în comparație cu cuantumul minimului de existență, care pentru semestrul II al anului 2021 constituie 2 183 lei.</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Această măsură va acoperi parțial cheltuielile financiare esențiale care nu sunt luate în considerare la determinarea cuantumului minimului de existență, </w:t>
            </w:r>
            <w:r>
              <w:rPr>
                <w:rFonts w:hint="default" w:ascii="Times New Roman" w:hAnsi="Times New Roman" w:eastAsia="Calibri" w:cs="Times New Roman"/>
                <w:i/>
                <w:iCs/>
                <w:szCs w:val="28"/>
                <w:lang w:eastAsia="ru-RU"/>
              </w:rPr>
              <w:t>e.g.</w:t>
            </w:r>
            <w:r>
              <w:rPr>
                <w:rFonts w:hint="default" w:ascii="Times New Roman" w:hAnsi="Times New Roman" w:eastAsia="Calibri" w:cs="Times New Roman"/>
                <w:szCs w:val="28"/>
                <w:lang w:eastAsia="ru-RU"/>
              </w:rPr>
              <w:t xml:space="preserve"> cheltuielile pentru:</w:t>
            </w:r>
          </w:p>
          <w:p>
            <w:pPr>
              <w:pStyle w:val="19"/>
              <w:numPr>
                <w:ilvl w:val="0"/>
                <w:numId w:val="4"/>
              </w:numPr>
              <w:tabs>
                <w:tab w:val="left" w:pos="884"/>
                <w:tab w:val="left" w:pos="1196"/>
              </w:tabs>
              <w:spacing w:after="0" w:line="360" w:lineRule="auto"/>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întreținerea copiilor sau altor membri de familie;</w:t>
            </w:r>
          </w:p>
          <w:p>
            <w:pPr>
              <w:pStyle w:val="19"/>
              <w:numPr>
                <w:ilvl w:val="0"/>
                <w:numId w:val="4"/>
              </w:numPr>
              <w:tabs>
                <w:tab w:val="left" w:pos="884"/>
                <w:tab w:val="left" w:pos="1196"/>
              </w:tabs>
              <w:spacing w:after="0" w:line="360" w:lineRule="auto"/>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întreținerea persoanelor cu dizabilități severe, accentuate sau medii;</w:t>
            </w:r>
          </w:p>
          <w:p>
            <w:pPr>
              <w:pStyle w:val="19"/>
              <w:numPr>
                <w:ilvl w:val="0"/>
                <w:numId w:val="4"/>
              </w:numPr>
              <w:tabs>
                <w:tab w:val="left" w:pos="884"/>
                <w:tab w:val="left" w:pos="1196"/>
              </w:tabs>
              <w:spacing w:after="0" w:line="360" w:lineRule="auto"/>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întreținerea persoanelor în etate, etc.</w:t>
            </w:r>
          </w:p>
          <w:p>
            <w:pPr>
              <w:tabs>
                <w:tab w:val="left" w:pos="884"/>
                <w:tab w:val="left" w:pos="1196"/>
              </w:tabs>
              <w:spacing w:before="120" w:after="0"/>
              <w:ind w:firstLine="737"/>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Adițional, această măsură va permite ajustarea adecvată a cuantumului la tendințele inflaționiste a monedei naționale. </w:t>
            </w:r>
          </w:p>
          <w:p>
            <w:pPr>
              <w:tabs>
                <w:tab w:val="left" w:pos="884"/>
                <w:tab w:val="left" w:pos="1196"/>
              </w:tabs>
              <w:spacing w:after="0"/>
              <w:ind w:firstLine="737"/>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Atragem atenția că, la 21 august 2022, Parlamentul Republicii Moldova a adoptat </w:t>
            </w:r>
            <w:r>
              <w:rPr>
                <w:rFonts w:hint="default" w:ascii="Times New Roman" w:hAnsi="Times New Roman" w:eastAsia="Calibri" w:cs="Times New Roman"/>
                <w:i/>
                <w:iCs/>
                <w:szCs w:val="28"/>
                <w:lang w:eastAsia="ru-RU"/>
              </w:rPr>
              <w:t>Legea nr. 219/2022 pentru modificarea unor acte normative</w:t>
            </w:r>
            <w:r>
              <w:rPr>
                <w:rFonts w:hint="default" w:ascii="Times New Roman" w:hAnsi="Times New Roman" w:eastAsia="Calibri" w:cs="Times New Roman"/>
                <w:szCs w:val="28"/>
                <w:lang w:eastAsia="ru-RU"/>
              </w:rPr>
              <w:t xml:space="preserve">, care va unifica salariul minim pe țară. Astfel, </w:t>
            </w:r>
            <w:r>
              <w:rPr>
                <w:rFonts w:hint="default" w:ascii="Times New Roman" w:hAnsi="Times New Roman" w:eastAsia="Calibri" w:cs="Times New Roman"/>
                <w:szCs w:val="28"/>
                <w:lang w:eastAsia="ru-RU"/>
              </w:rPr>
              <w:t>începând</w:t>
            </w:r>
            <w:r>
              <w:rPr>
                <w:rFonts w:hint="default" w:ascii="Times New Roman" w:hAnsi="Times New Roman" w:eastAsia="Calibri" w:cs="Times New Roman"/>
                <w:szCs w:val="28"/>
                <w:lang w:eastAsia="ru-RU"/>
              </w:rPr>
              <w:t xml:space="preserve"> cu 1 septembrie 2022, noțiunea de „</w:t>
            </w:r>
            <w:r>
              <w:rPr>
                <w:rFonts w:hint="default" w:ascii="Times New Roman" w:hAnsi="Times New Roman" w:eastAsia="Calibri" w:cs="Times New Roman"/>
                <w:i/>
                <w:iCs/>
                <w:szCs w:val="28"/>
                <w:lang w:eastAsia="ru-RU"/>
              </w:rPr>
              <w:t>cuantum minim garantat al salariului în sectorul real</w:t>
            </w:r>
            <w:r>
              <w:rPr>
                <w:rFonts w:hint="default" w:ascii="Times New Roman" w:hAnsi="Times New Roman" w:eastAsia="Calibri" w:cs="Times New Roman"/>
                <w:szCs w:val="28"/>
                <w:lang w:eastAsia="ru-RU"/>
              </w:rPr>
              <w:t>” va fi substituit cu noțiunea de „</w:t>
            </w:r>
            <w:r>
              <w:rPr>
                <w:rFonts w:hint="default" w:ascii="Times New Roman" w:hAnsi="Times New Roman" w:eastAsia="Calibri" w:cs="Times New Roman"/>
                <w:i/>
                <w:iCs/>
                <w:szCs w:val="28"/>
                <w:lang w:eastAsia="ru-RU"/>
              </w:rPr>
              <w:t>salariu minim</w:t>
            </w:r>
            <w:r>
              <w:rPr>
                <w:rFonts w:hint="default" w:ascii="Times New Roman" w:hAnsi="Times New Roman" w:eastAsia="Calibri" w:cs="Times New Roman"/>
                <w:szCs w:val="28"/>
                <w:lang w:eastAsia="ru-RU"/>
              </w:rPr>
              <w:t>”.</w:t>
            </w:r>
          </w:p>
          <w:p>
            <w:pPr>
              <w:tabs>
                <w:tab w:val="left" w:pos="884"/>
                <w:tab w:val="left" w:pos="1196"/>
              </w:tabs>
              <w:spacing w:after="0"/>
              <w:ind w:firstLine="737"/>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Din acest considerent, formularea modificării propuse la art. 21 alin. (1) din </w:t>
            </w:r>
            <w:r>
              <w:rPr>
                <w:rFonts w:hint="default" w:ascii="Times New Roman" w:hAnsi="Times New Roman" w:eastAsia="Calibri" w:cs="Times New Roman"/>
                <w:i/>
                <w:iCs/>
                <w:szCs w:val="28"/>
                <w:lang w:eastAsia="ru-RU"/>
              </w:rPr>
              <w:t>Legea nr. 198/2007</w:t>
            </w:r>
            <w:r>
              <w:rPr>
                <w:rFonts w:hint="default" w:ascii="Times New Roman" w:hAnsi="Times New Roman" w:eastAsia="Calibri" w:cs="Times New Roman"/>
                <w:szCs w:val="28"/>
                <w:lang w:eastAsia="ru-RU"/>
              </w:rPr>
              <w:t xml:space="preserve"> este ajustată la prevederile </w:t>
            </w:r>
            <w:r>
              <w:rPr>
                <w:rFonts w:hint="default" w:ascii="Times New Roman" w:hAnsi="Times New Roman" w:eastAsia="Calibri" w:cs="Times New Roman"/>
                <w:i/>
                <w:iCs/>
                <w:szCs w:val="28"/>
                <w:lang w:eastAsia="ru-RU"/>
              </w:rPr>
              <w:t>Legii nr. 219</w:t>
            </w:r>
            <w:r>
              <w:rPr>
                <w:rFonts w:hint="default" w:ascii="Times New Roman" w:hAnsi="Times New Roman" w:eastAsia="Calibri" w:cs="Times New Roman"/>
                <w:i/>
                <w:iCs/>
                <w:szCs w:val="28"/>
                <w:lang w:eastAsia="ru-RU"/>
              </w:rPr>
              <w:t>/</w:t>
            </w:r>
            <w:r>
              <w:rPr>
                <w:rFonts w:hint="default" w:ascii="Times New Roman" w:hAnsi="Times New Roman" w:eastAsia="Calibri" w:cs="Times New Roman"/>
                <w:i/>
                <w:iCs/>
                <w:szCs w:val="28"/>
                <w:lang w:eastAsia="ru-RU"/>
              </w:rPr>
              <w:t>2022</w:t>
            </w:r>
            <w:r>
              <w:rPr>
                <w:rFonts w:hint="default" w:ascii="Times New Roman" w:hAnsi="Times New Roman" w:eastAsia="Calibri" w:cs="Times New Roman"/>
                <w:szCs w:val="28"/>
                <w:lang w:eastAsia="ru-RU"/>
              </w:rPr>
              <w:t>.</w:t>
            </w:r>
          </w:p>
          <w:p>
            <w:pPr>
              <w:tabs>
                <w:tab w:val="left" w:pos="884"/>
                <w:tab w:val="left" w:pos="1196"/>
              </w:tabs>
              <w:spacing w:before="120" w:after="0"/>
              <w:ind w:firstLine="709"/>
              <w:jc w:val="both"/>
              <w:rPr>
                <w:rFonts w:hint="default" w:ascii="Times New Roman" w:hAnsi="Times New Roman" w:eastAsia="Calibri" w:cs="Times New Roman"/>
                <w:b/>
                <w:bCs/>
                <w:szCs w:val="28"/>
                <w:lang w:eastAsia="ru-RU"/>
              </w:rPr>
            </w:pPr>
            <w:r>
              <w:rPr>
                <w:rFonts w:hint="default" w:ascii="Times New Roman" w:hAnsi="Times New Roman" w:eastAsia="Calibri" w:cs="Times New Roman"/>
                <w:b/>
                <w:bCs/>
                <w:szCs w:val="28"/>
                <w:lang w:eastAsia="ru-RU"/>
              </w:rPr>
              <w:t>2. Introducerea unei noi categorii de persoane care pot beneficia de asistență juridică calificată indiferent de nivelul veniturilor – persoanele cu dizabilitate severă și accentuată</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În conformitate cu art. 2 din </w:t>
            </w:r>
            <w:r>
              <w:rPr>
                <w:rFonts w:hint="default" w:ascii="Times New Roman" w:hAnsi="Times New Roman" w:eastAsia="Calibri" w:cs="Times New Roman"/>
                <w:i/>
                <w:iCs/>
                <w:szCs w:val="28"/>
                <w:lang w:eastAsia="ru-RU"/>
              </w:rPr>
              <w:t>Legea nr. 60/2012 privind incluziunea socială a persoanelor cu dizabilități</w:t>
            </w:r>
            <w:r>
              <w:rPr>
                <w:rFonts w:hint="default" w:ascii="Times New Roman" w:hAnsi="Times New Roman" w:eastAsia="Calibri" w:cs="Times New Roman"/>
                <w:szCs w:val="28"/>
                <w:lang w:eastAsia="ru-RU"/>
              </w:rPr>
              <w:t>, persoana cu dizabilități este persoana cu deficiențe fizice, mintale, intelectuale sau senzoriale, care, în interacțiune cu diverse bariere/obstacole, pot îngrădi participarea ei deplină și eficientă la viața socială în condiții de egalitate cu celelalte persoane.</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Astfel, conform art. 16 din </w:t>
            </w:r>
            <w:r>
              <w:rPr>
                <w:rFonts w:hint="default" w:ascii="Times New Roman" w:hAnsi="Times New Roman" w:eastAsia="Calibri" w:cs="Times New Roman"/>
                <w:i/>
                <w:iCs/>
                <w:szCs w:val="28"/>
                <w:lang w:eastAsia="ru-RU"/>
              </w:rPr>
              <w:t>Legea nr. 60/2012</w:t>
            </w:r>
            <w:r>
              <w:rPr>
                <w:rFonts w:hint="default" w:ascii="Times New Roman" w:hAnsi="Times New Roman" w:eastAsia="Calibri" w:cs="Times New Roman"/>
                <w:szCs w:val="28"/>
                <w:lang w:eastAsia="ru-RU"/>
              </w:rPr>
              <w:t>, dizabilitatea la persoanele adulte este de trei grade:</w:t>
            </w:r>
          </w:p>
          <w:p>
            <w:pPr>
              <w:pStyle w:val="19"/>
              <w:numPr>
                <w:ilvl w:val="0"/>
                <w:numId w:val="5"/>
              </w:numPr>
              <w:tabs>
                <w:tab w:val="left" w:pos="884"/>
                <w:tab w:val="left" w:pos="1196"/>
              </w:tabs>
              <w:spacing w:after="0" w:line="360" w:lineRule="auto"/>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severă – se caracterizează prin deficiențe funcționale severe provocate de afecțiuni, defecte, traume care conduc la limitări de activitate și restricții de participare, iar capacitatea de muncă este păstrată într-un interval procentual de 0-20%;</w:t>
            </w:r>
          </w:p>
          <w:p>
            <w:pPr>
              <w:pStyle w:val="19"/>
              <w:numPr>
                <w:ilvl w:val="0"/>
                <w:numId w:val="5"/>
              </w:numPr>
              <w:tabs>
                <w:tab w:val="left" w:pos="884"/>
                <w:tab w:val="left" w:pos="1196"/>
              </w:tabs>
              <w:spacing w:after="0" w:line="360" w:lineRule="auto"/>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accentuată – se caracterizează prin deficiențe funcționale accentuate provocate de afecțiuni, defecte, traume care conduc la limitări de activitate și restricții de participare, iar capacitatea de muncă este păstrată într-un interval procentual de 25-40%;</w:t>
            </w:r>
          </w:p>
          <w:p>
            <w:pPr>
              <w:pStyle w:val="19"/>
              <w:numPr>
                <w:ilvl w:val="0"/>
                <w:numId w:val="5"/>
              </w:numPr>
              <w:tabs>
                <w:tab w:val="left" w:pos="884"/>
                <w:tab w:val="left" w:pos="1196"/>
              </w:tabs>
              <w:spacing w:after="0" w:line="360" w:lineRule="auto"/>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medie – se caracterizează prin deficiențe funcționale medii provocate de afecțiuni, defecte, traume care conduc la limitări de activitate și restricții de participare, iar capacitatea de muncă este păstrată într-un interval procentual de 45-60%.</w:t>
            </w:r>
          </w:p>
          <w:p>
            <w:pPr>
              <w:tabs>
                <w:tab w:val="left" w:pos="884"/>
                <w:tab w:val="left" w:pos="1196"/>
              </w:tabs>
              <w:spacing w:before="120" w:after="0"/>
              <w:ind w:firstLine="737"/>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Pornind de la faptul că persoanele cu dizabilitate severă și accentuată se caracterizează prin capacitate de muncă păstrată într-un interval procentual de doar 0-40%, se propune ca aceste categorii de persoane să poată beneficia de asistență juridică calificată indiferent de nivelul veniturilor. Or, aceste persoane </w:t>
            </w:r>
            <w:r>
              <w:rPr>
                <w:rFonts w:hint="default" w:ascii="Times New Roman" w:hAnsi="Times New Roman" w:eastAsia="Calibri" w:cs="Times New Roman"/>
                <w:i/>
                <w:iCs/>
                <w:szCs w:val="28"/>
                <w:lang w:eastAsia="ru-RU"/>
              </w:rPr>
              <w:t>a priori</w:t>
            </w:r>
            <w:r>
              <w:rPr>
                <w:rFonts w:hint="default" w:ascii="Times New Roman" w:hAnsi="Times New Roman" w:eastAsia="Calibri" w:cs="Times New Roman"/>
                <w:szCs w:val="28"/>
                <w:lang w:eastAsia="ru-RU"/>
              </w:rPr>
              <w:t xml:space="preserve"> nu dispun de un nivel de venit suficient pentru achitarea serviciilor de asistență juridică.</w:t>
            </w:r>
          </w:p>
          <w:p>
            <w:pPr>
              <w:tabs>
                <w:tab w:val="left" w:pos="884"/>
                <w:tab w:val="left" w:pos="1196"/>
              </w:tabs>
              <w:spacing w:after="0"/>
              <w:ind w:firstLine="737"/>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Mai mult, întreținerea persoanelor cu dizabilități necesită cheltuieli suplimentare substanțiale, în vederea menținerii unui nivel de viață adecvat.</w:t>
            </w:r>
          </w:p>
          <w:p>
            <w:pPr>
              <w:tabs>
                <w:tab w:val="left" w:pos="884"/>
                <w:tab w:val="left" w:pos="1196"/>
              </w:tabs>
              <w:spacing w:after="0"/>
              <w:ind w:firstLine="737"/>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Temei similar pentru acordarea asistenței juridice calificate (indiferent de nivelul veniturilor), este prezent și într-un șir de alte state, precum Lituania, Țările de Jos, etc.</w:t>
            </w:r>
          </w:p>
          <w:p>
            <w:pPr>
              <w:tabs>
                <w:tab w:val="left" w:pos="884"/>
                <w:tab w:val="left" w:pos="1196"/>
              </w:tabs>
              <w:spacing w:before="120" w:after="0"/>
              <w:ind w:firstLine="709"/>
              <w:jc w:val="both"/>
              <w:rPr>
                <w:rFonts w:hint="default" w:ascii="Times New Roman" w:hAnsi="Times New Roman" w:eastAsia="Calibri" w:cs="Times New Roman"/>
                <w:b/>
                <w:bCs/>
                <w:szCs w:val="28"/>
                <w:lang w:eastAsia="ru-RU"/>
              </w:rPr>
            </w:pPr>
            <w:r>
              <w:rPr>
                <w:rFonts w:hint="default" w:ascii="Times New Roman" w:hAnsi="Times New Roman" w:eastAsia="Calibri" w:cs="Times New Roman"/>
                <w:b/>
                <w:bCs/>
                <w:szCs w:val="28"/>
                <w:lang w:eastAsia="ru-RU"/>
              </w:rPr>
              <w:t>3. Simplificarea modalității de recrutare a para-juriștilor</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În prezent, un criteriu imperativ pentru a putea deveni para-jurist, și a putea acorda asistență juridică primară, constă în posedarea studiilor juridice incomplete sau studiilor superioare complete (art. 2 din </w:t>
            </w:r>
            <w:r>
              <w:rPr>
                <w:rFonts w:hint="default" w:ascii="Times New Roman" w:hAnsi="Times New Roman" w:eastAsia="Calibri" w:cs="Times New Roman"/>
                <w:i/>
                <w:iCs/>
                <w:szCs w:val="28"/>
                <w:lang w:eastAsia="ru-RU"/>
              </w:rPr>
              <w:t>Legea nr. 198/2007</w:t>
            </w:r>
            <w:r>
              <w:rPr>
                <w:rFonts w:hint="default" w:ascii="Times New Roman" w:hAnsi="Times New Roman" w:eastAsia="Calibri" w:cs="Times New Roman"/>
                <w:szCs w:val="28"/>
                <w:lang w:eastAsia="ru-RU"/>
              </w:rPr>
              <w:t>).</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Totuși, în practică s-a atestat că pentru persoanele cu astfel de studii, posturile de para-juriști nu sunt suficient de atrăgătoare, pornind de la remunerarea limitată. Acest fapt a determinat prezența unui număr constant de locuri vacante, precum și eșuarea concursurilor de angajare a para-juriștilor.</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Pornind de la necesitatea asigurării personalului care să acorde asistență juridică primară, precum și de la faptul că, pentru a putea oferi asistență juridică primară, </w:t>
            </w:r>
            <w:r>
              <w:rPr>
                <w:rFonts w:hint="default" w:ascii="Times New Roman" w:hAnsi="Times New Roman" w:eastAsia="Calibri" w:cs="Times New Roman"/>
                <w:b/>
                <w:bCs/>
                <w:szCs w:val="28"/>
                <w:lang w:eastAsia="ru-RU"/>
              </w:rPr>
              <w:t>este obligatorie parcurgerea instruirilor obligatorii organizate de către CNAJGS</w:t>
            </w:r>
            <w:r>
              <w:rPr>
                <w:rFonts w:hint="default" w:ascii="Times New Roman" w:hAnsi="Times New Roman" w:eastAsia="Calibri" w:cs="Times New Roman"/>
                <w:szCs w:val="28"/>
                <w:lang w:eastAsia="ru-RU"/>
              </w:rPr>
              <w:t xml:space="preserve">, se propune ca pentru para-juriști să nu fie imperativă condiția posedării studiilor juridice incomplete sau studiilor superioare complete. </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Totuși, deținerea acestor studii va constitui un avantaj la concursul de angajare.</w:t>
            </w:r>
          </w:p>
          <w:p>
            <w:pPr>
              <w:tabs>
                <w:tab w:val="left" w:pos="884"/>
                <w:tab w:val="left" w:pos="1196"/>
              </w:tabs>
              <w:spacing w:after="0"/>
              <w:ind w:firstLine="709"/>
              <w:jc w:val="both"/>
              <w:rPr>
                <w:rFonts w:hint="default" w:ascii="Times New Roman" w:hAnsi="Times New Roman" w:eastAsia="Calibri" w:cs="Times New Roman"/>
                <w:b/>
                <w:bCs/>
                <w:szCs w:val="28"/>
                <w:lang w:eastAsia="ru-RU"/>
              </w:rPr>
            </w:pPr>
            <w:r>
              <w:rPr>
                <w:rFonts w:hint="default" w:ascii="Times New Roman" w:hAnsi="Times New Roman" w:eastAsia="Calibri" w:cs="Times New Roman"/>
                <w:b/>
                <w:bCs/>
                <w:szCs w:val="28"/>
                <w:lang w:eastAsia="ru-RU"/>
              </w:rPr>
              <w:t>4. Excluderea interdicției conform căreia mandatul membrului CNAJGS sau al directorului executiv poate fi reînnoit doar o singură dată</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În prezent, mandatul membrilor CNAJGS și al directorului executiv este de 4/5 ani și poate fi reînnoit doar o singură dată.</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În practică, se atestă că o astfel de interdicție afectează buna funcționarea a CNAJGS-ului, or, limitează accederea în funcțiile respective a persoanelor cu experiență amplă în cadrul sistemului asistenței juridice garantate de stat. Acest fapt este cu </w:t>
            </w:r>
            <w:r>
              <w:rPr>
                <w:rFonts w:hint="default" w:ascii="Times New Roman" w:hAnsi="Times New Roman" w:eastAsia="Calibri" w:cs="Times New Roman"/>
                <w:szCs w:val="28"/>
                <w:lang w:eastAsia="ru-RU"/>
              </w:rPr>
              <w:t>atât</w:t>
            </w:r>
            <w:r>
              <w:rPr>
                <w:rFonts w:hint="default" w:ascii="Times New Roman" w:hAnsi="Times New Roman" w:eastAsia="Calibri" w:cs="Times New Roman"/>
                <w:szCs w:val="28"/>
                <w:lang w:eastAsia="ru-RU"/>
              </w:rPr>
              <w:t xml:space="preserve"> mai pregnant, în contextul în care sistemul asistenței juridice garantate de stat prezintă particularități foarte specifice în raport cu activitatea altor autorități publice.</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Mai important, relevăm că funcția de director executiv al aparatului administrativ al CNAJGS reprezintă o funcție exclusiv administrativă, care are drept scop asigurarea funcționalității CNAJGS. Mai important, acesta se numește în funcție printr-un concurs public, bazat pe principiul transparenței și meritocrației.</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Astfel, interdicția reînnoirii repetate a mandatului directorului executiv este excesivă și nejustificată, </w:t>
            </w:r>
            <w:r>
              <w:rPr>
                <w:rFonts w:hint="default" w:ascii="Times New Roman" w:hAnsi="Times New Roman" w:eastAsia="Calibri" w:cs="Times New Roman"/>
                <w:szCs w:val="28"/>
                <w:lang w:eastAsia="ru-RU"/>
              </w:rPr>
              <w:t>limitând</w:t>
            </w:r>
            <w:r>
              <w:rPr>
                <w:rFonts w:hint="default" w:ascii="Times New Roman" w:hAnsi="Times New Roman" w:eastAsia="Calibri" w:cs="Times New Roman"/>
                <w:szCs w:val="28"/>
                <w:lang w:eastAsia="ru-RU"/>
              </w:rPr>
              <w:t xml:space="preserve"> accederea în funcție a persoanelor cu experiență administrativă esențială în domeniul asistenței juridice garantate de stat.</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Similar, această interdicție este nejustificată și în privința funcției de membru CNAJGS. Or, în funcția respectivă pot fi desemnate doar persoanele cu experiență de cel puțin 5 ani în domeniu și care se bucură de un înalt respect din partea societății.</w:t>
            </w:r>
          </w:p>
          <w:p>
            <w:pPr>
              <w:tabs>
                <w:tab w:val="left" w:pos="884"/>
                <w:tab w:val="left" w:pos="1196"/>
              </w:tabs>
              <w:spacing w:before="120" w:after="0"/>
              <w:ind w:firstLine="709"/>
              <w:jc w:val="both"/>
              <w:rPr>
                <w:rFonts w:hint="default" w:ascii="Times New Roman" w:hAnsi="Times New Roman" w:eastAsia="Calibri" w:cs="Times New Roman"/>
                <w:b/>
                <w:bCs/>
                <w:szCs w:val="28"/>
                <w:lang w:eastAsia="ru-RU"/>
              </w:rPr>
            </w:pPr>
            <w:r>
              <w:rPr>
                <w:rFonts w:hint="default" w:ascii="Times New Roman" w:hAnsi="Times New Roman" w:eastAsia="Calibri" w:cs="Times New Roman"/>
                <w:b/>
                <w:bCs/>
                <w:szCs w:val="28"/>
                <w:lang w:eastAsia="ru-RU"/>
              </w:rPr>
              <w:t>5. Introducerea expresă a unui temei suplimentar de refuz în acordarea asistenței juridice calificate – în cazul în care solicitantul deja beneficiază, pe aceeași cauză, de asistență juridică calificată garantată de stat sau de asistență juridică acordată de un avocat în bază de contract</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În vederea înlăturării solicitărilor abuzive prin care se cere acordarea asistenței juridice calificate garantate de stat, pentru persoanele care deja beneficiază, pe aceeași cauză, de asistență juridică – este necesară stipularea expresă a temeiului de refuz în acordarea asistenței juridice calificate pentru aceste ipoteze procesuale. Or, odată ce persoana deja beneficiază de asistență juridică pe o anumită cauză, acordarea suplimentară a unui avocat este nejustificată și improprie.</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În așa mod, vor fi eliminate </w:t>
            </w:r>
            <w:r>
              <w:rPr>
                <w:rFonts w:hint="default" w:ascii="Times New Roman" w:hAnsi="Times New Roman" w:eastAsia="Calibri" w:cs="Times New Roman"/>
                <w:szCs w:val="28"/>
                <w:lang w:eastAsia="ru-RU"/>
              </w:rPr>
              <w:t>atât</w:t>
            </w:r>
            <w:r>
              <w:rPr>
                <w:rFonts w:hint="default" w:ascii="Times New Roman" w:hAnsi="Times New Roman" w:eastAsia="Calibri" w:cs="Times New Roman"/>
                <w:szCs w:val="28"/>
                <w:lang w:eastAsia="ru-RU"/>
              </w:rPr>
              <w:t xml:space="preserve"> solicitările abuzive în acordarea asistenței juridice garantate de stat, </w:t>
            </w:r>
            <w:r>
              <w:rPr>
                <w:rFonts w:hint="default" w:ascii="Times New Roman" w:hAnsi="Times New Roman" w:eastAsia="Calibri" w:cs="Times New Roman"/>
                <w:szCs w:val="28"/>
                <w:lang w:eastAsia="ru-RU"/>
              </w:rPr>
              <w:t>cât</w:t>
            </w:r>
            <w:r>
              <w:rPr>
                <w:rFonts w:hint="default" w:ascii="Times New Roman" w:hAnsi="Times New Roman" w:eastAsia="Calibri" w:cs="Times New Roman"/>
                <w:szCs w:val="28"/>
                <w:lang w:eastAsia="ru-RU"/>
              </w:rPr>
              <w:t xml:space="preserve"> și, în special, tergiversările procesual-penale.</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Accentuăm că această prevedere nu va afecta în nici un mod instituția înlocuirii apărătorului, care va fi în continuare aplicabilă conform art. 70 din </w:t>
            </w:r>
            <w:r>
              <w:rPr>
                <w:rFonts w:hint="default" w:ascii="Times New Roman" w:hAnsi="Times New Roman" w:eastAsia="Calibri" w:cs="Times New Roman"/>
                <w:i/>
                <w:iCs/>
                <w:szCs w:val="28"/>
                <w:lang w:eastAsia="ru-RU"/>
              </w:rPr>
              <w:t>Codul de procedură penală nr. 122/2003</w:t>
            </w:r>
            <w:r>
              <w:rPr>
                <w:rFonts w:hint="default" w:ascii="Times New Roman" w:hAnsi="Times New Roman" w:eastAsia="Calibri" w:cs="Times New Roman"/>
                <w:szCs w:val="28"/>
                <w:lang w:eastAsia="ru-RU"/>
              </w:rPr>
              <w:t xml:space="preserve">, precum și art. 27 alin. (4) din </w:t>
            </w:r>
            <w:r>
              <w:rPr>
                <w:rFonts w:hint="default" w:ascii="Times New Roman" w:hAnsi="Times New Roman" w:eastAsia="Calibri" w:cs="Times New Roman"/>
                <w:i/>
                <w:iCs/>
                <w:szCs w:val="28"/>
                <w:lang w:eastAsia="ru-RU"/>
              </w:rPr>
              <w:t>Legea nr. 198/2007 cu privire la asistența juridică garantată de stat</w:t>
            </w:r>
            <w:r>
              <w:rPr>
                <w:rFonts w:hint="default" w:ascii="Times New Roman" w:hAnsi="Times New Roman" w:eastAsia="Calibri" w:cs="Times New Roman"/>
                <w:szCs w:val="28"/>
                <w:lang w:eastAsia="ru-RU"/>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shd w:val="clear" w:color="auto" w:fill="BDD6EE"/>
          </w:tcPr>
          <w:p>
            <w:pPr>
              <w:tabs>
                <w:tab w:val="left" w:pos="884"/>
                <w:tab w:val="left" w:pos="1196"/>
              </w:tabs>
              <w:spacing w:after="0"/>
              <w:jc w:val="center"/>
              <w:rPr>
                <w:rFonts w:hint="default" w:ascii="Times New Roman" w:hAnsi="Times New Roman" w:eastAsia="Calibri" w:cs="Times New Roman"/>
                <w:b/>
                <w:szCs w:val="28"/>
                <w:lang w:eastAsia="ru-RU"/>
              </w:rPr>
            </w:pPr>
            <w:r>
              <w:rPr>
                <w:rFonts w:hint="default" w:ascii="Times New Roman" w:hAnsi="Times New Roman" w:eastAsia="Calibri" w:cs="Times New Roman"/>
                <w:b/>
                <w:szCs w:val="28"/>
                <w:lang w:eastAsia="ru-RU"/>
              </w:rPr>
              <w:t>4. Fundamentarea economico-financiară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Pentru implementarea prevederilor proiectului vor fi necesare cheltuieli financiare suplimentare din bugetul public național.</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Astfel, majorarea pragului financiar sub care persoanele vor putea beneficia de asistență juridică calificată (cu </w:t>
            </w:r>
            <w:r>
              <w:rPr>
                <w:rFonts w:hint="default" w:ascii="Times New Roman" w:hAnsi="Times New Roman" w:eastAsia="Calibri" w:cs="Times New Roman"/>
                <w:b/>
                <w:bCs/>
                <w:szCs w:val="28"/>
                <w:lang w:eastAsia="ru-RU"/>
              </w:rPr>
              <w:t>1 317 lei</w:t>
            </w:r>
            <w:r>
              <w:rPr>
                <w:rFonts w:hint="default" w:ascii="Times New Roman" w:hAnsi="Times New Roman" w:eastAsia="Calibri" w:cs="Times New Roman"/>
                <w:szCs w:val="28"/>
                <w:lang w:eastAsia="ru-RU"/>
              </w:rPr>
              <w:t>), precum și introducerea unei noi categorii de persoane care vor putea beneficia de asistență juridică calificată indiferent de nivelul veniturilor (</w:t>
            </w:r>
            <w:r>
              <w:rPr>
                <w:rFonts w:hint="default" w:ascii="Times New Roman" w:hAnsi="Times New Roman" w:eastAsia="Calibri" w:cs="Times New Roman"/>
                <w:b/>
                <w:bCs/>
                <w:szCs w:val="28"/>
                <w:lang w:eastAsia="ru-RU"/>
              </w:rPr>
              <w:t>persoanele cu dizabilitate severă și accentuată</w:t>
            </w:r>
            <w:r>
              <w:rPr>
                <w:rFonts w:hint="default" w:ascii="Times New Roman" w:hAnsi="Times New Roman" w:eastAsia="Calibri" w:cs="Times New Roman"/>
                <w:szCs w:val="28"/>
                <w:lang w:eastAsia="ru-RU"/>
              </w:rPr>
              <w:t>), va determina majorarea numărului de solicitări pentru acordarea asistenței juridice calificate și, implicit, necesitatea majorării bugetului planificat pentru remunerarea avocaților care acordă aceste servicii.</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Pornind de la caracterul novator al prevederilor, estimarea exactă a numărului de solicitări, precum și al bugetului planificat, nu este posibilă. Or, date statistice sau indicatori pertinenți în acest sens încă nu sunt disponibile.</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Astfel, pentru primul an de implementare a prevederilor proiectului (2023) va fi necesară alocarea unei sume estimative, pornind de la datele statistice și indicatorii existenți. Ulterior, după primul an de implementare, bugetul planificat pentru remunerarea avocaților va fi ajustat în dependență de numărul solicitărilor noi parvenite.</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Conform </w:t>
            </w:r>
            <w:bookmarkStart w:id="1" w:name="_Hlk110343760"/>
            <w:r>
              <w:rPr>
                <w:rFonts w:hint="default" w:ascii="Times New Roman" w:hAnsi="Times New Roman" w:eastAsia="Calibri" w:cs="Times New Roman"/>
                <w:i/>
                <w:iCs/>
                <w:szCs w:val="28"/>
                <w:lang w:eastAsia="ru-RU"/>
              </w:rPr>
              <w:t>Raportului anual de activitate al Consiliului Național pentru Asistență Juridică Garantată de Stat (1 ianuarie 2021 – 21 decembrie 2021)</w:t>
            </w:r>
            <w:bookmarkEnd w:id="1"/>
            <w:r>
              <w:rPr>
                <w:rStyle w:val="4"/>
                <w:rFonts w:hint="default" w:ascii="Times New Roman" w:hAnsi="Times New Roman" w:eastAsia="Calibri" w:cs="Times New Roman"/>
                <w:szCs w:val="28"/>
                <w:lang w:eastAsia="ru-RU"/>
              </w:rPr>
              <w:footnoteReference w:id="0"/>
            </w:r>
            <w:r>
              <w:rPr>
                <w:rFonts w:hint="default" w:ascii="Times New Roman" w:hAnsi="Times New Roman" w:eastAsia="Calibri" w:cs="Times New Roman"/>
                <w:szCs w:val="28"/>
                <w:lang w:eastAsia="ru-RU"/>
              </w:rPr>
              <w:t xml:space="preserve">, în 2021 a fost acordată asistență juridică calificată în </w:t>
            </w:r>
            <w:r>
              <w:rPr>
                <w:rFonts w:hint="default" w:ascii="Times New Roman" w:hAnsi="Times New Roman" w:eastAsia="Calibri" w:cs="Times New Roman"/>
                <w:b/>
                <w:bCs/>
                <w:szCs w:val="28"/>
                <w:lang w:eastAsia="ru-RU"/>
              </w:rPr>
              <w:t>47 990 cazuri</w:t>
            </w:r>
            <w:r>
              <w:rPr>
                <w:rFonts w:hint="default" w:ascii="Times New Roman" w:hAnsi="Times New Roman" w:eastAsia="Calibri" w:cs="Times New Roman"/>
                <w:szCs w:val="28"/>
                <w:lang w:eastAsia="ru-RU"/>
              </w:rPr>
              <w:t xml:space="preserve">, precum și fiind executată suma de </w:t>
            </w:r>
            <w:r>
              <w:rPr>
                <w:rFonts w:hint="default" w:ascii="Times New Roman" w:hAnsi="Times New Roman" w:eastAsia="Calibri" w:cs="Times New Roman"/>
                <w:b/>
                <w:bCs/>
                <w:szCs w:val="28"/>
                <w:lang w:eastAsia="ru-RU"/>
              </w:rPr>
              <w:t>73 522,7 mii lei</w:t>
            </w:r>
            <w:r>
              <w:rPr>
                <w:rFonts w:hint="default" w:ascii="Times New Roman" w:hAnsi="Times New Roman" w:eastAsia="Calibri" w:cs="Times New Roman"/>
                <w:szCs w:val="28"/>
                <w:lang w:eastAsia="ru-RU"/>
              </w:rPr>
              <w:t xml:space="preserve"> pentru remunerarea avocaților.</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Astfel, pentru implementarea noilor modificări, se propune planificarea bugetului pentru </w:t>
            </w:r>
            <w:r>
              <w:rPr>
                <w:rFonts w:hint="default" w:ascii="Times New Roman" w:hAnsi="Times New Roman" w:eastAsia="Calibri" w:cs="Times New Roman"/>
                <w:b/>
                <w:bCs/>
                <w:szCs w:val="28"/>
                <w:lang w:eastAsia="ru-RU"/>
              </w:rPr>
              <w:t>15 000 cazuri suplimentare</w:t>
            </w:r>
            <w:r>
              <w:rPr>
                <w:rFonts w:hint="default" w:ascii="Times New Roman" w:hAnsi="Times New Roman" w:eastAsia="Calibri" w:cs="Times New Roman"/>
                <w:szCs w:val="28"/>
                <w:lang w:eastAsia="ru-RU"/>
              </w:rPr>
              <w:t xml:space="preserve"> </w:t>
            </w:r>
            <w:r>
              <w:rPr>
                <w:rFonts w:hint="default" w:ascii="Times New Roman" w:hAnsi="Times New Roman" w:eastAsia="Calibri" w:cs="Times New Roman"/>
                <w:b/>
                <w:bCs/>
                <w:szCs w:val="28"/>
                <w:lang w:eastAsia="ru-RU"/>
              </w:rPr>
              <w:t xml:space="preserve">de asistență juridică calificată </w:t>
            </w:r>
            <w:r>
              <w:rPr>
                <w:rFonts w:hint="default" w:ascii="Times New Roman" w:hAnsi="Times New Roman" w:eastAsia="Calibri" w:cs="Times New Roman"/>
                <w:szCs w:val="28"/>
                <w:lang w:eastAsia="ru-RU"/>
              </w:rPr>
              <w:t xml:space="preserve">și alocarea sumei suplimentare de </w:t>
            </w:r>
            <w:r>
              <w:rPr>
                <w:rFonts w:hint="default" w:ascii="Times New Roman" w:hAnsi="Times New Roman" w:eastAsia="Calibri" w:cs="Times New Roman"/>
                <w:b/>
                <w:bCs/>
                <w:szCs w:val="28"/>
                <w:lang w:eastAsia="ru-RU"/>
              </w:rPr>
              <w:t>20 000 mii lei</w:t>
            </w:r>
            <w:r>
              <w:rPr>
                <w:rFonts w:hint="default" w:ascii="Times New Roman" w:hAnsi="Times New Roman" w:eastAsia="Calibri" w:cs="Times New Roman"/>
                <w:szCs w:val="28"/>
                <w:lang w:eastAsia="ru-RU"/>
              </w:rPr>
              <w:t xml:space="preserve"> pentru remunerarea avocaților.</w:t>
            </w:r>
          </w:p>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Ulterior, în baza datelor statistice privind numărul solicitările înaintate, bugetul va fi ajustat corespunzător pe parcursul anului 2023, precum și pentru anul 2024.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shd w:val="clear" w:color="auto" w:fill="BDD6EE"/>
          </w:tcPr>
          <w:p>
            <w:pPr>
              <w:tabs>
                <w:tab w:val="left" w:pos="884"/>
                <w:tab w:val="left" w:pos="1196"/>
              </w:tabs>
              <w:spacing w:after="0"/>
              <w:jc w:val="center"/>
              <w:rPr>
                <w:rFonts w:hint="default" w:ascii="Times New Roman" w:hAnsi="Times New Roman" w:eastAsia="Calibri" w:cs="Times New Roman"/>
                <w:b/>
                <w:szCs w:val="28"/>
                <w:lang w:eastAsia="ru-RU"/>
              </w:rPr>
            </w:pPr>
            <w:r>
              <w:rPr>
                <w:rFonts w:hint="default" w:ascii="Times New Roman" w:hAnsi="Times New Roman" w:eastAsia="Calibri" w:cs="Times New Roman"/>
                <w:b/>
                <w:szCs w:val="28"/>
                <w:lang w:eastAsia="ru-RU"/>
              </w:rPr>
              <w:t>5. Modul de încorporare a actului în cadrul normativ în vigoare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tabs>
                <w:tab w:val="left" w:pos="884"/>
                <w:tab w:val="left" w:pos="1196"/>
              </w:tabs>
              <w:spacing w:after="0"/>
              <w:ind w:firstLine="709"/>
              <w:jc w:val="both"/>
              <w:rPr>
                <w:rFonts w:hint="default" w:ascii="Times New Roman" w:hAnsi="Times New Roman" w:eastAsia="Calibri" w:cs="Times New Roman"/>
                <w:szCs w:val="28"/>
                <w:lang w:eastAsia="ru-RU"/>
              </w:rPr>
            </w:pPr>
            <w:r>
              <w:rPr>
                <w:rFonts w:hint="default" w:ascii="Times New Roman" w:hAnsi="Times New Roman" w:eastAsia="Calibri" w:cs="Times New Roman"/>
                <w:szCs w:val="28"/>
                <w:lang w:eastAsia="ru-RU"/>
              </w:rPr>
              <w:t xml:space="preserve">În urma adoptării proiectului, va fi necesară ajustarea </w:t>
            </w:r>
            <w:r>
              <w:rPr>
                <w:rFonts w:hint="default" w:ascii="Times New Roman" w:hAnsi="Times New Roman" w:eastAsia="Calibri" w:cs="Times New Roman"/>
                <w:i/>
                <w:iCs/>
                <w:szCs w:val="28"/>
                <w:lang w:eastAsia="ru-RU"/>
              </w:rPr>
              <w:t>Regulamentului privind metodologia de calcul al venitului în scopul acordării asistenței juridice garantate de stat</w:t>
            </w:r>
            <w:r>
              <w:rPr>
                <w:rFonts w:hint="default" w:ascii="Times New Roman" w:hAnsi="Times New Roman" w:eastAsia="Calibri" w:cs="Times New Roman"/>
                <w:szCs w:val="28"/>
                <w:lang w:eastAsia="ru-RU"/>
              </w:rPr>
              <w:t xml:space="preserve">, aprobat prin </w:t>
            </w:r>
            <w:r>
              <w:rPr>
                <w:rFonts w:hint="default" w:ascii="Times New Roman" w:hAnsi="Times New Roman" w:eastAsia="Calibri" w:cs="Times New Roman"/>
                <w:i/>
                <w:iCs/>
                <w:szCs w:val="28"/>
                <w:lang w:eastAsia="ru-RU"/>
              </w:rPr>
              <w:t>Hotărîrea Guvernului nr. 1016/2008</w:t>
            </w:r>
            <w:r>
              <w:rPr>
                <w:rFonts w:hint="default" w:ascii="Times New Roman" w:hAnsi="Times New Roman" w:eastAsia="Calibri" w:cs="Times New Roman"/>
                <w:szCs w:val="28"/>
                <w:lang w:eastAsia="ru-RU"/>
              </w:rPr>
              <w:t>.</w:t>
            </w:r>
          </w:p>
        </w:tc>
      </w:tr>
    </w:tbl>
    <w:p>
      <w:pPr>
        <w:spacing w:after="0"/>
        <w:jc w:val="center"/>
        <w:rPr>
          <w:rFonts w:hint="default" w:ascii="Times New Roman" w:hAnsi="Times New Roman" w:eastAsia="Calibri" w:cs="Times New Roman"/>
          <w:b/>
          <w:szCs w:val="28"/>
          <w:lang w:eastAsia="ru-RU"/>
        </w:rPr>
      </w:pPr>
    </w:p>
    <w:p>
      <w:pPr>
        <w:spacing w:after="0"/>
        <w:jc w:val="center"/>
        <w:rPr>
          <w:rFonts w:hint="default" w:ascii="Times New Roman" w:hAnsi="Times New Roman" w:eastAsia="Calibri" w:cs="Times New Roman"/>
          <w:b/>
          <w:szCs w:val="28"/>
          <w:lang w:eastAsia="ru-RU"/>
        </w:rPr>
      </w:pPr>
    </w:p>
    <w:p>
      <w:pPr>
        <w:spacing w:after="0"/>
        <w:jc w:val="right"/>
        <w:rPr>
          <w:rFonts w:hint="default" w:ascii="Times New Roman" w:hAnsi="Times New Roman" w:eastAsia="Georgia" w:cs="Times New Roman"/>
          <w:b/>
          <w:sz w:val="28"/>
          <w:szCs w:val="28"/>
        </w:rPr>
      </w:pPr>
      <w:r>
        <w:rPr>
          <w:rFonts w:hint="default" w:ascii="Times New Roman" w:hAnsi="Times New Roman" w:cs="Times New Roman"/>
          <w:b/>
          <w:bCs/>
          <w:sz w:val="28"/>
          <w:szCs w:val="28"/>
        </w:rPr>
        <w:t>Deputați în Parlamentul Republicii Moldova</w:t>
      </w:r>
      <w:r>
        <w:rPr>
          <w:rFonts w:hint="default" w:ascii="Times New Roman" w:hAnsi="Times New Roman" w:eastAsia="Georgia" w:cs="Times New Roman"/>
          <w:b/>
          <w:sz w:val="28"/>
          <w:szCs w:val="28"/>
        </w:rPr>
        <w:t xml:space="preserve"> </w:t>
      </w:r>
    </w:p>
    <w:sectPr>
      <w:headerReference r:id="rId5" w:type="first"/>
      <w:footerReference r:id="rId7" w:type="first"/>
      <w:footerReference r:id="rId6" w:type="default"/>
      <w:pgSz w:w="11906" w:h="16838"/>
      <w:pgMar w:top="2041" w:right="1021" w:bottom="851" w:left="851" w:header="851" w:footer="482"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00"/>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9866840"/>
      <w:docPartObj>
        <w:docPartGallery w:val="AutoText"/>
      </w:docPartObj>
    </w:sdtPr>
    <w:sdtContent>
      <w:p>
        <w:pPr>
          <w:pStyle w:val="10"/>
          <w:jc w:val="right"/>
        </w:pPr>
        <w:r>
          <w:fldChar w:fldCharType="begin"/>
        </w:r>
        <w:r>
          <w:instrText xml:space="preserve"> PAGE   \* MERGEFORMAT </w:instrText>
        </w:r>
        <w:r>
          <w:fldChar w:fldCharType="separate"/>
        </w:r>
        <w:r>
          <w:t>2</w:t>
        </w:r>
        <w:r>
          <w:fldChar w:fldCharType="end"/>
        </w:r>
      </w:p>
    </w:sdtContent>
  </w:sdt>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left="851"/>
      <w:rPr>
        <w:lang w:val="ro-RO"/>
      </w:rPr>
    </w:pPr>
    <w:r>
      <w:rPr>
        <w:lang w:val="ro-RO" w:eastAsia="ro-RO"/>
      </w:rPr>
      <mc:AlternateContent>
        <mc:Choice Requires="wps">
          <w:drawing>
            <wp:anchor distT="0" distB="0" distL="114300" distR="114300" simplePos="0" relativeHeight="251659264" behindDoc="0" locked="0" layoutInCell="1" allowOverlap="1">
              <wp:simplePos x="0" y="0"/>
              <wp:positionH relativeFrom="page">
                <wp:posOffset>1090295</wp:posOffset>
              </wp:positionH>
              <wp:positionV relativeFrom="page">
                <wp:posOffset>9965055</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5" o:spid="_x0000_s1026" o:spt="20" style="position:absolute;left:0pt;margin-left:85.85pt;margin-top:784.65pt;height:0pt;width:450.75pt;mso-position-horizontal-relative:page;mso-position-vertical-relative:page;z-index:251659264;mso-width-relative:page;mso-height-relative:page;" filled="f" stroked="t" coordsize="21600,21600" o:gfxdata="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koRtm2gAA&#10;AA4BAAAPAAAAAAAAAAEAIAAAACIAAABkcnMvZG93bnJldi54bWxQSwECFAAUAAAACACHTuJA0NJr&#10;x+MBAADYAwAADgAAAAAAAAABACAAAAApAQAAZHJzL2Uyb0RvYy54bWxQSwUGAAAAAAYABgBZAQAA&#10;fgUAAAAA&#10;">
              <v:fill on="f" focussize="0,0"/>
              <v:stroke color="#7F7F7F [1612]" miterlimit="8" joinstyle="miter"/>
              <v:imagedata o:title=""/>
              <o:lock v:ext="edit" aspectratio="f"/>
            </v:line>
          </w:pict>
        </mc:Fallback>
      </mc:AlternateContent>
    </w:r>
  </w:p>
  <w:p>
    <w:pPr>
      <w:pStyle w:val="10"/>
      <w:tabs>
        <w:tab w:val="right" w:pos="9883"/>
        <w:tab w:val="clear" w:pos="7027"/>
        <w:tab w:val="clear" w:pos="9689"/>
      </w:tabs>
      <w:ind w:left="851"/>
      <w:rPr>
        <w:lang w:val="ro-RO"/>
      </w:rPr>
    </w:pPr>
    <w:r>
      <w:rPr>
        <w:lang w:val="ro-RO"/>
      </w:rPr>
      <w:t>Republica Moldova, MD-2004, Chişinău</w:t>
    </w:r>
    <w:r>
      <w:rPr>
        <w:lang w:val="ro-RO"/>
      </w:rPr>
      <w:tab/>
    </w:r>
    <w:r>
      <w:rPr>
        <w:lang w:val="ro-RO"/>
      </w:rPr>
      <w:t>info@parlament.md</w:t>
    </w:r>
  </w:p>
  <w:p>
    <w:pPr>
      <w:pStyle w:val="10"/>
      <w:tabs>
        <w:tab w:val="right" w:pos="9883"/>
        <w:tab w:val="clear" w:pos="7027"/>
        <w:tab w:val="clear" w:pos="9689"/>
      </w:tabs>
      <w:ind w:left="851"/>
      <w:rPr>
        <w:lang w:val="ro-RO"/>
      </w:rPr>
    </w:pPr>
    <w:r>
      <w:rPr>
        <w:lang w:val="ro-RO"/>
      </w:rPr>
      <w:t>Bd. Ştefan cel Mare şi Sfânt 105</w:t>
    </w:r>
    <w:r>
      <w:rPr>
        <w:lang w:val="ro-RO"/>
      </w:rPr>
      <w:tab/>
    </w:r>
    <w:r>
      <w:rPr>
        <w:lang w:val="ro-RO"/>
      </w:rPr>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360" w:lineRule="auto"/>
      </w:pPr>
      <w:r>
        <w:separator/>
      </w:r>
    </w:p>
  </w:footnote>
  <w:footnote w:type="continuationSeparator" w:id="3">
    <w:p>
      <w:pPr>
        <w:spacing w:before="0" w:after="0" w:line="360" w:lineRule="auto"/>
      </w:pPr>
      <w:r>
        <w:continuationSeparator/>
      </w:r>
    </w:p>
  </w:footnote>
  <w:footnote w:id="0">
    <w:p>
      <w:pPr>
        <w:pStyle w:val="8"/>
        <w:rPr>
          <w:lang w:val="en-US"/>
        </w:rPr>
      </w:pPr>
      <w:r>
        <w:rPr>
          <w:rStyle w:val="4"/>
        </w:rPr>
        <w:footnoteRef/>
      </w:r>
      <w:r>
        <w:rPr>
          <w:lang w:val="en-US"/>
        </w:rPr>
        <w:t xml:space="preserve"> </w:t>
      </w:r>
      <w:r>
        <w:t>Raportului anual de activitate al Consiliului Național pentru Asistență Juridică Garantată de Stat (1 ianuarie 2021 – 21 decembrie 2021), p. 5 și 8.</w:t>
      </w:r>
    </w:p>
    <w:p>
      <w:pPr>
        <w:pStyle w:val="8"/>
      </w:pPr>
      <w:r>
        <w:fldChar w:fldCharType="begin"/>
      </w:r>
      <w:r>
        <w:instrText xml:space="preserve"> HYPERLINK "https://cnajgs.md/uploads/asset/file/ro/1671/Raportul_anual_de_activitate_pentru_anul_2021.pdf" </w:instrText>
      </w:r>
      <w:r>
        <w:fldChar w:fldCharType="separate"/>
      </w:r>
      <w:r>
        <w:rPr>
          <w:rStyle w:val="5"/>
        </w:rPr>
        <w:t>https://cnajgs.md/uploads/asset/file/ro/1671/Raportul_anual_de_activitate_pentru_anul_2021.pdf</w:t>
      </w:r>
      <w:r>
        <w:rPr>
          <w:rStyle w:val="5"/>
        </w:rPr>
        <w:fldChar w:fldCharType="end"/>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lang w:val="ro-RO" w:eastAsia="ro-RO"/>
      </w:rPr>
      <w:drawing>
        <wp:anchor distT="0" distB="0" distL="114300" distR="114300" simplePos="0" relativeHeight="251660288" behindDoc="0" locked="0" layoutInCell="1" allowOverlap="1">
          <wp:simplePos x="0" y="0"/>
          <wp:positionH relativeFrom="page">
            <wp:posOffset>452120</wp:posOffset>
          </wp:positionH>
          <wp:positionV relativeFrom="page">
            <wp:posOffset>532130</wp:posOffset>
          </wp:positionV>
          <wp:extent cx="1786255" cy="567690"/>
          <wp:effectExtent l="0" t="0" r="5080" b="3810"/>
          <wp:wrapNone/>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89148D"/>
    <w:multiLevelType w:val="multilevel"/>
    <w:tmpl w:val="1389148D"/>
    <w:lvl w:ilvl="0" w:tentative="0">
      <w:start w:val="1"/>
      <w:numFmt w:val="bullet"/>
      <w:lvlText w:val=""/>
      <w:lvlJc w:val="left"/>
      <w:pPr>
        <w:ind w:left="1429" w:hanging="360"/>
      </w:pPr>
      <w:rPr>
        <w:rFonts w:hint="default" w:ascii="Wingdings" w:hAnsi="Wingdings"/>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1">
    <w:nsid w:val="2CBE37EE"/>
    <w:multiLevelType w:val="multilevel"/>
    <w:tmpl w:val="2CBE37EE"/>
    <w:lvl w:ilvl="0" w:tentative="0">
      <w:start w:val="1"/>
      <w:numFmt w:val="bullet"/>
      <w:lvlText w:val=""/>
      <w:lvlJc w:val="left"/>
      <w:pPr>
        <w:ind w:left="1457" w:hanging="360"/>
      </w:pPr>
      <w:rPr>
        <w:rFonts w:hint="default" w:ascii="Wingdings" w:hAnsi="Wingdings"/>
      </w:rPr>
    </w:lvl>
    <w:lvl w:ilvl="1" w:tentative="0">
      <w:start w:val="1"/>
      <w:numFmt w:val="bullet"/>
      <w:lvlText w:val="o"/>
      <w:lvlJc w:val="left"/>
      <w:pPr>
        <w:ind w:left="2177" w:hanging="360"/>
      </w:pPr>
      <w:rPr>
        <w:rFonts w:hint="default" w:ascii="Courier New" w:hAnsi="Courier New" w:cs="Courier New"/>
      </w:rPr>
    </w:lvl>
    <w:lvl w:ilvl="2" w:tentative="0">
      <w:start w:val="1"/>
      <w:numFmt w:val="bullet"/>
      <w:lvlText w:val=""/>
      <w:lvlJc w:val="left"/>
      <w:pPr>
        <w:ind w:left="2897" w:hanging="360"/>
      </w:pPr>
      <w:rPr>
        <w:rFonts w:hint="default" w:ascii="Wingdings" w:hAnsi="Wingdings"/>
      </w:rPr>
    </w:lvl>
    <w:lvl w:ilvl="3" w:tentative="0">
      <w:start w:val="1"/>
      <w:numFmt w:val="bullet"/>
      <w:lvlText w:val=""/>
      <w:lvlJc w:val="left"/>
      <w:pPr>
        <w:ind w:left="3617" w:hanging="360"/>
      </w:pPr>
      <w:rPr>
        <w:rFonts w:hint="default" w:ascii="Symbol" w:hAnsi="Symbol"/>
      </w:rPr>
    </w:lvl>
    <w:lvl w:ilvl="4" w:tentative="0">
      <w:start w:val="1"/>
      <w:numFmt w:val="bullet"/>
      <w:lvlText w:val="o"/>
      <w:lvlJc w:val="left"/>
      <w:pPr>
        <w:ind w:left="4337" w:hanging="360"/>
      </w:pPr>
      <w:rPr>
        <w:rFonts w:hint="default" w:ascii="Courier New" w:hAnsi="Courier New" w:cs="Courier New"/>
      </w:rPr>
    </w:lvl>
    <w:lvl w:ilvl="5" w:tentative="0">
      <w:start w:val="1"/>
      <w:numFmt w:val="bullet"/>
      <w:lvlText w:val=""/>
      <w:lvlJc w:val="left"/>
      <w:pPr>
        <w:ind w:left="5057" w:hanging="360"/>
      </w:pPr>
      <w:rPr>
        <w:rFonts w:hint="default" w:ascii="Wingdings" w:hAnsi="Wingdings"/>
      </w:rPr>
    </w:lvl>
    <w:lvl w:ilvl="6" w:tentative="0">
      <w:start w:val="1"/>
      <w:numFmt w:val="bullet"/>
      <w:lvlText w:val=""/>
      <w:lvlJc w:val="left"/>
      <w:pPr>
        <w:ind w:left="5777" w:hanging="360"/>
      </w:pPr>
      <w:rPr>
        <w:rFonts w:hint="default" w:ascii="Symbol" w:hAnsi="Symbol"/>
      </w:rPr>
    </w:lvl>
    <w:lvl w:ilvl="7" w:tentative="0">
      <w:start w:val="1"/>
      <w:numFmt w:val="bullet"/>
      <w:lvlText w:val="o"/>
      <w:lvlJc w:val="left"/>
      <w:pPr>
        <w:ind w:left="6497" w:hanging="360"/>
      </w:pPr>
      <w:rPr>
        <w:rFonts w:hint="default" w:ascii="Courier New" w:hAnsi="Courier New" w:cs="Courier New"/>
      </w:rPr>
    </w:lvl>
    <w:lvl w:ilvl="8" w:tentative="0">
      <w:start w:val="1"/>
      <w:numFmt w:val="bullet"/>
      <w:lvlText w:val=""/>
      <w:lvlJc w:val="left"/>
      <w:pPr>
        <w:ind w:left="7217" w:hanging="360"/>
      </w:pPr>
      <w:rPr>
        <w:rFonts w:hint="default" w:ascii="Wingdings" w:hAnsi="Wingdings"/>
      </w:rPr>
    </w:lvl>
  </w:abstractNum>
  <w:abstractNum w:abstractNumId="2">
    <w:nsid w:val="51085DCF"/>
    <w:multiLevelType w:val="multilevel"/>
    <w:tmpl w:val="51085DCF"/>
    <w:lvl w:ilvl="0" w:tentative="0">
      <w:start w:val="1"/>
      <w:numFmt w:val="bullet"/>
      <w:lvlText w:val=""/>
      <w:lvlJc w:val="left"/>
      <w:pPr>
        <w:ind w:left="1429" w:hanging="360"/>
      </w:pPr>
      <w:rPr>
        <w:rFonts w:hint="default" w:ascii="Wingdings" w:hAnsi="Wingdings"/>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3">
    <w:nsid w:val="5ED44705"/>
    <w:multiLevelType w:val="multilevel"/>
    <w:tmpl w:val="5ED44705"/>
    <w:lvl w:ilvl="0" w:tentative="0">
      <w:start w:val="1"/>
      <w:numFmt w:val="bullet"/>
      <w:lvlText w:val=""/>
      <w:lvlJc w:val="left"/>
      <w:pPr>
        <w:ind w:left="1451" w:hanging="360"/>
      </w:pPr>
      <w:rPr>
        <w:rFonts w:hint="default" w:ascii="Wingdings" w:hAnsi="Wingdings"/>
      </w:rPr>
    </w:lvl>
    <w:lvl w:ilvl="1" w:tentative="0">
      <w:start w:val="1"/>
      <w:numFmt w:val="bullet"/>
      <w:lvlText w:val="o"/>
      <w:lvlJc w:val="left"/>
      <w:pPr>
        <w:ind w:left="2171" w:hanging="360"/>
      </w:pPr>
      <w:rPr>
        <w:rFonts w:hint="default" w:ascii="Courier New" w:hAnsi="Courier New" w:cs="Courier New"/>
      </w:rPr>
    </w:lvl>
    <w:lvl w:ilvl="2" w:tentative="0">
      <w:start w:val="1"/>
      <w:numFmt w:val="bullet"/>
      <w:lvlText w:val=""/>
      <w:lvlJc w:val="left"/>
      <w:pPr>
        <w:ind w:left="2891" w:hanging="360"/>
      </w:pPr>
      <w:rPr>
        <w:rFonts w:hint="default" w:ascii="Wingdings" w:hAnsi="Wingdings"/>
      </w:rPr>
    </w:lvl>
    <w:lvl w:ilvl="3" w:tentative="0">
      <w:start w:val="1"/>
      <w:numFmt w:val="bullet"/>
      <w:lvlText w:val=""/>
      <w:lvlJc w:val="left"/>
      <w:pPr>
        <w:ind w:left="3611" w:hanging="360"/>
      </w:pPr>
      <w:rPr>
        <w:rFonts w:hint="default" w:ascii="Symbol" w:hAnsi="Symbol"/>
      </w:rPr>
    </w:lvl>
    <w:lvl w:ilvl="4" w:tentative="0">
      <w:start w:val="1"/>
      <w:numFmt w:val="bullet"/>
      <w:lvlText w:val="o"/>
      <w:lvlJc w:val="left"/>
      <w:pPr>
        <w:ind w:left="4331" w:hanging="360"/>
      </w:pPr>
      <w:rPr>
        <w:rFonts w:hint="default" w:ascii="Courier New" w:hAnsi="Courier New" w:cs="Courier New"/>
      </w:rPr>
    </w:lvl>
    <w:lvl w:ilvl="5" w:tentative="0">
      <w:start w:val="1"/>
      <w:numFmt w:val="bullet"/>
      <w:lvlText w:val=""/>
      <w:lvlJc w:val="left"/>
      <w:pPr>
        <w:ind w:left="5051" w:hanging="360"/>
      </w:pPr>
      <w:rPr>
        <w:rFonts w:hint="default" w:ascii="Wingdings" w:hAnsi="Wingdings"/>
      </w:rPr>
    </w:lvl>
    <w:lvl w:ilvl="6" w:tentative="0">
      <w:start w:val="1"/>
      <w:numFmt w:val="bullet"/>
      <w:lvlText w:val=""/>
      <w:lvlJc w:val="left"/>
      <w:pPr>
        <w:ind w:left="5771" w:hanging="360"/>
      </w:pPr>
      <w:rPr>
        <w:rFonts w:hint="default" w:ascii="Symbol" w:hAnsi="Symbol"/>
      </w:rPr>
    </w:lvl>
    <w:lvl w:ilvl="7" w:tentative="0">
      <w:start w:val="1"/>
      <w:numFmt w:val="bullet"/>
      <w:lvlText w:val="o"/>
      <w:lvlJc w:val="left"/>
      <w:pPr>
        <w:ind w:left="6491" w:hanging="360"/>
      </w:pPr>
      <w:rPr>
        <w:rFonts w:hint="default" w:ascii="Courier New" w:hAnsi="Courier New" w:cs="Courier New"/>
      </w:rPr>
    </w:lvl>
    <w:lvl w:ilvl="8" w:tentative="0">
      <w:start w:val="1"/>
      <w:numFmt w:val="bullet"/>
      <w:lvlText w:val=""/>
      <w:lvlJc w:val="left"/>
      <w:pPr>
        <w:ind w:left="7211" w:hanging="360"/>
      </w:pPr>
      <w:rPr>
        <w:rFonts w:hint="default" w:ascii="Wingdings" w:hAnsi="Wingdings"/>
      </w:rPr>
    </w:lvl>
  </w:abstractNum>
  <w:abstractNum w:abstractNumId="4">
    <w:nsid w:val="7CB63438"/>
    <w:multiLevelType w:val="multilevel"/>
    <w:tmpl w:val="7CB63438"/>
    <w:lvl w:ilvl="0" w:tentative="0">
      <w:start w:val="1"/>
      <w:numFmt w:val="bullet"/>
      <w:lvlText w:val=""/>
      <w:lvlJc w:val="left"/>
      <w:pPr>
        <w:ind w:left="1457" w:hanging="360"/>
      </w:pPr>
      <w:rPr>
        <w:rFonts w:hint="default" w:ascii="Wingdings" w:hAnsi="Wingdings"/>
      </w:rPr>
    </w:lvl>
    <w:lvl w:ilvl="1" w:tentative="0">
      <w:start w:val="1"/>
      <w:numFmt w:val="bullet"/>
      <w:lvlText w:val="o"/>
      <w:lvlJc w:val="left"/>
      <w:pPr>
        <w:ind w:left="2177" w:hanging="360"/>
      </w:pPr>
      <w:rPr>
        <w:rFonts w:hint="default" w:ascii="Courier New" w:hAnsi="Courier New" w:cs="Courier New"/>
      </w:rPr>
    </w:lvl>
    <w:lvl w:ilvl="2" w:tentative="0">
      <w:start w:val="1"/>
      <w:numFmt w:val="bullet"/>
      <w:lvlText w:val=""/>
      <w:lvlJc w:val="left"/>
      <w:pPr>
        <w:ind w:left="2897" w:hanging="360"/>
      </w:pPr>
      <w:rPr>
        <w:rFonts w:hint="default" w:ascii="Wingdings" w:hAnsi="Wingdings"/>
      </w:rPr>
    </w:lvl>
    <w:lvl w:ilvl="3" w:tentative="0">
      <w:start w:val="1"/>
      <w:numFmt w:val="bullet"/>
      <w:lvlText w:val=""/>
      <w:lvlJc w:val="left"/>
      <w:pPr>
        <w:ind w:left="3617" w:hanging="360"/>
      </w:pPr>
      <w:rPr>
        <w:rFonts w:hint="default" w:ascii="Symbol" w:hAnsi="Symbol"/>
      </w:rPr>
    </w:lvl>
    <w:lvl w:ilvl="4" w:tentative="0">
      <w:start w:val="1"/>
      <w:numFmt w:val="bullet"/>
      <w:lvlText w:val="o"/>
      <w:lvlJc w:val="left"/>
      <w:pPr>
        <w:ind w:left="4337" w:hanging="360"/>
      </w:pPr>
      <w:rPr>
        <w:rFonts w:hint="default" w:ascii="Courier New" w:hAnsi="Courier New" w:cs="Courier New"/>
      </w:rPr>
    </w:lvl>
    <w:lvl w:ilvl="5" w:tentative="0">
      <w:start w:val="1"/>
      <w:numFmt w:val="bullet"/>
      <w:lvlText w:val=""/>
      <w:lvlJc w:val="left"/>
      <w:pPr>
        <w:ind w:left="5057" w:hanging="360"/>
      </w:pPr>
      <w:rPr>
        <w:rFonts w:hint="default" w:ascii="Wingdings" w:hAnsi="Wingdings"/>
      </w:rPr>
    </w:lvl>
    <w:lvl w:ilvl="6" w:tentative="0">
      <w:start w:val="1"/>
      <w:numFmt w:val="bullet"/>
      <w:lvlText w:val=""/>
      <w:lvlJc w:val="left"/>
      <w:pPr>
        <w:ind w:left="5777" w:hanging="360"/>
      </w:pPr>
      <w:rPr>
        <w:rFonts w:hint="default" w:ascii="Symbol" w:hAnsi="Symbol"/>
      </w:rPr>
    </w:lvl>
    <w:lvl w:ilvl="7" w:tentative="0">
      <w:start w:val="1"/>
      <w:numFmt w:val="bullet"/>
      <w:lvlText w:val="o"/>
      <w:lvlJc w:val="left"/>
      <w:pPr>
        <w:ind w:left="6497" w:hanging="360"/>
      </w:pPr>
      <w:rPr>
        <w:rFonts w:hint="default" w:ascii="Courier New" w:hAnsi="Courier New" w:cs="Courier New"/>
      </w:rPr>
    </w:lvl>
    <w:lvl w:ilvl="8" w:tentative="0">
      <w:start w:val="1"/>
      <w:numFmt w:val="bullet"/>
      <w:lvlText w:val=""/>
      <w:lvlJc w:val="left"/>
      <w:pPr>
        <w:ind w:left="7217" w:hanging="360"/>
      </w:pPr>
      <w:rPr>
        <w:rFonts w:hint="default" w:ascii="Wingdings" w:hAnsi="Wingdings"/>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7"/>
  <w:documentProtection w:enforcement="0"/>
  <w:defaultTabStop w:val="708"/>
  <w:hyphenationZone w:val="425"/>
  <w:characterSpacingControl w:val="doNotCompress"/>
  <w:footnotePr>
    <w:footnote w:id="2"/>
    <w:footnote w:id="3"/>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A7D"/>
    <w:rsid w:val="00001082"/>
    <w:rsid w:val="00006ED9"/>
    <w:rsid w:val="000835BF"/>
    <w:rsid w:val="000D233D"/>
    <w:rsid w:val="00112FD9"/>
    <w:rsid w:val="00125775"/>
    <w:rsid w:val="00125F63"/>
    <w:rsid w:val="0012790C"/>
    <w:rsid w:val="00132214"/>
    <w:rsid w:val="00134D8D"/>
    <w:rsid w:val="001719FE"/>
    <w:rsid w:val="001A303D"/>
    <w:rsid w:val="001F0759"/>
    <w:rsid w:val="00205971"/>
    <w:rsid w:val="002429D7"/>
    <w:rsid w:val="00246791"/>
    <w:rsid w:val="00247236"/>
    <w:rsid w:val="00263D06"/>
    <w:rsid w:val="002C384F"/>
    <w:rsid w:val="002C79D9"/>
    <w:rsid w:val="002F0A87"/>
    <w:rsid w:val="00312DE5"/>
    <w:rsid w:val="00330512"/>
    <w:rsid w:val="003A502B"/>
    <w:rsid w:val="003D7E5D"/>
    <w:rsid w:val="003E06C3"/>
    <w:rsid w:val="003E3030"/>
    <w:rsid w:val="003E37B3"/>
    <w:rsid w:val="004062B3"/>
    <w:rsid w:val="0041409F"/>
    <w:rsid w:val="00475FF2"/>
    <w:rsid w:val="0049159E"/>
    <w:rsid w:val="004940CD"/>
    <w:rsid w:val="004A3CCE"/>
    <w:rsid w:val="004A766F"/>
    <w:rsid w:val="004C7651"/>
    <w:rsid w:val="004E1067"/>
    <w:rsid w:val="00537824"/>
    <w:rsid w:val="0057607A"/>
    <w:rsid w:val="00576F53"/>
    <w:rsid w:val="005D08C7"/>
    <w:rsid w:val="00663E11"/>
    <w:rsid w:val="00666D3D"/>
    <w:rsid w:val="00687386"/>
    <w:rsid w:val="006A4B5D"/>
    <w:rsid w:val="006C56FF"/>
    <w:rsid w:val="006D022E"/>
    <w:rsid w:val="006D0BEA"/>
    <w:rsid w:val="006E32DC"/>
    <w:rsid w:val="006E53B1"/>
    <w:rsid w:val="00747F96"/>
    <w:rsid w:val="00780C33"/>
    <w:rsid w:val="007A55B8"/>
    <w:rsid w:val="007B7E1F"/>
    <w:rsid w:val="007E09D0"/>
    <w:rsid w:val="007F0B87"/>
    <w:rsid w:val="0080422D"/>
    <w:rsid w:val="00805031"/>
    <w:rsid w:val="008669C8"/>
    <w:rsid w:val="008B2A5A"/>
    <w:rsid w:val="008C25E8"/>
    <w:rsid w:val="008C277F"/>
    <w:rsid w:val="008D55D4"/>
    <w:rsid w:val="008F2161"/>
    <w:rsid w:val="0090448C"/>
    <w:rsid w:val="009059CF"/>
    <w:rsid w:val="009B1394"/>
    <w:rsid w:val="009B7DF6"/>
    <w:rsid w:val="009E2A6D"/>
    <w:rsid w:val="009E7496"/>
    <w:rsid w:val="00A12EAF"/>
    <w:rsid w:val="00A13929"/>
    <w:rsid w:val="00A21F22"/>
    <w:rsid w:val="00A24142"/>
    <w:rsid w:val="00A35C9F"/>
    <w:rsid w:val="00A61553"/>
    <w:rsid w:val="00A7066D"/>
    <w:rsid w:val="00A76D40"/>
    <w:rsid w:val="00A871D8"/>
    <w:rsid w:val="00A9226E"/>
    <w:rsid w:val="00AB4F1F"/>
    <w:rsid w:val="00AC6DF8"/>
    <w:rsid w:val="00AF1DF1"/>
    <w:rsid w:val="00AF45B0"/>
    <w:rsid w:val="00AF7D42"/>
    <w:rsid w:val="00B32D21"/>
    <w:rsid w:val="00B51C60"/>
    <w:rsid w:val="00B67FA0"/>
    <w:rsid w:val="00B70271"/>
    <w:rsid w:val="00B84A88"/>
    <w:rsid w:val="00B90076"/>
    <w:rsid w:val="00BB211D"/>
    <w:rsid w:val="00BD451E"/>
    <w:rsid w:val="00BD6AEF"/>
    <w:rsid w:val="00BE4B09"/>
    <w:rsid w:val="00BF1A5A"/>
    <w:rsid w:val="00C96AE6"/>
    <w:rsid w:val="00CD53F5"/>
    <w:rsid w:val="00CE3351"/>
    <w:rsid w:val="00CF51A4"/>
    <w:rsid w:val="00D05633"/>
    <w:rsid w:val="00D30A27"/>
    <w:rsid w:val="00D457C9"/>
    <w:rsid w:val="00D91A7D"/>
    <w:rsid w:val="00DF4A03"/>
    <w:rsid w:val="00DF4DC9"/>
    <w:rsid w:val="00DF58FF"/>
    <w:rsid w:val="00DF6304"/>
    <w:rsid w:val="00E41184"/>
    <w:rsid w:val="00E61226"/>
    <w:rsid w:val="00EB0379"/>
    <w:rsid w:val="00EE0369"/>
    <w:rsid w:val="00EE4921"/>
    <w:rsid w:val="00EF50DA"/>
    <w:rsid w:val="00F03502"/>
    <w:rsid w:val="00F10C26"/>
    <w:rsid w:val="00F5445D"/>
    <w:rsid w:val="00F569A8"/>
    <w:rsid w:val="00F91457"/>
    <w:rsid w:val="7B510F46"/>
    <w:rsid w:val="7D4502B4"/>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uiPriority w:val="0"/>
    <w:pPr>
      <w:spacing w:after="120" w:line="360" w:lineRule="auto"/>
      <w:ind w:left="851"/>
    </w:pPr>
    <w:rPr>
      <w:rFonts w:ascii="Georgia" w:hAnsi="Georgia" w:eastAsiaTheme="minorHAnsi" w:cstheme="minorBidi"/>
      <w:sz w:val="24"/>
      <w:szCs w:val="24"/>
      <w:lang w:val="ro-RO"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footnote reference"/>
    <w:basedOn w:val="2"/>
    <w:unhideWhenUsed/>
    <w:uiPriority w:val="99"/>
    <w:rPr>
      <w:vertAlign w:val="superscript"/>
    </w:rPr>
  </w:style>
  <w:style w:type="character" w:styleId="5">
    <w:name w:val="Hyperlink"/>
    <w:basedOn w:val="2"/>
    <w:unhideWhenUsed/>
    <w:qFormat/>
    <w:uiPriority w:val="99"/>
    <w:rPr>
      <w:color w:val="0563C1" w:themeColor="hyperlink"/>
      <w:u w:val="single"/>
      <w14:textFill>
        <w14:solidFill>
          <w14:schemeClr w14:val="hlink"/>
        </w14:solidFill>
      </w14:textFill>
    </w:rPr>
  </w:style>
  <w:style w:type="character" w:styleId="6">
    <w:name w:val="Strong"/>
    <w:basedOn w:val="2"/>
    <w:qFormat/>
    <w:uiPriority w:val="22"/>
    <w:rPr>
      <w:b/>
      <w:bCs/>
    </w:rPr>
  </w:style>
  <w:style w:type="paragraph" w:styleId="7">
    <w:name w:val="Balloon Text"/>
    <w:basedOn w:val="1"/>
    <w:link w:val="18"/>
    <w:semiHidden/>
    <w:unhideWhenUsed/>
    <w:qFormat/>
    <w:uiPriority w:val="99"/>
    <w:pPr>
      <w:spacing w:after="0" w:line="240" w:lineRule="auto"/>
    </w:pPr>
    <w:rPr>
      <w:rFonts w:ascii="Segoe UI" w:hAnsi="Segoe UI" w:cs="Segoe UI"/>
      <w:sz w:val="18"/>
      <w:szCs w:val="18"/>
    </w:rPr>
  </w:style>
  <w:style w:type="paragraph" w:styleId="8">
    <w:name w:val="footnote text"/>
    <w:basedOn w:val="1"/>
    <w:link w:val="17"/>
    <w:semiHidden/>
    <w:unhideWhenUsed/>
    <w:uiPriority w:val="99"/>
    <w:pPr>
      <w:spacing w:after="0" w:line="240" w:lineRule="auto"/>
    </w:pPr>
    <w:rPr>
      <w:sz w:val="20"/>
      <w:szCs w:val="20"/>
    </w:rPr>
  </w:style>
  <w:style w:type="paragraph" w:styleId="9">
    <w:name w:val="header"/>
    <w:link w:val="16"/>
    <w:unhideWhenUsed/>
    <w:uiPriority w:val="99"/>
    <w:pPr>
      <w:tabs>
        <w:tab w:val="center" w:pos="4844"/>
        <w:tab w:val="right" w:pos="9689"/>
      </w:tabs>
      <w:spacing w:after="0" w:line="240" w:lineRule="auto"/>
    </w:pPr>
    <w:rPr>
      <w:rFonts w:asciiTheme="minorHAnsi" w:hAnsiTheme="minorHAnsi" w:eastAsiaTheme="minorHAnsi" w:cstheme="minorBidi"/>
      <w:sz w:val="22"/>
      <w:szCs w:val="22"/>
      <w:lang w:val="en-US" w:eastAsia="en-US" w:bidi="ar-SA"/>
    </w:rPr>
  </w:style>
  <w:style w:type="paragraph" w:styleId="10">
    <w:name w:val="footer"/>
    <w:link w:val="13"/>
    <w:unhideWhenUsed/>
    <w:uiPriority w:val="99"/>
    <w:pPr>
      <w:tabs>
        <w:tab w:val="left" w:pos="7027"/>
        <w:tab w:val="right" w:pos="9689"/>
      </w:tabs>
      <w:spacing w:after="0" w:line="276" w:lineRule="auto"/>
      <w:ind w:left="1036"/>
    </w:pPr>
    <w:rPr>
      <w:rFonts w:ascii="Georgia" w:hAnsi="Georgia" w:eastAsiaTheme="minorHAnsi" w:cstheme="minorBidi"/>
      <w:sz w:val="18"/>
      <w:szCs w:val="18"/>
      <w:lang w:val="en-US" w:eastAsia="en-US" w:bidi="ar-SA"/>
    </w:rPr>
  </w:style>
  <w:style w:type="paragraph" w:styleId="11">
    <w:name w:val="Normal (Web)"/>
    <w:basedOn w:val="1"/>
    <w:link w:val="22"/>
    <w:unhideWhenUsed/>
    <w:qFormat/>
    <w:uiPriority w:val="99"/>
    <w:pPr>
      <w:spacing w:before="100" w:beforeAutospacing="1" w:after="100" w:afterAutospacing="1" w:line="240" w:lineRule="auto"/>
      <w:ind w:left="0"/>
    </w:pPr>
    <w:rPr>
      <w:rFonts w:ascii="Times New Roman" w:hAnsi="Times New Roman" w:eastAsia="Times New Roman" w:cs="Times New Roman"/>
      <w:lang w:val="zh-CN" w:eastAsia="zh-CN"/>
    </w:rPr>
  </w:style>
  <w:style w:type="table" w:styleId="12">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Subsol Caracter"/>
    <w:basedOn w:val="2"/>
    <w:link w:val="10"/>
    <w:qFormat/>
    <w:uiPriority w:val="99"/>
    <w:rPr>
      <w:rFonts w:ascii="Georgia" w:hAnsi="Georgia"/>
      <w:sz w:val="18"/>
      <w:szCs w:val="18"/>
      <w:lang w:val="en-US"/>
    </w:rPr>
  </w:style>
  <w:style w:type="paragraph" w:customStyle="1" w:styleId="14">
    <w:name w:val="Titlu stinga"/>
    <w:qFormat/>
    <w:uiPriority w:val="0"/>
    <w:pPr>
      <w:spacing w:after="560" w:line="252" w:lineRule="auto"/>
      <w:ind w:left="851"/>
    </w:pPr>
    <w:rPr>
      <w:rFonts w:ascii="Georgia" w:hAnsi="Georgia" w:eastAsiaTheme="minorHAnsi" w:cstheme="minorBidi"/>
      <w:b/>
      <w:color w:val="303741"/>
      <w:sz w:val="30"/>
      <w:szCs w:val="30"/>
      <w:lang w:val="ro-RO" w:eastAsia="en-US" w:bidi="ar-SA"/>
    </w:rPr>
  </w:style>
  <w:style w:type="paragraph" w:customStyle="1" w:styleId="15">
    <w:name w:val="nr."/>
    <w:qFormat/>
    <w:uiPriority w:val="0"/>
    <w:pPr>
      <w:tabs>
        <w:tab w:val="right" w:pos="9072"/>
      </w:tabs>
      <w:spacing w:after="400" w:line="252" w:lineRule="auto"/>
      <w:jc w:val="right"/>
    </w:pPr>
    <w:rPr>
      <w:rFonts w:ascii="Georgia" w:hAnsi="Georgia" w:eastAsiaTheme="minorHAnsi" w:cstheme="minorBidi"/>
      <w:color w:val="303741"/>
      <w:sz w:val="24"/>
      <w:szCs w:val="24"/>
      <w:lang w:val="ro-RO" w:eastAsia="en-US" w:bidi="ar-SA"/>
    </w:rPr>
  </w:style>
  <w:style w:type="character" w:customStyle="1" w:styleId="16">
    <w:name w:val="Antet Caracter"/>
    <w:basedOn w:val="2"/>
    <w:link w:val="9"/>
    <w:uiPriority w:val="99"/>
    <w:rPr>
      <w:lang w:val="en-US"/>
    </w:rPr>
  </w:style>
  <w:style w:type="character" w:customStyle="1" w:styleId="17">
    <w:name w:val="Text notă de subsol Caracter"/>
    <w:basedOn w:val="2"/>
    <w:link w:val="8"/>
    <w:semiHidden/>
    <w:uiPriority w:val="99"/>
    <w:rPr>
      <w:rFonts w:ascii="Georgia" w:hAnsi="Georgia"/>
      <w:sz w:val="20"/>
      <w:szCs w:val="20"/>
      <w:lang w:val="ro-RO"/>
    </w:rPr>
  </w:style>
  <w:style w:type="character" w:customStyle="1" w:styleId="18">
    <w:name w:val="Text în Balon Caracter"/>
    <w:basedOn w:val="2"/>
    <w:link w:val="7"/>
    <w:semiHidden/>
    <w:uiPriority w:val="99"/>
    <w:rPr>
      <w:rFonts w:ascii="Segoe UI" w:hAnsi="Segoe UI" w:cs="Segoe UI"/>
      <w:sz w:val="18"/>
      <w:szCs w:val="18"/>
      <w:lang w:val="ro-RO"/>
    </w:rPr>
  </w:style>
  <w:style w:type="paragraph" w:styleId="19">
    <w:name w:val="List Paragraph"/>
    <w:basedOn w:val="1"/>
    <w:link w:val="23"/>
    <w:qFormat/>
    <w:uiPriority w:val="34"/>
    <w:pPr>
      <w:ind w:left="720"/>
      <w:contextualSpacing/>
    </w:pPr>
  </w:style>
  <w:style w:type="character" w:customStyle="1" w:styleId="20">
    <w:name w:val="Unresolved Mention"/>
    <w:basedOn w:val="2"/>
    <w:semiHidden/>
    <w:unhideWhenUsed/>
    <w:uiPriority w:val="99"/>
    <w:rPr>
      <w:color w:val="605E5C"/>
      <w:shd w:val="clear" w:color="auto" w:fill="E1DFDD"/>
    </w:rPr>
  </w:style>
  <w:style w:type="character" w:customStyle="1" w:styleId="21">
    <w:name w:val="apple-tab-span"/>
    <w:basedOn w:val="2"/>
    <w:uiPriority w:val="0"/>
  </w:style>
  <w:style w:type="character" w:customStyle="1" w:styleId="22">
    <w:name w:val="Normal (Web) Caracter"/>
    <w:link w:val="11"/>
    <w:locked/>
    <w:uiPriority w:val="99"/>
    <w:rPr>
      <w:rFonts w:ascii="Times New Roman" w:hAnsi="Times New Roman" w:eastAsia="Times New Roman" w:cs="Times New Roman"/>
      <w:sz w:val="24"/>
      <w:szCs w:val="24"/>
      <w:lang w:eastAsia="zh-CN"/>
    </w:rPr>
  </w:style>
  <w:style w:type="character" w:customStyle="1" w:styleId="23">
    <w:name w:val="Listă paragraf Caracter"/>
    <w:link w:val="19"/>
    <w:locked/>
    <w:uiPriority w:val="34"/>
    <w:rPr>
      <w:rFonts w:ascii="Georgia" w:hAnsi="Georgia"/>
      <w:sz w:val="24"/>
      <w:szCs w:val="24"/>
      <w:lang w:val="ro-RO"/>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5.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file>

<file path=customXml/itemProps2.xml><?xml version="1.0" encoding="utf-8"?>
<ds:datastoreItem xmlns:ds="http://schemas.openxmlformats.org/officeDocument/2006/customXml" ds:itemID="{FF1BBE47-0F20-4E82-A982-52F09EF6B25C}"/>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9AA26483-6264-42CA-924A-4D6DDAD8FF0F}"/>
</file>

<file path=customXml/itemProps5.xml><?xml version="1.0" encoding="utf-8"?>
<ds:datastoreItem xmlns:ds="http://schemas.openxmlformats.org/officeDocument/2006/customXml" ds:itemID="{135DEC49-FE3D-4A49-A0B1-C33044CC97A1}"/>
</file>

<file path=docProps/app.xml><?xml version="1.0" encoding="utf-8"?>
<Properties xmlns="http://schemas.openxmlformats.org/officeDocument/2006/extended-properties" xmlns:vt="http://schemas.openxmlformats.org/officeDocument/2006/docPropsVTypes">
  <Template>Normal</Template>
  <Pages>11</Pages>
  <Words>2945</Words>
  <Characters>17083</Characters>
  <Lines>142</Lines>
  <Paragraphs>39</Paragraphs>
  <TotalTime>734</TotalTime>
  <ScaleCrop>false</ScaleCrop>
  <LinksUpToDate>false</LinksUpToDate>
  <CharactersWithSpaces>19989</CharactersWithSpaces>
  <Application>WPS Office_11.2.0.11254_F1E327BC-269C-435d-A152-05C5408002CA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334.2022.ro</dc:title>
  <dc:creator>Veronica Roșca</dc:creator>
  <cp:lastModifiedBy>Artemie Catanoi</cp:lastModifiedBy>
  <cp:revision>58</cp:revision>
  <cp:lastPrinted>2022-08-12T09:43:24Z</cp:lastPrinted>
  <dcterms:created xsi:type="dcterms:W3CDTF">2020-02-12T13:55:00Z</dcterms:created>
  <dcterms:modified xsi:type="dcterms:W3CDTF">2022-08-12T09:45:09Z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y fmtid="{D5CDD505-2E9C-101B-9397-08002B2CF9AE}" pid="4" name="KSOProductBuildVer">
    <vt:lpwstr>1049-11.2.0.11254</vt:lpwstr>
  </property>
  <property fmtid="{D5CDD505-2E9C-101B-9397-08002B2CF9AE}" pid="5" name="ICV">
    <vt:lpwstr>81B310E520544EF5ABF7425726F2487E</vt:lpwstr>
  </property>
</Properties>
</file>