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8"/>
        <w:gridCol w:w="1066"/>
      </w:tblGrid>
      <w:tr w:rsidR="00555AE6" w:rsidRPr="00555AE6" w:rsidTr="00555AE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Определение минимального размера</w:t>
            </w:r>
          </w:p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платы за наем имущества публичной собственности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Минимальный размер годовой платы за наем помещений и благоустроенных территорий рассчитывается по формуле: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ai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 xml:space="preserve"> = T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b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×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(1 + K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 xml:space="preserve"> + K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 xml:space="preserve"> +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3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)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×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K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4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×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S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>,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val="en-GB"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где: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ai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размер годовой платы за наем;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Т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b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базовый тариф годовой платы за наем 1 кв. м площади;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коэффициент размещения помещения/благоустроенной территории;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коэффициент технического обустройства;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3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отраслевой коэффициент использования помещения/благоустроенной территории;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4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рыночный коэффициент;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S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сданная внаем площадь.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a) базовый тариф годовой платы за наем 1 кв. м площади (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Т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b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муниципий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Кишинэу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01E83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1E83">
              <w:rPr>
                <w:rFonts w:ascii="Times New Roman" w:eastAsia="Times New Roman" w:hAnsi="Times New Roman" w:cs="Times New Roman"/>
                <w:lang w:val="en-GB" w:eastAsia="ru-RU"/>
              </w:rPr>
              <w:t>458,67</w:t>
            </w:r>
            <w:r w:rsidRPr="00501E83">
              <w:rPr>
                <w:rFonts w:ascii="Times New Roman" w:eastAsia="Times New Roman" w:hAnsi="Times New Roman" w:cs="Times New Roman"/>
                <w:lang w:eastAsia="ru-RU"/>
              </w:rPr>
              <w:t xml:space="preserve"> лея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муниципий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Бэлць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01E83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1E83">
              <w:rPr>
                <w:rFonts w:ascii="Times New Roman" w:eastAsia="Times New Roman" w:hAnsi="Times New Roman" w:cs="Times New Roman"/>
                <w:lang w:eastAsia="ru-RU"/>
              </w:rPr>
              <w:t>325,29 лея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остальные муниципии, города-резиденции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01E83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1E83">
              <w:rPr>
                <w:rFonts w:ascii="Times New Roman" w:eastAsia="Times New Roman" w:hAnsi="Times New Roman" w:cs="Times New Roman"/>
                <w:lang w:eastAsia="ru-RU"/>
              </w:rPr>
              <w:t>236,53 лея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города и пригородные населенные пункты, входящие в состав муниципиев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01E83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1E83">
              <w:rPr>
                <w:rFonts w:ascii="Times New Roman" w:eastAsia="Times New Roman" w:hAnsi="Times New Roman" w:cs="Times New Roman"/>
                <w:lang w:eastAsia="ru-RU"/>
              </w:rPr>
              <w:t>177,51 лея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сельские населенные пункты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01E83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1E83">
              <w:rPr>
                <w:rFonts w:ascii="Times New Roman" w:eastAsia="Times New Roman" w:hAnsi="Times New Roman" w:cs="Times New Roman"/>
                <w:lang w:eastAsia="ru-RU"/>
              </w:rPr>
              <w:t>59,26 лея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b) коэффициент размещения помещения/благоустроенной территории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отдельно стоящее здание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встроенное или пристроенное помещение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0,45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надземное помещение, в том числе первый этаж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0,4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цокольное помещение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полуподвальное помещение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подвальное помещение с окнами, технический этаж, крыша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другие подвальные помещения, благоустроенная территория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c) коэффициент технического обустройства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водопровод, канализация, горячая вода, центральное отопление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водопровод, канализация, центральное отопление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0,4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водопровод, канализация, горячая вода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водопровод, канализация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центральное отопление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техническое обустройство отсутствует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d) отраслевой коэффициент использования помещения/благоустроенной территории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3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1) творческие мастерские художников, скульпторов, архитекторов, народных мастеров; площади, используемые нанимателями в медицинских и фармацевтических целях и общественными организациями лиц с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ограниченнными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возможностями и их предприятиями; площади, используемые для проведения массовых мероприятий в рамках проектов и программ, финансируемых из национального публичного бюджета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2) учреждения, финансируемые из государственного бюджета, бюджетов административно-территориальных единиц, бюджета государственного социального страхования и из фондов обязательного медицинского страхования, другие юридические лица публичного права; патронаты, фонды, общественные объединения, благоустроенные территории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3) помещения для лабораторий, учебного процесса, для проведения научных изысканий и проектных работ; помещения для оказания почтовых, спортивно-оздоровительных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0,2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4) гаражи, склады, технические помещения (кроме указанных в позиции 6) и другие подсобные помещения; помещения для оказания услуг населению (мастерские по ремонту обуви, одежды и предметов домашнего обихода, парикмахерские, химчистки, пункты проката, бани, адвокатские бюро)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0,4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5) помещения, используемые для торговли хлебобулочными изделиями, молочными продуктами, продовольственными товарами, кондитерскими изделиями, безалкогольными напитками; точки общепита, в которых приготовляется и реализуется пища; помещения, используемые в производственных целях; здания (помещения), используемые органами средств массовой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6) помещения для ремонта и технического обслуживания автомобилей, вычислительной техники и другого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7) помещения, используемые в целях торговли, кроме предусмотренных в позиции 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0,8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8) помещения, используемые для электронных, компьютерных и других развлекательных игр для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9) помещения, используемые под офисы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10) ссудо-сберегательные ассоциации, небанковские кредитные организации и бюро кредитных историй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11) субъекты финансового сектора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12) рестораны, бары, кафе, в которых производится отпуск спиртных напитков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13) пункты обмена валюты, пункты видеозаписи и проката видеопродукции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14) помещения, используемые для азартных игр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15) помещения иного назначения, чем указано в позициях 1)–14)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е) рыночный коэффициент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4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 устанавливается по договоренности сторон и не может быть меньше 1,0, а для видов деятельности, осуществляемых в помещениях, указанных в позициях 1)–6) подпункта d), – меньше 0,5, за исключением: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– помещений, используемых органами средств массовой информации, для которых рыночный коэффициент устанавливается в пределах от 1,0 до 1,5;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– площадей, используемых для проведения массовых мероприятий в рамках проектов и программ, финансируемых из национального публичного бюджета, и используемых творческими мастерскими, общественными организациями лиц с ограниченными возможностями и их предприятиями, а также помещений здания Парламента, используемых для точки общепита, в которой приготовляется и реализуется пища, для которых рыночный коэффициент устанавливается в размере 0,1.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При установлении данного коэффициента должны учитываться спрос и предложение в отношении сдаваемых внаем площадей, возможность использования прилегающей к ним территории, территориально-экономические характеристики зоны и другие критерии качества помещений/благоустроенных территорий, не учтенные в применяемых коэффициентах.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При сдаче внаем нескольких помещений с различными условиями размещения и технического обустройства или помещений, которые будут использоваться в различных целях, общий размер платы за наем устанавливается путем сложения сумм платы за наем каждого помещения или группы помещений.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Примечание.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В рамках настоящего закона под благоустроенной территорией подразумевается благоустроенная территория (асфальтированная, мощеная и т. д.), в том числе прилегающая к зданию, которая может быть сдана внаем.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Размер годовой платы за наем оборудования, транспортных средств, в том числе сельскохозяйственного имущества (за исключением земель сельскохозяйственного назначения), и других основных средств (далее – 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оборудование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), сдаваемых внаем/в аренду, рассчитывается по формуле: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au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 xml:space="preserve"> =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U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a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×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K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 xml:space="preserve"> ×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>K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GB"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GB" w:eastAsia="ru-RU"/>
              </w:rPr>
              <w:t xml:space="preserve"> + Q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val="en-GB" w:eastAsia="ru-RU"/>
              </w:rPr>
              <w:t>,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val="en-GB"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где</w:t>
            </w:r>
            <w:r w:rsidRPr="00555AE6">
              <w:rPr>
                <w:rFonts w:ascii="Times New Roman" w:eastAsia="Times New Roman" w:hAnsi="Times New Roman" w:cs="Times New Roman"/>
                <w:lang w:val="en-GB" w:eastAsia="ru-RU"/>
              </w:rPr>
              <w:t>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au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размер годовой платы за наем/аренду оборудования;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U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a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годовая амортизация/годовой износ оборудования, сдаваемого внаем/в аренду;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расчетный коэффициент;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рыночный коэффициент;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Q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расходы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наймодателя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/арендодателя на содержание и эксплуатацию оборудования, сдаваемого внаем/в аренду.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a) годовая амортизация/годовой износ оборудования (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U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a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 рассчитывается по каждому учетному объекту в соответствии с положениями Каталога основных средств, утвержденного Постановлением Правительства № 941/2020, согласно таблице 1:</w:t>
            </w:r>
          </w:p>
        </w:tc>
      </w:tr>
    </w:tbl>
    <w:p w:rsidR="00555AE6" w:rsidRPr="00555AE6" w:rsidRDefault="00555AE6" w:rsidP="00555AE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5AE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927"/>
        <w:gridCol w:w="889"/>
        <w:gridCol w:w="1236"/>
        <w:gridCol w:w="1047"/>
        <w:gridCol w:w="890"/>
        <w:gridCol w:w="863"/>
        <w:gridCol w:w="857"/>
        <w:gridCol w:w="857"/>
        <w:gridCol w:w="974"/>
        <w:gridCol w:w="540"/>
      </w:tblGrid>
      <w:tr w:rsidR="00555AE6" w:rsidRPr="00555AE6" w:rsidTr="00555AE6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Срок использования/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срок полезного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функционирования, в годах.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Пробег, в км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Первоначальная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или переоцененная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стоимость,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Амортизация/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износ на дату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 xml:space="preserve">сдачи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внаем,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Годовая амортизация/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годово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й износ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br/>
              <w:t>(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U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a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),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Расчетный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 xml:space="preserve">коэффициент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br/>
              <w:t>(К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Рыночный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 xml:space="preserve">коэффициент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br/>
              <w:t>(К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Расходы на содержание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иэксплу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атацию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(Q)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Размер годовой пла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ты за наем (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au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b) расчетный коэффициент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1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 устанавливается в зависимости от амортизации/износа на дату сдачи оборудования внаем/в аренду (таблица 2):</w:t>
            </w:r>
          </w:p>
        </w:tc>
      </w:tr>
    </w:tbl>
    <w:p w:rsidR="00555AE6" w:rsidRPr="00555AE6" w:rsidRDefault="00555AE6" w:rsidP="00555AE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5AE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493"/>
        <w:gridCol w:w="493"/>
        <w:gridCol w:w="492"/>
        <w:gridCol w:w="492"/>
        <w:gridCol w:w="492"/>
        <w:gridCol w:w="492"/>
        <w:gridCol w:w="492"/>
        <w:gridCol w:w="492"/>
        <w:gridCol w:w="492"/>
        <w:gridCol w:w="492"/>
        <w:gridCol w:w="436"/>
      </w:tblGrid>
      <w:tr w:rsidR="00555AE6" w:rsidRPr="00555AE6" w:rsidTr="00555AE6">
        <w:trPr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Амортизация/износ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U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а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с) рыночный коэффициент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K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2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 устанавливается по договоренности сторон и не может быть меньше 1,0. При установлении данного коэффициента принимаются во внимание спрос и предложение, недополученный доход, разница между балансовой стоимостью и рыночной ценой оборудования данного типа или оборудования, имеющего сходные характеристики, а также другие факторы. Исключение составляют бюджетные органы/учреждения при сдаче внаем/в аренду оборудования другим бюджетным органам/учреждениям, для которых рыночный коэффициент устанавливается в размере 1,0, а также точка общепита, в которой приготовляется и реализуется пища, в помещениях здания Парламента, для которой рыночный коэффициент устанавливается в размере 0,2.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Если суммы расходов на содержание и эксплуатацию оборудования (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Q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) непостоянны, они пересчитываются и уплачиваются дополнительно.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Размер годовой наемной платы за использование оборотных активов рассчитывается по формуле: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eastAsia="ru-RU"/>
              </w:rPr>
              <w:t>ас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= C × R × K,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где: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P</w:t>
            </w:r>
            <w:r w:rsidRPr="00555AE6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eastAsia="ru-RU"/>
              </w:rPr>
              <w:t>ас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размер годовой наемной платы за использование оборотных активов;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балансовая стоимость оборотных активов на день расчета наемной платы;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R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базисная ставка, применяемая Национальным банком Молдовы по основным краткосрочным операциям денежной политики;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– рыночный коэффициент.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a) балансовая стоимость оборотных активов рассчитывается по каждому учетному объекту согласно таблице 3:</w:t>
            </w:r>
          </w:p>
        </w:tc>
      </w:tr>
    </w:tbl>
    <w:p w:rsidR="00555AE6" w:rsidRPr="00555AE6" w:rsidRDefault="00555AE6" w:rsidP="00555AE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5AE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1569"/>
        <w:gridCol w:w="1272"/>
        <w:gridCol w:w="1152"/>
        <w:gridCol w:w="1268"/>
        <w:gridCol w:w="1232"/>
        <w:gridCol w:w="1371"/>
      </w:tblGrid>
      <w:tr w:rsidR="00555AE6" w:rsidRPr="00555AE6" w:rsidTr="00555AE6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Таблица 3</w:t>
            </w:r>
          </w:p>
          <w:p w:rsidR="00555AE6" w:rsidRPr="00555AE6" w:rsidRDefault="00555AE6" w:rsidP="00555A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55AE6" w:rsidRPr="00555AE6" w:rsidTr="00555AE6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№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оборотных активов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Единица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Балансовая стоимость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одной единицы на день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расчета наемной платы,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балансовая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стоимость на день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расчета наемной платы,</w:t>
            </w: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Примечания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</w:tr>
      <w:tr w:rsidR="00555AE6" w:rsidRPr="00555AE6" w:rsidTr="00555AE6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b) базисная ставка, применяемая Национальным банком Молдовы по основным краткосрочным операциям денежной политики, периодически публикуется в печати. При расчете используется размер ставки на дату заключения договора имущественного найма;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с) рыночный коэффициент устанавливается по соглашению сторон и не может быть меньше 1,0.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По окончании действия договора имущественного найма наниматель возвращает оборотные активы в объеме, зафиксированном на день сдачи их внаем. Если возврат оборотных активов невозможен, возмещается их стоимость по рыночным ценам, действующим на день прекращения действия договора имущественного найма.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Минимальный размер платы за наем имущества публичной собственности определяется без налога на добавленную стоимость.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Если </w:t>
            </w:r>
            <w:proofErr w:type="spellStart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наймодатель</w:t>
            </w:r>
            <w:proofErr w:type="spellEnd"/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зарегистрирован как плательщик налога на добавленную стоимость, плата за наем взимается с нанимателя с учетом налога на добавленную стоимость, дополнительно исчисленного на стоимость оказанных услуг.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55AE6" w:rsidRPr="00555AE6" w:rsidRDefault="00555AE6" w:rsidP="00555A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AE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Примечание.</w:t>
            </w:r>
            <w:r w:rsidRPr="00555AE6">
              <w:rPr>
                <w:rFonts w:ascii="Times New Roman" w:eastAsia="Times New Roman" w:hAnsi="Times New Roman" w:cs="Times New Roman"/>
                <w:lang w:eastAsia="ru-RU"/>
              </w:rPr>
              <w:t xml:space="preserve"> Положения настоящего приложения не применяются к правовым отношениям, регулируемым Законом о доступе к собственности и совместном использовании сопутствующей инфраструктуры сетей электронных коммуникаций общего пользования № 28/2016.</w:t>
            </w:r>
          </w:p>
        </w:tc>
      </w:tr>
    </w:tbl>
    <w:p w:rsidR="00555AE6" w:rsidRPr="00555AE6" w:rsidRDefault="00555AE6" w:rsidP="00555AE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555AE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55AE6" w:rsidRPr="00555AE6" w:rsidRDefault="00555AE6" w:rsidP="00555AE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55AE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55AE6" w:rsidRDefault="00555AE6" w:rsidP="00555AE6">
      <w:pPr>
        <w:spacing w:after="0" w:line="240" w:lineRule="auto"/>
      </w:pPr>
      <w:r w:rsidRPr="00555AE6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FD47B8" w:rsidRDefault="00501E83" w:rsidP="00555AE6"/>
    <w:sectPr w:rsidR="00FD4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6A"/>
    <w:rsid w:val="00501E83"/>
    <w:rsid w:val="00555AE6"/>
    <w:rsid w:val="00887EDD"/>
    <w:rsid w:val="0095656A"/>
    <w:rsid w:val="00A7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88C21-251C-44C9-8956-9360ED48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1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580614E-9CED-462F-A368-0EAD68CAEE2C}"/>
</file>

<file path=customXml/itemProps2.xml><?xml version="1.0" encoding="utf-8"?>
<ds:datastoreItem xmlns:ds="http://schemas.openxmlformats.org/officeDocument/2006/customXml" ds:itemID="{ECA0499A-BB37-4A37-8B00-7522DEDF9190}"/>
</file>

<file path=customXml/itemProps3.xml><?xml version="1.0" encoding="utf-8"?>
<ds:datastoreItem xmlns:ds="http://schemas.openxmlformats.org/officeDocument/2006/customXml" ds:itemID="{4A29B2E7-8C31-4E50-964A-E5B59DB636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445.2022.Anexa9.ru</dc:title>
  <dc:subject/>
  <dc:creator>Stiharu, Natalia</dc:creator>
  <cp:keywords/>
  <dc:description/>
  <cp:lastModifiedBy>Veronica, Chirila</cp:lastModifiedBy>
  <cp:revision>2</cp:revision>
  <dcterms:created xsi:type="dcterms:W3CDTF">2022-11-15T14:20:00Z</dcterms:created>
  <dcterms:modified xsi:type="dcterms:W3CDTF">2022-11-15T14:20:00Z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