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oter2.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891" w:h="540" w:wrap="none" w:hAnchor="page" w:x="1674" w:y="570"/>
        <w:widowControl w:val="0"/>
        <w:shd w:val="clear" w:color="auto" w:fill="auto"/>
        <w:bidi w:val="0"/>
        <w:spacing w:before="0" w:after="0" w:line="240" w:lineRule="auto"/>
        <w:ind w:left="0" w:right="0" w:firstLine="0"/>
        <w:jc w:val="left"/>
      </w:pPr>
      <w:r>
        <w:rPr>
          <w:spacing w:val="0"/>
          <w:w w:val="100"/>
          <w:position w:val="0"/>
          <w:sz w:val="24"/>
          <w:szCs w:val="24"/>
          <w:shd w:val="clear" w:color="auto" w:fill="auto"/>
          <w:lang w:val="en-US" w:eastAsia="en-US" w:bidi="en-US"/>
        </w:rPr>
        <w:t>Parlamentul</w:t>
      </w:r>
    </w:p>
    <w:p>
      <w:pPr>
        <w:pStyle w:val="Style2"/>
        <w:keepNext w:val="0"/>
        <w:keepLines w:val="0"/>
        <w:framePr w:w="1891" w:h="540" w:wrap="none" w:hAnchor="page" w:x="1674" w:y="570"/>
        <w:widowControl w:val="0"/>
        <w:shd w:val="clear" w:color="auto" w:fill="auto"/>
        <w:bidi w:val="0"/>
        <w:spacing w:before="0" w:after="0" w:line="192" w:lineRule="auto"/>
        <w:ind w:left="0" w:right="0" w:firstLine="0"/>
        <w:jc w:val="left"/>
      </w:pPr>
      <w:r>
        <w:rPr>
          <w:spacing w:val="0"/>
          <w:w w:val="100"/>
          <w:position w:val="0"/>
          <w:sz w:val="24"/>
          <w:szCs w:val="24"/>
          <w:shd w:val="clear" w:color="auto" w:fill="auto"/>
          <w:lang w:val="en-US" w:eastAsia="en-US" w:bidi="en-US"/>
        </w:rPr>
        <w:t>Republicii Moldova</w:t>
      </w:r>
    </w:p>
    <w:p>
      <w:pPr>
        <w:pStyle w:val="Style4"/>
        <w:keepNext w:val="0"/>
        <w:keepLines w:val="0"/>
        <w:framePr w:w="1351" w:h="758" w:wrap="none" w:hAnchor="page" w:x="9508" w:y="1"/>
        <w:widowControl w:val="0"/>
        <w:shd w:val="clear" w:color="auto" w:fill="auto"/>
        <w:bidi w:val="0"/>
        <w:spacing w:before="0" w:after="160" w:line="240" w:lineRule="auto"/>
        <w:ind w:left="0" w:right="0" w:firstLine="0"/>
        <w:jc w:val="right"/>
      </w:pPr>
      <w:r>
        <w:rPr>
          <w:color w:val="303741"/>
          <w:spacing w:val="0"/>
          <w:w w:val="100"/>
          <w:position w:val="0"/>
          <w:sz w:val="24"/>
          <w:szCs w:val="24"/>
          <w:shd w:val="clear" w:color="auto" w:fill="auto"/>
          <w:lang w:val="en-US" w:eastAsia="en-US" w:bidi="en-US"/>
        </w:rPr>
        <w:t>SS nr. 27</w:t>
      </w:r>
    </w:p>
    <w:p>
      <w:pPr>
        <w:pStyle w:val="Style4"/>
        <w:keepNext w:val="0"/>
        <w:keepLines w:val="0"/>
        <w:framePr w:w="1351" w:h="758" w:wrap="none" w:hAnchor="page" w:x="9508" w:y="1"/>
        <w:widowControl w:val="0"/>
        <w:shd w:val="clear" w:color="auto" w:fill="auto"/>
        <w:bidi w:val="0"/>
        <w:spacing w:before="0" w:after="0" w:line="240" w:lineRule="auto"/>
        <w:ind w:left="0" w:right="0" w:firstLine="0"/>
        <w:jc w:val="right"/>
      </w:pPr>
      <w:r>
        <w:rPr>
          <w:color w:val="303741"/>
          <w:spacing w:val="0"/>
          <w:w w:val="100"/>
          <w:position w:val="0"/>
          <w:sz w:val="24"/>
          <w:szCs w:val="24"/>
          <w:shd w:val="clear" w:color="auto" w:fill="auto"/>
          <w:lang w:val="en-US" w:eastAsia="en-US" w:bidi="en-US"/>
        </w:rPr>
        <w:t>12 mai 2021</w:t>
      </w:r>
    </w:p>
    <w:p>
      <w:pPr>
        <w:widowControl w:val="0"/>
        <w:spacing w:line="360" w:lineRule="exact"/>
      </w:pPr>
      <w:r>
        <w:drawing>
          <wp:anchor distT="0" distB="0" distL="0" distR="0" simplePos="0" relativeHeight="62914690" behindDoc="1" locked="0" layoutInCell="1" allowOverlap="1">
            <wp:simplePos x="0" y="0"/>
            <wp:positionH relativeFrom="page">
              <wp:posOffset>447040</wp:posOffset>
            </wp:positionH>
            <wp:positionV relativeFrom="margin">
              <wp:posOffset>128270</wp:posOffset>
            </wp:positionV>
            <wp:extent cx="35941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59410" cy="438785"/>
                    </a:xfrm>
                    <a:prstGeom prst="rect"/>
                  </pic:spPr>
                </pic:pic>
              </a:graphicData>
            </a:graphic>
          </wp:anchor>
        </w:drawing>
      </w:r>
      <w:r>
        <w:drawing>
          <wp:anchor distT="0" distB="344170" distL="33655" distR="448310" simplePos="0" relativeHeight="62914691" behindDoc="1" locked="0" layoutInCell="1" allowOverlap="1">
            <wp:simplePos x="0" y="0"/>
            <wp:positionH relativeFrom="page">
              <wp:posOffset>1096010</wp:posOffset>
            </wp:positionH>
            <wp:positionV relativeFrom="margin">
              <wp:posOffset>128270</wp:posOffset>
            </wp:positionV>
            <wp:extent cx="719455" cy="23177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9455" cy="231775"/>
                    </a:xfrm>
                    <a:prstGeom prst="rect"/>
                  </pic:spPr>
                </pic:pic>
              </a:graphicData>
            </a:graphic>
          </wp:anchor>
        </w:drawing>
      </w:r>
    </w:p>
    <w:p>
      <w:pPr>
        <w:widowControl w:val="0"/>
        <w:spacing w:line="360" w:lineRule="exact"/>
      </w:pPr>
    </w:p>
    <w:p>
      <w:pPr>
        <w:widowControl w:val="0"/>
        <w:spacing w:after="388" w:line="1" w:lineRule="exact"/>
      </w:pPr>
    </w:p>
    <w:p>
      <w:pPr>
        <w:widowControl w:val="0"/>
        <w:spacing w:line="1" w:lineRule="exact"/>
        <w:sectPr>
          <w:footnotePr>
            <w:pos w:val="pageBottom"/>
            <w:numFmt w:val="decimal"/>
            <w:numRestart w:val="continuous"/>
          </w:footnotePr>
          <w:pgSz w:w="11900" w:h="16840"/>
          <w:pgMar w:top="663" w:left="704" w:right="714" w:bottom="276" w:header="235" w:footer="3" w:gutter="0"/>
          <w:pgNumType w:start="1"/>
          <w:cols w:space="720"/>
          <w:noEndnote/>
          <w:rtlGutter w:val="0"/>
          <w:docGrid w:linePitch="360"/>
        </w:sectPr>
      </w:pPr>
    </w:p>
    <w:p>
      <w:pPr>
        <w:pStyle w:val="Style9"/>
        <w:keepNext/>
        <w:keepLines/>
        <w:widowControl w:val="0"/>
        <w:shd w:val="clear" w:color="auto" w:fill="auto"/>
        <w:bidi w:val="0"/>
        <w:spacing w:before="0" w:after="0" w:line="240" w:lineRule="auto"/>
        <w:ind w:left="0" w:right="0"/>
        <w:jc w:val="left"/>
      </w:pPr>
      <w:bookmarkStart w:id="0" w:name="bookmark0"/>
      <w:bookmarkStart w:id="1" w:name="bookmark1"/>
      <w:r>
        <w:rPr>
          <w:spacing w:val="0"/>
          <w:w w:val="100"/>
          <w:position w:val="0"/>
          <w:shd w:val="clear" w:color="auto" w:fill="auto"/>
          <w:lang w:val="en-US" w:eastAsia="en-US" w:bidi="en-US"/>
        </w:rPr>
        <w:t>Deputat in Parlamentul</w:t>
      </w:r>
      <w:bookmarkEnd w:id="0"/>
      <w:bookmarkEnd w:id="1"/>
    </w:p>
    <w:p>
      <w:pPr>
        <w:pStyle w:val="Style9"/>
        <w:keepNext/>
        <w:keepLines/>
        <w:widowControl w:val="0"/>
        <w:shd w:val="clear" w:color="auto" w:fill="auto"/>
        <w:bidi w:val="0"/>
        <w:spacing w:before="0" w:after="560" w:line="240" w:lineRule="auto"/>
        <w:ind w:left="0" w:right="0"/>
        <w:jc w:val="left"/>
      </w:pPr>
      <w:bookmarkStart w:id="2" w:name="bookmark2"/>
      <w:bookmarkStart w:id="3" w:name="bookmark3"/>
      <w:r>
        <w:rPr>
          <w:spacing w:val="0"/>
          <w:w w:val="100"/>
          <w:position w:val="0"/>
          <w:shd w:val="clear" w:color="auto" w:fill="auto"/>
          <w:lang w:val="en-US" w:eastAsia="en-US" w:bidi="en-US"/>
        </w:rPr>
        <w:t>Republicii Moldova</w:t>
      </w:r>
      <w:bookmarkEnd w:id="2"/>
      <w:bookmarkEnd w:id="3"/>
    </w:p>
    <w:p>
      <w:pPr>
        <w:pStyle w:val="Style4"/>
        <w:keepNext w:val="0"/>
        <w:keepLines w:val="0"/>
        <w:widowControl w:val="0"/>
        <w:shd w:val="clear" w:color="auto" w:fill="auto"/>
        <w:bidi w:val="0"/>
        <w:spacing w:before="0" w:after="860" w:line="254" w:lineRule="auto"/>
        <w:ind w:left="7660" w:right="0" w:firstLine="40"/>
        <w:jc w:val="left"/>
      </w:pPr>
      <w:r>
        <w:rPr>
          <w:b/>
          <w:bCs/>
          <w:color w:val="000000"/>
          <w:spacing w:val="0"/>
          <w:w w:val="100"/>
          <w:position w:val="0"/>
          <w:shd w:val="clear" w:color="auto" w:fill="auto"/>
          <w:lang w:val="en-US" w:eastAsia="en-US" w:bidi="en-US"/>
        </w:rPr>
        <w:t>Biroul Permanent al Parlamentului Republicii Moldova</w:t>
      </w:r>
    </w:p>
    <w:p>
      <w:pPr>
        <w:pStyle w:val="Style4"/>
        <w:keepNext w:val="0"/>
        <w:keepLines w:val="0"/>
        <w:widowControl w:val="0"/>
        <w:shd w:val="clear" w:color="auto" w:fill="auto"/>
        <w:bidi w:val="0"/>
        <w:spacing w:before="0" w:after="0" w:line="379" w:lineRule="auto"/>
        <w:ind w:left="1040" w:right="0" w:firstLine="840"/>
        <w:jc w:val="left"/>
      </w:pPr>
      <w:r>
        <w:rPr>
          <w:color w:val="000000"/>
          <w:spacing w:val="0"/>
          <w:w w:val="100"/>
          <w:position w:val="0"/>
          <w:shd w:val="clear" w:color="auto" w:fill="auto"/>
          <w:lang w:val="en-US" w:eastAsia="en-US" w:bidi="en-US"/>
        </w:rPr>
        <w:t>In temeiul art.73 din Constitutia Republicii Moldova si art.47 din Regulamentul Parlamentului, se inainteaza spre examinare Parlamentului, cu titlu de initiative legislative, proiectul de Hotarare privind modificarea Hotararii Parlamentului nr.56 din 30 martie 2017 pentru aprobarea Strategiei Nationale de</w:t>
      </w:r>
    </w:p>
    <w:p>
      <w:pPr>
        <w:pStyle w:val="Style4"/>
        <w:keepNext w:val="0"/>
        <w:keepLines w:val="0"/>
        <w:widowControl w:val="0"/>
        <w:shd w:val="clear" w:color="auto" w:fill="auto"/>
        <w:bidi w:val="0"/>
        <w:spacing w:before="0" w:after="140" w:line="240" w:lineRule="auto"/>
        <w:ind w:left="1040" w:right="0" w:firstLine="0"/>
        <w:jc w:val="left"/>
      </w:pPr>
      <w:r>
        <w:rPr>
          <w:color w:val="000000"/>
          <w:spacing w:val="0"/>
          <w:w w:val="100"/>
          <w:position w:val="0"/>
          <w:shd w:val="clear" w:color="auto" w:fill="auto"/>
          <w:lang w:val="en-US" w:eastAsia="en-US" w:bidi="en-US"/>
        </w:rPr>
        <w:t>Integritate si Anticoruptie pentru anii 2017-2020</w:t>
      </w:r>
    </w:p>
    <w:p>
      <w:pPr>
        <w:pStyle w:val="Style4"/>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en-US" w:eastAsia="en-US" w:bidi="en-US"/>
        </w:rPr>
        <w:t>Anexa:</w:t>
      </w:r>
    </w:p>
    <w:p>
      <w:pPr>
        <w:pStyle w:val="Style4"/>
        <w:keepNext w:val="0"/>
        <w:keepLines w:val="0"/>
        <w:widowControl w:val="0"/>
        <w:numPr>
          <w:ilvl w:val="0"/>
          <w:numId w:val="1"/>
        </w:numPr>
        <w:shd w:val="clear" w:color="auto" w:fill="auto"/>
        <w:tabs>
          <w:tab w:pos="2224" w:val="left"/>
        </w:tabs>
        <w:bidi w:val="0"/>
        <w:spacing w:before="0" w:after="0" w:line="240" w:lineRule="auto"/>
        <w:ind w:right="0" w:firstLine="0"/>
        <w:jc w:val="left"/>
      </w:pPr>
      <w:r>
        <w:rPr>
          <w:color w:val="000000"/>
          <w:spacing w:val="0"/>
          <w:w w:val="100"/>
          <w:position w:val="0"/>
          <w:shd w:val="clear" w:color="auto" w:fill="auto"/>
          <w:lang w:val="en-US" w:eastAsia="en-US" w:bidi="en-US"/>
        </w:rPr>
        <w:t>Proiectul de Hotarare - 42 file;</w:t>
      </w:r>
    </w:p>
    <w:p>
      <w:pPr>
        <w:pStyle w:val="Style4"/>
        <w:keepNext w:val="0"/>
        <w:keepLines w:val="0"/>
        <w:widowControl w:val="0"/>
        <w:numPr>
          <w:ilvl w:val="0"/>
          <w:numId w:val="1"/>
        </w:numPr>
        <w:shd w:val="clear" w:color="auto" w:fill="auto"/>
        <w:tabs>
          <w:tab w:pos="2248" w:val="left"/>
        </w:tabs>
        <w:bidi w:val="0"/>
        <w:spacing w:before="0" w:after="0" w:line="240" w:lineRule="auto"/>
        <w:ind w:right="0" w:firstLine="0"/>
        <w:jc w:val="left"/>
      </w:pPr>
      <w:r>
        <w:rPr>
          <w:color w:val="000000"/>
          <w:spacing w:val="0"/>
          <w:w w:val="100"/>
          <w:position w:val="0"/>
          <w:shd w:val="clear" w:color="auto" w:fill="auto"/>
          <w:lang w:val="en-US" w:eastAsia="en-US" w:bidi="en-US"/>
        </w:rPr>
        <w:t>Nota informativa - 3 file;</w:t>
      </w:r>
    </w:p>
    <w:p>
      <w:pPr>
        <w:pStyle w:val="Style4"/>
        <w:keepNext w:val="0"/>
        <w:keepLines w:val="0"/>
        <w:widowControl w:val="0"/>
        <w:numPr>
          <w:ilvl w:val="0"/>
          <w:numId w:val="1"/>
        </w:numPr>
        <w:shd w:val="clear" w:color="auto" w:fill="auto"/>
        <w:tabs>
          <w:tab w:pos="2248" w:val="left"/>
        </w:tabs>
        <w:bidi w:val="0"/>
        <w:spacing w:before="0" w:after="860" w:line="240" w:lineRule="auto"/>
        <w:ind w:right="0" w:firstLine="0"/>
        <w:jc w:val="left"/>
      </w:pPr>
      <w:r>
        <w:rPr>
          <w:color w:val="000000"/>
          <w:spacing w:val="0"/>
          <w:w w:val="100"/>
          <w:position w:val="0"/>
          <w:shd w:val="clear" w:color="auto" w:fill="auto"/>
          <w:lang w:val="en-US" w:eastAsia="en-US" w:bidi="en-US"/>
        </w:rPr>
        <w:t>Materiale aditionale - 27 file.</w:t>
      </w:r>
    </w:p>
    <w:p>
      <w:pPr>
        <w:pStyle w:val="Style4"/>
        <w:keepNext w:val="0"/>
        <w:keepLines w:val="0"/>
        <w:widowControl w:val="0"/>
        <w:shd w:val="clear" w:color="auto" w:fill="auto"/>
        <w:bidi w:val="0"/>
        <w:spacing w:before="0" w:after="0" w:line="240" w:lineRule="auto"/>
        <w:ind w:left="7660" w:right="0" w:firstLine="0"/>
        <w:jc w:val="left"/>
      </w:pPr>
      <w:r>
        <w:rPr>
          <w:b/>
          <w:bCs/>
          <w:color w:val="000000"/>
          <w:spacing w:val="0"/>
          <w:w w:val="100"/>
          <w:position w:val="0"/>
          <w:shd w:val="clear" w:color="auto" w:fill="auto"/>
          <w:lang w:val="en-US" w:eastAsia="en-US" w:bidi="en-US"/>
        </w:rPr>
        <w:t>Serghei Sirbu</w:t>
      </w:r>
    </w:p>
    <w:p>
      <w:pPr>
        <w:pStyle w:val="Style4"/>
        <w:keepNext w:val="0"/>
        <w:keepLines w:val="0"/>
        <w:widowControl w:val="0"/>
        <w:shd w:val="clear" w:color="auto" w:fill="auto"/>
        <w:bidi w:val="0"/>
        <w:spacing w:before="0" w:after="6120" w:line="240" w:lineRule="auto"/>
        <w:ind w:left="7660" w:right="0" w:firstLine="0"/>
        <w:jc w:val="left"/>
      </w:pPr>
      <w:r>
        <w:rPr>
          <w:b/>
          <w:bCs/>
          <w:color w:val="000000"/>
          <w:spacing w:val="0"/>
          <w:w w:val="100"/>
          <w:position w:val="0"/>
          <w:shd w:val="clear" w:color="auto" w:fill="auto"/>
          <w:lang w:val="en-US" w:eastAsia="en-US" w:bidi="en-US"/>
        </w:rPr>
        <w:t>Deputat in Parlament</w:t>
      </w:r>
    </w:p>
    <w:p>
      <w:pPr>
        <w:pStyle w:val="Style7"/>
        <w:keepNext w:val="0"/>
        <w:keepLines w:val="0"/>
        <w:widowControl w:val="0"/>
        <w:shd w:val="clear" w:color="auto" w:fill="auto"/>
        <w:bidi w:val="0"/>
        <w:spacing w:before="0" w:after="0" w:line="240" w:lineRule="auto"/>
        <w:ind w:left="0" w:right="0" w:firstLine="860"/>
        <w:jc w:val="left"/>
      </w:pPr>
      <w:r>
        <mc:AlternateContent>
          <mc:Choice Requires="wps">
            <w:drawing>
              <wp:anchor distT="0" distB="0" distL="114300" distR="114300" simplePos="0" relativeHeight="125829378" behindDoc="0" locked="0" layoutInCell="1" allowOverlap="1">
                <wp:simplePos x="0" y="0"/>
                <wp:positionH relativeFrom="page">
                  <wp:posOffset>5768340</wp:posOffset>
                </wp:positionH>
                <wp:positionV relativeFrom="paragraph">
                  <wp:posOffset>12700</wp:posOffset>
                </wp:positionV>
                <wp:extent cx="1071245" cy="309245"/>
                <wp:wrapSquare wrapText="left"/>
                <wp:docPr id="5" name="Shape 5"/>
                <a:graphic xmlns:a="http://schemas.openxmlformats.org/drawingml/2006/main">
                  <a:graphicData uri="http://schemas.microsoft.com/office/word/2010/wordprocessingShape">
                    <wps:wsp>
                      <wps:cNvSpPr txBox="1"/>
                      <wps:spPr>
                        <a:xfrm>
                          <a:ext cx="1071245" cy="30924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7"/>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454.19999999999999pt;margin-top:1.pt;width:84.349999999999994pt;height:24.350000000000001pt;z-index:-125829375;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7"/>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v:textbox>
                <w10:wrap type="square" side="left" anchorx="page"/>
              </v:shape>
            </w:pict>
          </mc:Fallback>
        </mc:AlternateContent>
      </w:r>
      <w:r>
        <w:rPr>
          <w:color w:val="000000"/>
          <w:spacing w:val="0"/>
          <w:w w:val="100"/>
          <w:position w:val="0"/>
          <w:shd w:val="clear" w:color="auto" w:fill="auto"/>
          <w:lang w:val="en-US" w:eastAsia="en-US" w:bidi="en-US"/>
        </w:rPr>
        <w:t>Republica Moldova, MD-2004, Chisinau</w:t>
      </w:r>
    </w:p>
    <w:p>
      <w:pPr>
        <w:pStyle w:val="Style7"/>
        <w:keepNext w:val="0"/>
        <w:keepLines w:val="0"/>
        <w:widowControl w:val="0"/>
        <w:shd w:val="clear" w:color="auto" w:fill="auto"/>
        <w:bidi w:val="0"/>
        <w:spacing w:before="0" w:after="80" w:line="240" w:lineRule="auto"/>
        <w:ind w:left="0" w:right="0" w:firstLine="860"/>
        <w:jc w:val="left"/>
      </w:pPr>
      <w:r>
        <w:rPr>
          <w:color w:val="000000"/>
          <w:spacing w:val="0"/>
          <w:w w:val="100"/>
          <w:position w:val="0"/>
          <w:shd w:val="clear" w:color="auto" w:fill="auto"/>
          <w:lang w:val="en-US" w:eastAsia="en-US" w:bidi="en-US"/>
        </w:rPr>
        <w:t>Bd. §tefan cel Mare §i Sfant 105</w:t>
      </w:r>
    </w:p>
    <w:p>
      <w:pPr>
        <w:pStyle w:val="Style12"/>
        <w:keepNext w:val="0"/>
        <w:keepLines w:val="0"/>
        <w:widowControl w:val="0"/>
        <w:shd w:val="clear" w:color="auto" w:fill="auto"/>
        <w:bidi w:val="0"/>
        <w:spacing w:before="0" w:after="0" w:line="240" w:lineRule="auto"/>
        <w:ind w:left="4300" w:right="0" w:firstLine="0"/>
        <w:jc w:val="left"/>
      </w:pPr>
      <w:r>
        <w:rPr>
          <w:b/>
          <w:bCs/>
          <w:color w:val="000000"/>
          <w:spacing w:val="0"/>
          <w:w w:val="100"/>
          <w:position w:val="0"/>
          <w:sz w:val="24"/>
          <w:szCs w:val="24"/>
          <w:shd w:val="clear" w:color="auto" w:fill="auto"/>
          <w:lang w:val="en-US" w:eastAsia="en-US" w:bidi="en-US"/>
        </w:rPr>
        <w:t>NOTA INFORMATIVA</w:t>
      </w:r>
    </w:p>
    <w:p>
      <w:pPr>
        <w:pStyle w:val="Style1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z w:val="24"/>
          <w:szCs w:val="24"/>
          <w:shd w:val="clear" w:color="auto" w:fill="auto"/>
          <w:lang w:val="en-US" w:eastAsia="en-US" w:bidi="en-US"/>
        </w:rPr>
        <w:t>la proiectul de Hotarare</w:t>
        <w:br/>
        <w:t>privind modificarea Hotararii Parlamentului</w:t>
        <w:br/>
        <w:t>nr.56 din 30 martie 2017 pentru aprobarea</w:t>
        <w:br/>
        <w:t>Strategiei Nationale de Integritate si Anticoruptie</w:t>
        <w:br/>
        <w:t>pentru anii 2017-2020</w:t>
      </w:r>
    </w:p>
    <w:p>
      <w:pPr>
        <w:pStyle w:val="Style12"/>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289" w:val="left"/>
          <w:tab w:leader="underscore" w:pos="10300" w:val="left"/>
        </w:tabs>
        <w:bidi w:val="0"/>
        <w:spacing w:before="0" w:after="0" w:line="240" w:lineRule="auto"/>
        <w:ind w:left="0" w:right="0" w:firstLine="0"/>
        <w:jc w:val="both"/>
      </w:pPr>
      <w:r>
        <w:rPr>
          <w:b/>
          <w:bCs/>
          <w:color w:val="000000"/>
          <w:spacing w:val="0"/>
          <w:w w:val="100"/>
          <w:position w:val="0"/>
          <w:sz w:val="24"/>
          <w:szCs w:val="24"/>
          <w:u w:val="single"/>
          <w:shd w:val="clear" w:color="auto" w:fill="auto"/>
          <w:lang w:val="en-US" w:eastAsia="en-US" w:bidi="en-US"/>
        </w:rPr>
        <w:t>Autorii si participantii la elaborarea proiectului</w:t>
        <w:tab/>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Prezentul proiect de Hotarare a Parlamentului a fost inaintat in calitate de initiativa legislative a deputatului in Parlament ca raspuns la demersul Centrului National Anticoruptie nr.06/3-889 din 12.02.2021, avand in vedere faptul ca CNA nu este subiect cu drept de initiativa legislativa.</w:t>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10300"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Astfel, proiectul in cauza a fost elaborat de catre Centrul National Anticoruptie, ceea ce corespunde </w:t>
      </w:r>
      <w:r>
        <w:rPr>
          <w:color w:val="000000"/>
          <w:spacing w:val="0"/>
          <w:w w:val="100"/>
          <w:position w:val="0"/>
          <w:sz w:val="24"/>
          <w:szCs w:val="24"/>
          <w:u w:val="single"/>
          <w:shd w:val="clear" w:color="auto" w:fill="auto"/>
          <w:lang w:val="en-US" w:eastAsia="en-US" w:bidi="en-US"/>
        </w:rPr>
        <w:t>prevederilor art.23 alin.(2) lit.e) din Legea nr.100/2017 cu privire la actele normative.</w:t>
      </w:r>
      <w:r>
        <w:rPr>
          <w:color w:val="000000"/>
          <w:spacing w:val="0"/>
          <w:w w:val="100"/>
          <w:position w:val="0"/>
          <w:sz w:val="24"/>
          <w:szCs w:val="24"/>
          <w:shd w:val="clear" w:color="auto" w:fill="auto"/>
          <w:lang w:val="en-US" w:eastAsia="en-US" w:bidi="en-US"/>
        </w:rPr>
        <w:tab/>
      </w:r>
    </w:p>
    <w:p>
      <w:pPr>
        <w:pStyle w:val="Style12"/>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303" w:val="left"/>
          <w:tab w:leader="underscore" w:pos="10300" w:val="left"/>
        </w:tabs>
        <w:bidi w:val="0"/>
        <w:spacing w:before="0" w:after="0" w:line="240" w:lineRule="auto"/>
        <w:ind w:left="0" w:right="0" w:firstLine="0"/>
        <w:jc w:val="both"/>
      </w:pPr>
      <w:r>
        <w:rPr>
          <w:b/>
          <w:bCs/>
          <w:color w:val="000000"/>
          <w:spacing w:val="0"/>
          <w:w w:val="100"/>
          <w:position w:val="0"/>
          <w:sz w:val="24"/>
          <w:szCs w:val="24"/>
          <w:u w:val="single"/>
          <w:shd w:val="clear" w:color="auto" w:fill="auto"/>
          <w:lang w:val="en-US" w:eastAsia="en-US" w:bidi="en-US"/>
        </w:rPr>
        <w:t>Conditiile ce au impus elaborarea proiectului de act normativ si finalitatile urmarite</w:t>
        <w:tab/>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Combaterea coruptiei este una din prioritatile fundamentale, care prevede un spectru de masuri complexe si bine centrate pe urmatoarele domenii vulnerabile: politici anticoruptie, independenta si eficienta institutiilor; combaterea coruptiei politice, combaterea coruptiei in organele de drept si justitie, combater ea imbogatirii ilicite si confiscarea produselor infractiunilor de coruptie si conexe, combaterea fraudarii utilizarii fondurilor externe, controlul averilor, intereselor personale si al conflictelor de interese; integritatea institutionala si servicii publice pe platforme electronice.</w:t>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Strategia Nationala de Integritate si Anticoruptie pentru anii 2017-2020 (adoptata prin Hotararea Parlamentului nr.56 din 30.03.2017) este principalul documentul de politici publice care are menirea de a sistematiza si eficientiza eforturile entitatilor publice in domeniul anticoruptie si de consolidare a integritatii. Acestea integreaza toate initiativele relevante, intr-un cadru unitar si vizeaza fortificarea durabila prin actiuni concrete si fezabile. Este important de subliniat ca atat Strategia, cat si Planul de actiuni, au fost sustinute de Parlament in semn de consens general la cel mai inalt nivel.</w:t>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Implementarea eficienta a Strategiei presupune existenta unor anumite premise. Data fiind experienta punerii in aplicare a strategiilor anterioare, pentru implementarea actualei Strategii a fost importanta recunoasterea si respectarea urmatoarelor premise:</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903" w:val="left"/>
        </w:tabs>
        <w:bidi w:val="0"/>
        <w:spacing w:before="0" w:after="0" w:line="240" w:lineRule="auto"/>
        <w:ind w:left="0" w:right="0" w:firstLine="600"/>
        <w:jc w:val="left"/>
      </w:pPr>
      <w:r>
        <w:rPr>
          <w:color w:val="000000"/>
          <w:spacing w:val="0"/>
          <w:w w:val="100"/>
          <w:position w:val="0"/>
          <w:sz w:val="24"/>
          <w:szCs w:val="24"/>
          <w:shd w:val="clear" w:color="auto" w:fill="auto"/>
          <w:lang w:val="en-US" w:eastAsia="en-US" w:bidi="en-US"/>
        </w:rPr>
        <w:t>Stabilitatea si vointa politica.</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903" w:val="left"/>
        </w:tabs>
        <w:bidi w:val="0"/>
        <w:spacing w:before="0" w:after="0" w:line="240" w:lineRule="auto"/>
        <w:ind w:left="0" w:right="0" w:firstLine="600"/>
        <w:jc w:val="left"/>
      </w:pPr>
      <w:r>
        <w:rPr>
          <w:color w:val="000000"/>
          <w:spacing w:val="0"/>
          <w:w w:val="100"/>
          <w:position w:val="0"/>
          <w:sz w:val="24"/>
          <w:szCs w:val="24"/>
          <w:shd w:val="clear" w:color="auto" w:fill="auto"/>
          <w:lang w:val="en-US" w:eastAsia="en-US" w:bidi="en-US"/>
        </w:rPr>
        <w:t>Asigurarea financiara.</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903" w:val="left"/>
        </w:tabs>
        <w:bidi w:val="0"/>
        <w:spacing w:before="0" w:after="0" w:line="240" w:lineRule="auto"/>
        <w:ind w:left="0" w:right="0" w:firstLine="600"/>
        <w:jc w:val="left"/>
      </w:pPr>
      <w:r>
        <w:rPr>
          <w:color w:val="000000"/>
          <w:spacing w:val="0"/>
          <w:w w:val="100"/>
          <w:position w:val="0"/>
          <w:sz w:val="24"/>
          <w:szCs w:val="24"/>
          <w:shd w:val="clear" w:color="auto" w:fill="auto"/>
          <w:lang w:val="en-US" w:eastAsia="en-US" w:bidi="en-US"/>
        </w:rPr>
        <w:t>Asumarea responsabilitatii din partea institutiilor pilon.</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903" w:val="left"/>
        </w:tabs>
        <w:bidi w:val="0"/>
        <w:spacing w:before="0" w:after="0" w:line="240" w:lineRule="auto"/>
        <w:ind w:left="0" w:right="0" w:firstLine="600"/>
        <w:jc w:val="left"/>
      </w:pPr>
      <w:r>
        <w:rPr>
          <w:color w:val="000000"/>
          <w:spacing w:val="0"/>
          <w:w w:val="100"/>
          <w:position w:val="0"/>
          <w:sz w:val="24"/>
          <w:szCs w:val="24"/>
          <w:shd w:val="clear" w:color="auto" w:fill="auto"/>
          <w:lang w:val="en-US" w:eastAsia="en-US" w:bidi="en-US"/>
        </w:rPr>
        <w:t>Control public, monitorizare independenta si impartiala.</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903" w:val="left"/>
        </w:tabs>
        <w:bidi w:val="0"/>
        <w:spacing w:before="0" w:after="0" w:line="240" w:lineRule="auto"/>
        <w:ind w:left="0" w:right="0" w:firstLine="600"/>
        <w:jc w:val="left"/>
      </w:pPr>
      <w:r>
        <w:rPr>
          <w:color w:val="000000"/>
          <w:spacing w:val="0"/>
          <w:w w:val="100"/>
          <w:position w:val="0"/>
          <w:sz w:val="24"/>
          <w:szCs w:val="24"/>
          <w:shd w:val="clear" w:color="auto" w:fill="auto"/>
          <w:lang w:val="en-US" w:eastAsia="en-US" w:bidi="en-US"/>
        </w:rPr>
        <w:t>Abordari complementare si evitarea dublarilor.</w:t>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Doar in prezenta tuturor premiselor mentionate, implementarea masurilor prevazute de Strategie poate produce impactul scontat. Pe parcursul perioadei de implementare a prezentei Strategiei, au fost identificati o serie de factori care au compromis din diverse motive, buna desfasurare a procesului de implementare, dupa cum urmeaza:</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903" w:val="left"/>
        </w:tabs>
        <w:bidi w:val="0"/>
        <w:spacing w:before="0" w:after="0" w:line="240" w:lineRule="auto"/>
        <w:ind w:left="0" w:right="0" w:firstLine="600"/>
        <w:jc w:val="both"/>
      </w:pPr>
      <w:r>
        <w:rPr>
          <w:color w:val="000000"/>
          <w:spacing w:val="0"/>
          <w:w w:val="100"/>
          <w:position w:val="0"/>
          <w:sz w:val="24"/>
          <w:szCs w:val="24"/>
          <w:shd w:val="clear" w:color="auto" w:fill="auto"/>
          <w:lang w:val="en-US" w:eastAsia="en-US" w:bidi="en-US"/>
        </w:rPr>
        <w:t>intrarea in vigoare a Strategiei la mijlocului anului 2017, ceea ce a impiedicat realizarea activitatilor scadente pentru perioadele vizate;</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903" w:val="left"/>
        </w:tabs>
        <w:bidi w:val="0"/>
        <w:spacing w:before="0" w:after="0" w:line="240" w:lineRule="auto"/>
        <w:ind w:left="0" w:right="0" w:firstLine="600"/>
        <w:jc w:val="both"/>
      </w:pPr>
      <w:r>
        <w:rPr>
          <w:color w:val="000000"/>
          <w:spacing w:val="0"/>
          <w:w w:val="100"/>
          <w:position w:val="0"/>
          <w:sz w:val="24"/>
          <w:szCs w:val="24"/>
          <w:shd w:val="clear" w:color="auto" w:fill="auto"/>
          <w:lang w:val="en-US" w:eastAsia="en-US" w:bidi="en-US"/>
        </w:rPr>
        <w:t>parcurgerea scrutinelor electorale, ce a generat tergiversarea crearii organelor de lucru ale Parlamentului de legislatura a XXI-a; distorsionarea stabilitatii politice, una din premisele de baza pentru atingerea indicatorilor de progres</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903" w:val="left"/>
        </w:tabs>
        <w:bidi w:val="0"/>
        <w:spacing w:before="0" w:after="0" w:line="240" w:lineRule="auto"/>
        <w:ind w:left="0" w:right="0" w:firstLine="600"/>
        <w:jc w:val="both"/>
      </w:pPr>
      <w:r>
        <w:rPr>
          <w:color w:val="000000"/>
          <w:spacing w:val="0"/>
          <w:w w:val="100"/>
          <w:position w:val="0"/>
          <w:sz w:val="24"/>
          <w:szCs w:val="24"/>
          <w:shd w:val="clear" w:color="auto" w:fill="auto"/>
          <w:lang w:val="en-US" w:eastAsia="en-US" w:bidi="en-US"/>
        </w:rPr>
        <w:t>si, nu in ultimul rand, situatia epidemiologica din tara, care a compromis realizarea pe parcursul anului 2020 a mai multor actiuni.</w:t>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Astfel, oportunitatea extinderii termenului de realizare al Strategiei Nationale de Integritate si Anticoruptie, este reiterat intru asigurarea continuitatii implementarii acestui document strategic prin eficienta procesului de implementare, monitorizare si evaluare care se bazeaza totodata, pe necesitatea progresului uniform pe toti cei 8 piloni pentru crearea unui climat national de integritate.</w:t>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10300"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Necesitatea de extindere a termenului de implementare al Strategiei a fost remarcata inclusiv prin prisma asigurarii continuitatii succeselor obtinute la nivel central, local cit si sectorial in perioada precedenta, precum si evitarii unei lipse de acoperire a documentului de politici in perioada de conceptualizare, </w:t>
      </w:r>
      <w:r>
        <w:rPr>
          <w:color w:val="000000"/>
          <w:spacing w:val="0"/>
          <w:w w:val="100"/>
          <w:position w:val="0"/>
          <w:sz w:val="24"/>
          <w:szCs w:val="24"/>
          <w:u w:val="single"/>
          <w:shd w:val="clear" w:color="auto" w:fill="auto"/>
          <w:lang w:val="en-US" w:eastAsia="en-US" w:bidi="en-US"/>
        </w:rPr>
        <w:t>elaborare si adoptare a unui nou document strategic.</w:t>
      </w:r>
      <w:r>
        <w:rPr>
          <w:color w:val="000000"/>
          <w:spacing w:val="0"/>
          <w:w w:val="100"/>
          <w:position w:val="0"/>
          <w:sz w:val="24"/>
          <w:szCs w:val="24"/>
          <w:shd w:val="clear" w:color="auto" w:fill="auto"/>
          <w:lang w:val="en-US" w:eastAsia="en-US" w:bidi="en-US"/>
        </w:rPr>
        <w:tab/>
      </w:r>
    </w:p>
    <w:p>
      <w:pPr>
        <w:pStyle w:val="Style12"/>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303" w:val="left"/>
        </w:tabs>
        <w:bidi w:val="0"/>
        <w:spacing w:before="0" w:after="0" w:line="240" w:lineRule="auto"/>
        <w:ind w:left="0" w:right="0" w:firstLine="0"/>
        <w:jc w:val="both"/>
        <w:sectPr>
          <w:footnotePr>
            <w:pos w:val="pageBottom"/>
            <w:numFmt w:val="decimal"/>
            <w:numRestart w:val="continuous"/>
          </w:footnotePr>
          <w:type w:val="continuous"/>
          <w:pgSz w:w="11900" w:h="16840"/>
          <w:pgMar w:top="794" w:left="741" w:right="699" w:bottom="344" w:header="366" w:footer="3" w:gutter="0"/>
          <w:cols w:space="720"/>
          <w:noEndnote/>
          <w:rtlGutter w:val="0"/>
          <w:docGrid w:linePitch="360"/>
        </w:sectPr>
      </w:pPr>
      <w:r>
        <w:rPr>
          <w:b/>
          <w:bCs/>
          <w:color w:val="000000"/>
          <w:spacing w:val="0"/>
          <w:w w:val="100"/>
          <w:position w:val="0"/>
          <w:sz w:val="24"/>
          <w:szCs w:val="24"/>
          <w:u w:val="single"/>
          <w:shd w:val="clear" w:color="auto" w:fill="auto"/>
          <w:lang w:val="en-US" w:eastAsia="en-US" w:bidi="en-US"/>
        </w:rPr>
        <w:t>Descrierea gradului de compatibilitate pentru proiectele care au ca scop armonizarea legislatiei</w:t>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10299" w:val="left"/>
        </w:tabs>
        <w:bidi w:val="0"/>
        <w:spacing w:before="0" w:after="0" w:line="240" w:lineRule="auto"/>
        <w:ind w:left="0" w:right="0" w:firstLine="0"/>
        <w:jc w:val="both"/>
      </w:pPr>
      <w:r>
        <w:rPr>
          <w:b/>
          <w:bCs/>
          <w:color w:val="000000"/>
          <w:spacing w:val="0"/>
          <w:w w:val="100"/>
          <w:position w:val="0"/>
          <w:sz w:val="24"/>
          <w:szCs w:val="24"/>
          <w:u w:val="single"/>
          <w:shd w:val="clear" w:color="auto" w:fill="auto"/>
          <w:lang w:val="en-US" w:eastAsia="en-US" w:bidi="en-US"/>
        </w:rPr>
        <w:t>na^ionale cu legislatia Uniunii Europene</w:t>
        <w:tab/>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10299"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Proiectul nu are ca scop armonizarea legislatiei nationale cu legislatia Uniunii Europene, ceea ce denota </w:t>
      </w:r>
      <w:r>
        <w:rPr>
          <w:color w:val="000000"/>
          <w:spacing w:val="0"/>
          <w:w w:val="100"/>
          <w:position w:val="0"/>
          <w:sz w:val="24"/>
          <w:szCs w:val="24"/>
          <w:u w:val="single"/>
          <w:shd w:val="clear" w:color="auto" w:fill="auto"/>
          <w:lang w:val="en-US" w:eastAsia="en-US" w:bidi="en-US"/>
        </w:rPr>
        <w:t>lipsa necesitatii descrierii gradului de compatibilitate a proiectului in acest sens.</w:t>
      </w:r>
      <w:r>
        <w:rPr>
          <w:color w:val="000000"/>
          <w:spacing w:val="0"/>
          <w:w w:val="100"/>
          <w:position w:val="0"/>
          <w:sz w:val="24"/>
          <w:szCs w:val="24"/>
          <w:shd w:val="clear" w:color="auto" w:fill="auto"/>
          <w:lang w:val="en-US" w:eastAsia="en-US" w:bidi="en-US"/>
        </w:rPr>
        <w:tab/>
      </w:r>
    </w:p>
    <w:p>
      <w:pPr>
        <w:pStyle w:val="Style12"/>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301" w:val="left"/>
          <w:tab w:leader="underscore" w:pos="10299" w:val="left"/>
        </w:tabs>
        <w:bidi w:val="0"/>
        <w:spacing w:before="0" w:after="0" w:line="240" w:lineRule="auto"/>
        <w:ind w:left="0" w:right="0" w:firstLine="0"/>
        <w:jc w:val="both"/>
      </w:pPr>
      <w:r>
        <w:rPr>
          <w:b/>
          <w:bCs/>
          <w:color w:val="000000"/>
          <w:spacing w:val="0"/>
          <w:w w:val="100"/>
          <w:position w:val="0"/>
          <w:sz w:val="24"/>
          <w:szCs w:val="24"/>
          <w:u w:val="single"/>
          <w:shd w:val="clear" w:color="auto" w:fill="auto"/>
          <w:lang w:val="en-US" w:eastAsia="en-US" w:bidi="en-US"/>
        </w:rPr>
        <w:t>Principalele prevederi ale proiectului si evidentierea elementelor noi</w:t>
        <w:tab/>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Strategia Nationala de Integritate si Anticoruptie a venit cu o abordare novatorie pe mai multe dimensiuni, in special, fiind vorba de urmatoarele:</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435"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proiectul are la baza o evaluare multidimensionala si comprehensiva a gradului de realizare si a impactului precedentului document strategic anticoruptie - SNA 2011-2016, ceea ce a permis identificarea domeniilor vulnerabile, a aspectelor critice pentru implementarea eficienta a documentului, gradului de implicare a autoritatilor responsabile - a succeselor si esecurilor inregistrate. Evaluarea, de asemenea, a inclus si o serie de recomandari pentru noul document de politici anticoruptie, care au fost luate in considerare de catre autori in procesul scrierii;</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435"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proiectul Strategiei este fundamentat si pe analiza sistemului national de integritate (SNI) desfasurata de catre Transparency International Moldova, bazata pe standarde internationale consacrate si agreate de majoritatea tarilor lumii. Asa cum este mentionat si in textul proiectului, SNI se sprijina pe institutii-piloni si sectoare ce se ridica de pe temelia societatii. Disfunctionalitatile institutiilor si sectoarelor compromit SNI si statul de drept in general, afectand bunastarea sociala. Asa fiind, Strategia fost dezvoltata pornind de la evaluarea SNI, fiind construita pe 8 piloni de integritate;</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435"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Strategia, este in linie cu Obiectivele de dezvoltare durabila ale ONU, in special obiectivul 16 care tinteste ”Promovarea societatilor pasnice si incluzive pentru dezvoltare durabila, asigurarea accesului la justitie pentru toti si crearea institutiilor eficiente, responsabile si incluzive la toate nivelurile”;</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301"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procesul de elaborare a Strategiei este diferit de practicile anterioare, atunci cand documentele de asemenea anvergura reprezentau, ab initio, viziunea autoritatii/autoritatilor responsabile de implementare si doar ulterior se proceda la consultarea lor cu reprezentantii societatii civile si partenerilor de dezvoltare. Astfel, o prima versiune a proiectului, a fost elaborata de catre un grup de experti independenti, contractati de catre Programul Natiunilor Unite pentru Dezvoltare (PNUD) in cadrul proiectului ”Consolidarea capacitatilor Centrului National Anticoruptie de exercitare a functiilor de prevenire si analiza a coruptiei”, finantat de catre Ministerul Afacerilor Externe a Norvegiei;</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301"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in raport cu documentele strategice precedente, proiectul se concentreaza pe aspectele de implementare si mai putin pe partea legata de modificarea cadrului normativ. Autorii proiectului SNIA 2017-2020 au pornit de la premisa suficientei cadrului normativ, accentul urmand a fi pus pe partea de implementare a prevederilor legale existente si celor aflate in faza avansata de promovare;</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301" w:val="left"/>
        </w:tabs>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procedurile de raportare si monitorizare a SNIA prevad expres oportunitatea implicarii societatii civile prin redactarea si furnizarea unor rapoarte alternative de monitorizare si evaluare, urmand ca acestea sa fie audiate si publicate alaturi de rapoartele autoritatilor;</w:t>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Esenta modificarilor propuse prin prezentul proiect de Hotarare de Parlament, este de diferita natura. Acestea pot fi grupate generic in urmatoarele categorii de amendamente:</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301" w:val="left"/>
        </w:tabs>
        <w:bidi w:val="0"/>
        <w:spacing w:before="0" w:after="280" w:line="240" w:lineRule="auto"/>
        <w:ind w:left="360" w:right="0" w:hanging="360"/>
        <w:jc w:val="both"/>
      </w:pPr>
      <w:r>
        <w:rPr>
          <w:color w:val="000000"/>
          <w:spacing w:val="0"/>
          <w:w w:val="100"/>
          <w:position w:val="0"/>
          <w:sz w:val="24"/>
          <w:szCs w:val="24"/>
          <w:shd w:val="clear" w:color="auto" w:fill="auto"/>
          <w:lang w:val="en-US" w:eastAsia="en-US" w:bidi="en-US"/>
        </w:rPr>
        <w:t>Prelungirea termenului de implementare a Strategiei Nationale de Integritate si Anticoruptie 2017-2020 pana in anul 2022 si substituirea cifrei 2020 cu 2022, prin prisma celor expuse la punctul 2 al prezentei Note informative;</w:t>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360" w:right="0" w:firstLine="20"/>
        <w:jc w:val="both"/>
      </w:pPr>
      <w:r>
        <w:rPr>
          <w:color w:val="000000"/>
          <w:spacing w:val="0"/>
          <w:w w:val="100"/>
          <w:position w:val="0"/>
          <w:sz w:val="24"/>
          <w:szCs w:val="24"/>
          <w:shd w:val="clear" w:color="auto" w:fill="auto"/>
          <w:lang w:val="en-US" w:eastAsia="en-US" w:bidi="en-US"/>
        </w:rPr>
        <w:t>Cu referire la Anexa nr. 2, Planul de actiuni al Strategiei Nationale de Integritate si Anticoruptie, dupa cum urmeaza:</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301" w:val="left"/>
        </w:tabs>
        <w:bidi w:val="0"/>
        <w:spacing w:before="0" w:after="0" w:line="240" w:lineRule="auto"/>
        <w:ind w:left="360" w:right="0" w:hanging="360"/>
        <w:jc w:val="both"/>
      </w:pPr>
      <w:r>
        <w:rPr>
          <w:color w:val="000000"/>
          <w:spacing w:val="0"/>
          <w:w w:val="100"/>
          <w:position w:val="0"/>
          <w:sz w:val="24"/>
          <w:szCs w:val="24"/>
          <w:shd w:val="clear" w:color="auto" w:fill="auto"/>
          <w:lang w:val="en-US" w:eastAsia="en-US" w:bidi="en-US"/>
        </w:rPr>
        <w:t xml:space="preserve">introducerii unor </w:t>
      </w:r>
      <w:r>
        <w:rPr>
          <w:i/>
          <w:iCs/>
          <w:color w:val="000000"/>
          <w:spacing w:val="0"/>
          <w:w w:val="100"/>
          <w:position w:val="0"/>
          <w:sz w:val="24"/>
          <w:szCs w:val="24"/>
          <w:shd w:val="clear" w:color="auto" w:fill="auto"/>
          <w:lang w:val="en-US" w:eastAsia="en-US" w:bidi="en-US"/>
        </w:rPr>
        <w:t>actiuni noi,</w:t>
      </w:r>
      <w:r>
        <w:rPr>
          <w:color w:val="000000"/>
          <w:spacing w:val="0"/>
          <w:w w:val="100"/>
          <w:position w:val="0"/>
          <w:sz w:val="24"/>
          <w:szCs w:val="24"/>
          <w:shd w:val="clear" w:color="auto" w:fill="auto"/>
          <w:lang w:val="en-US" w:eastAsia="en-US" w:bidi="en-US"/>
        </w:rPr>
        <w:t xml:space="preserve"> dar care se integreaza armonios in constructia structurala a Planului de actiuni al Strategiei, precum si vin sa completeze actiunile deja prescrise pentru a face mai eficienta si completa atingerea scopurilor propuse prin acest document strategic.</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301" w:val="left"/>
        </w:tabs>
        <w:bidi w:val="0"/>
        <w:spacing w:before="0" w:after="0" w:line="233" w:lineRule="auto"/>
        <w:ind w:left="360" w:right="0" w:hanging="360"/>
        <w:jc w:val="both"/>
      </w:pPr>
      <w:r>
        <w:rPr>
          <w:i/>
          <w:iCs/>
          <w:color w:val="000000"/>
          <w:spacing w:val="0"/>
          <w:w w:val="100"/>
          <w:position w:val="0"/>
          <w:sz w:val="24"/>
          <w:szCs w:val="24"/>
          <w:shd w:val="clear" w:color="auto" w:fill="auto"/>
          <w:lang w:val="en-US" w:eastAsia="en-US" w:bidi="en-US"/>
        </w:rPr>
        <w:t>indicatorii de progres</w:t>
      </w:r>
      <w:r>
        <w:rPr>
          <w:color w:val="000000"/>
          <w:spacing w:val="0"/>
          <w:w w:val="100"/>
          <w:position w:val="0"/>
          <w:sz w:val="24"/>
          <w:szCs w:val="24"/>
          <w:shd w:val="clear" w:color="auto" w:fill="auto"/>
          <w:lang w:val="en-US" w:eastAsia="en-US" w:bidi="en-US"/>
        </w:rPr>
        <w:t xml:space="preserve">, in general, este vorba de modificari care presupun „divizarea” („dezagregarea”) indicatorilor deja existenti, intru asigurarea eficientizarii procesului de monitorizare, raportare si </w:t>
      </w:r>
      <w:r>
        <w:rPr>
          <w:color w:val="000000"/>
          <w:spacing w:val="0"/>
          <w:w w:val="100"/>
          <w:position w:val="0"/>
          <w:sz w:val="24"/>
          <w:szCs w:val="24"/>
          <w:shd w:val="clear" w:color="auto" w:fill="auto"/>
          <w:lang w:val="en-US" w:eastAsia="en-US" w:bidi="en-US"/>
        </w:rPr>
        <w:t>evaluare a progreselor inregistrate de catre autoritatile implementatoare.</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274" w:val="left"/>
        </w:tabs>
        <w:bidi w:val="0"/>
        <w:spacing w:before="0" w:after="0" w:line="240" w:lineRule="auto"/>
        <w:ind w:left="360" w:right="0" w:hanging="360"/>
        <w:jc w:val="both"/>
      </w:pPr>
      <w:r>
        <w:rPr>
          <w:i/>
          <w:iCs/>
          <w:color w:val="000000"/>
          <w:spacing w:val="0"/>
          <w:w w:val="100"/>
          <w:position w:val="0"/>
          <w:sz w:val="24"/>
          <w:szCs w:val="24"/>
          <w:shd w:val="clear" w:color="auto" w:fill="auto"/>
          <w:lang w:val="en-US" w:eastAsia="en-US" w:bidi="en-US"/>
        </w:rPr>
        <w:t>termenelor de realizare a acfiunilor,</w:t>
      </w:r>
      <w:r>
        <w:rPr>
          <w:color w:val="000000"/>
          <w:spacing w:val="0"/>
          <w:w w:val="100"/>
          <w:position w:val="0"/>
          <w:sz w:val="24"/>
          <w:szCs w:val="24"/>
          <w:shd w:val="clear" w:color="auto" w:fill="auto"/>
          <w:lang w:val="en-US" w:eastAsia="en-US" w:bidi="en-US"/>
        </w:rPr>
        <w:t xml:space="preserve"> in esenta, se are in vedere prelungirea termenelor de implementare a actiunilor in sensul redarii unor noi valence acestor actiuni.</w:t>
      </w:r>
    </w:p>
    <w:p>
      <w:pPr>
        <w:pStyle w:val="Style12"/>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274" w:val="left"/>
        </w:tabs>
        <w:bidi w:val="0"/>
        <w:spacing w:before="0" w:after="0" w:line="240" w:lineRule="auto"/>
        <w:ind w:left="360" w:right="0" w:hanging="360"/>
        <w:jc w:val="both"/>
      </w:pPr>
      <w:r>
        <w:rPr>
          <w:i/>
          <w:iCs/>
          <w:color w:val="000000"/>
          <w:spacing w:val="0"/>
          <w:w w:val="100"/>
          <w:position w:val="0"/>
          <w:sz w:val="24"/>
          <w:szCs w:val="24"/>
          <w:shd w:val="clear" w:color="auto" w:fill="auto"/>
          <w:lang w:val="en-US" w:eastAsia="en-US" w:bidi="en-US"/>
        </w:rPr>
        <w:t>institufiile responsabile de implementare,</w:t>
      </w:r>
      <w:r>
        <w:rPr>
          <w:color w:val="000000"/>
          <w:spacing w:val="0"/>
          <w:w w:val="100"/>
          <w:position w:val="0"/>
          <w:sz w:val="24"/>
          <w:szCs w:val="24"/>
          <w:shd w:val="clear" w:color="auto" w:fill="auto"/>
          <w:lang w:val="en-US" w:eastAsia="en-US" w:bidi="en-US"/>
        </w:rPr>
        <w:t xml:space="preserve"> in unele cazuri, s-a constatat ca Planul de actiuni in mod</w:t>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10309" w:val="left"/>
        </w:tabs>
        <w:bidi w:val="0"/>
        <w:spacing w:before="0" w:after="0" w:line="240" w:lineRule="auto"/>
        <w:ind w:left="360" w:right="0" w:firstLine="0"/>
        <w:jc w:val="both"/>
      </w:pPr>
      <w:r>
        <w:rPr>
          <w:color w:val="000000"/>
          <w:spacing w:val="0"/>
          <w:w w:val="100"/>
          <w:position w:val="0"/>
          <w:sz w:val="24"/>
          <w:szCs w:val="24"/>
          <w:shd w:val="clear" w:color="auto" w:fill="auto"/>
          <w:lang w:val="en-US" w:eastAsia="en-US" w:bidi="en-US"/>
        </w:rPr>
        <w:t xml:space="preserve">nejustificat pune in sarcina unor institutii actiuni care nu tin de competenta lor, fapt ce influenteaza negativ progresul de implementare. Alteori, ordinea enumerarii institutiilor responsabile de implementare este una care nu corespunde competentelor institutionale. Modificarile propuse vin sa corecteze aceste aspecte, dar unele tin §i de necesitatea ajustarii denumirii institutiilor conform </w:t>
      </w:r>
      <w:r>
        <w:rPr>
          <w:color w:val="000000"/>
          <w:spacing w:val="0"/>
          <w:w w:val="100"/>
          <w:position w:val="0"/>
          <w:sz w:val="24"/>
          <w:szCs w:val="24"/>
          <w:u w:val="single"/>
          <w:shd w:val="clear" w:color="auto" w:fill="auto"/>
          <w:lang w:val="en-US" w:eastAsia="en-US" w:bidi="en-US"/>
        </w:rPr>
        <w:t>modificarilor normative.</w:t>
      </w:r>
      <w:r>
        <w:rPr>
          <w:color w:val="000000"/>
          <w:spacing w:val="0"/>
          <w:w w:val="100"/>
          <w:position w:val="0"/>
          <w:sz w:val="24"/>
          <w:szCs w:val="24"/>
          <w:shd w:val="clear" w:color="auto" w:fill="auto"/>
          <w:lang w:val="en-US" w:eastAsia="en-US" w:bidi="en-US"/>
        </w:rPr>
        <w:tab/>
      </w:r>
    </w:p>
    <w:p>
      <w:pPr>
        <w:pStyle w:val="Style12"/>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311" w:val="left"/>
          <w:tab w:leader="underscore" w:pos="10309" w:val="left"/>
        </w:tabs>
        <w:bidi w:val="0"/>
        <w:spacing w:before="0" w:after="0" w:line="240" w:lineRule="auto"/>
        <w:ind w:left="0" w:right="0" w:firstLine="0"/>
        <w:jc w:val="both"/>
      </w:pPr>
      <w:r>
        <w:rPr>
          <w:b/>
          <w:bCs/>
          <w:color w:val="000000"/>
          <w:spacing w:val="0"/>
          <w:w w:val="100"/>
          <w:position w:val="0"/>
          <w:sz w:val="24"/>
          <w:szCs w:val="24"/>
          <w:u w:val="single"/>
          <w:shd w:val="clear" w:color="auto" w:fill="auto"/>
          <w:lang w:val="en-US" w:eastAsia="en-US" w:bidi="en-US"/>
        </w:rPr>
        <w:t>Fundamentarea economico-financiara</w:t>
        <w:tab/>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00" w:line="276" w:lineRule="auto"/>
        <w:ind w:left="0" w:right="0" w:firstLine="0"/>
        <w:jc w:val="both"/>
      </w:pPr>
      <w:r>
        <w:rPr>
          <w:color w:val="000000"/>
          <w:spacing w:val="0"/>
          <w:w w:val="100"/>
          <w:position w:val="0"/>
          <w:sz w:val="24"/>
          <w:szCs w:val="24"/>
          <w:shd w:val="clear" w:color="auto" w:fill="auto"/>
          <w:lang w:val="en-US" w:eastAsia="en-US" w:bidi="en-US"/>
        </w:rPr>
        <w:t>Reiesind din scopul proiectului si din sfera de reglementare a acestuia, implementarea proiectului Hotararii de Parlament privind modificarea Hotararii Parlamentului nr. 56 din 30 martie 2017 pentru aprobarea Strategiei Nationale de Integritate si Anticoruptie pentru anii 2017-2020, nu necesita alocarea mijloacelor financiare suplimentare.</w:t>
      </w:r>
    </w:p>
    <w:p>
      <w:pPr>
        <w:pStyle w:val="Style12"/>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311" w:val="left"/>
          <w:tab w:leader="underscore" w:pos="10309" w:val="left"/>
        </w:tabs>
        <w:bidi w:val="0"/>
        <w:spacing w:before="0" w:after="0" w:line="240" w:lineRule="auto"/>
        <w:ind w:left="0" w:right="0" w:firstLine="0"/>
        <w:jc w:val="both"/>
      </w:pPr>
      <w:r>
        <w:rPr>
          <w:b/>
          <w:bCs/>
          <w:color w:val="000000"/>
          <w:spacing w:val="0"/>
          <w:w w:val="100"/>
          <w:position w:val="0"/>
          <w:sz w:val="24"/>
          <w:szCs w:val="24"/>
          <w:u w:val="single"/>
          <w:shd w:val="clear" w:color="auto" w:fill="auto"/>
          <w:lang w:val="en-US" w:eastAsia="en-US" w:bidi="en-US"/>
        </w:rPr>
        <w:t>Modul de incorporare a actului in cadrul normativ in vigoare</w:t>
        <w:tab/>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u w:val="single"/>
          <w:shd w:val="clear" w:color="auto" w:fill="auto"/>
          <w:lang w:val="en-US" w:eastAsia="en-US" w:bidi="en-US"/>
        </w:rPr>
        <w:t>Proiectul se incorporeaza in sistemul actelor normative si nu va necesita modificarea altor acte normative.</w:t>
      </w:r>
    </w:p>
    <w:p>
      <w:pPr>
        <w:pStyle w:val="Style12"/>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311" w:val="left"/>
          <w:tab w:leader="underscore" w:pos="10309" w:val="left"/>
        </w:tabs>
        <w:bidi w:val="0"/>
        <w:spacing w:before="0" w:after="0" w:line="240" w:lineRule="auto"/>
        <w:ind w:left="0" w:right="0" w:firstLine="0"/>
        <w:jc w:val="both"/>
      </w:pPr>
      <w:r>
        <w:rPr>
          <w:b/>
          <w:bCs/>
          <w:color w:val="000000"/>
          <w:spacing w:val="0"/>
          <w:w w:val="100"/>
          <w:position w:val="0"/>
          <w:sz w:val="24"/>
          <w:szCs w:val="24"/>
          <w:u w:val="single"/>
          <w:shd w:val="clear" w:color="auto" w:fill="auto"/>
          <w:lang w:val="en-US" w:eastAsia="en-US" w:bidi="en-US"/>
        </w:rPr>
        <w:t>Avizarea si consultarea publica a proiectului</w:t>
        <w:tab/>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Proiectul, in conformitate cu prevederile Legii nr.100/2017 cu privire la actele normative a fost remis spre avizare autoritatilor publice responsabile cu atributii in domeniul de reglementare al proiectului precum si organizatiilor necomerciale.</w:t>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1" w:lineRule="auto"/>
        <w:ind w:left="0" w:right="0" w:firstLine="0"/>
        <w:jc w:val="both"/>
      </w:pPr>
      <w:r>
        <w:rPr>
          <w:color w:val="000000"/>
          <w:spacing w:val="0"/>
          <w:w w:val="100"/>
          <w:position w:val="0"/>
          <w:sz w:val="24"/>
          <w:szCs w:val="24"/>
          <w:shd w:val="clear" w:color="auto" w:fill="auto"/>
          <w:lang w:val="en-US" w:eastAsia="en-US" w:bidi="en-US"/>
        </w:rPr>
        <w:t>In scopul respectarii prevederilor Legii nr.239 din 13 noiembrie 2008 privind transparenta in procesul decizional, proiectul a fost plasat pe pagina web oficiala a Centrului National Anticoruptie</w:t>
      </w:r>
      <w:r>
        <w:fldChar w:fldCharType="begin"/>
      </w:r>
      <w:r>
        <w:rPr/>
        <w:instrText> HYPERLINK "http://www.cna.md/" </w:instrText>
      </w:r>
      <w:r>
        <w:fldChar w:fldCharType="separate"/>
      </w:r>
      <w:r>
        <w:rPr>
          <w:color w:val="000000"/>
          <w:spacing w:val="0"/>
          <w:w w:val="100"/>
          <w:position w:val="0"/>
          <w:sz w:val="24"/>
          <w:szCs w:val="24"/>
          <w:shd w:val="clear" w:color="auto" w:fill="auto"/>
          <w:lang w:val="en-US" w:eastAsia="en-US" w:bidi="en-US"/>
        </w:rPr>
        <w:t xml:space="preserve"> </w:t>
      </w:r>
      <w:r>
        <w:rPr>
          <w:color w:val="0563C1"/>
          <w:spacing w:val="0"/>
          <w:w w:val="100"/>
          <w:position w:val="0"/>
          <w:sz w:val="24"/>
          <w:szCs w:val="24"/>
          <w:u w:val="single"/>
          <w:shd w:val="clear" w:color="auto" w:fill="auto"/>
          <w:lang w:val="en-US" w:eastAsia="en-US" w:bidi="en-US"/>
        </w:rPr>
        <w:t>www.cna.md</w:t>
      </w:r>
      <w:r>
        <w:rPr>
          <w:color w:val="0563C1"/>
          <w:spacing w:val="0"/>
          <w:w w:val="100"/>
          <w:position w:val="0"/>
          <w:sz w:val="24"/>
          <w:szCs w:val="24"/>
          <w:shd w:val="clear" w:color="auto" w:fill="auto"/>
          <w:lang w:val="en-US" w:eastAsia="en-US" w:bidi="en-US"/>
        </w:rPr>
        <w:t xml:space="preserve"> </w:t>
      </w:r>
      <w:r>
        <w:fldChar w:fldCharType="end"/>
      </w:r>
      <w:r>
        <w:rPr>
          <w:color w:val="000000"/>
          <w:spacing w:val="0"/>
          <w:w w:val="100"/>
          <w:position w:val="0"/>
          <w:sz w:val="24"/>
          <w:szCs w:val="24"/>
          <w:shd w:val="clear" w:color="auto" w:fill="auto"/>
          <w:lang w:val="en-US" w:eastAsia="en-US" w:bidi="en-US"/>
        </w:rPr>
        <w:t>la compartimentul Transparenta, sectiunea „Proiecte elaborate” pentru asigurarea procesului de consultari publice.</w:t>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10309" w:val="left"/>
        </w:tabs>
        <w:bidi w:val="0"/>
        <w:spacing w:before="0" w:after="0" w:line="271" w:lineRule="auto"/>
        <w:ind w:left="0" w:right="0" w:firstLine="0"/>
        <w:jc w:val="both"/>
      </w:pPr>
      <w:r>
        <w:rPr>
          <w:color w:val="000000"/>
          <w:spacing w:val="0"/>
          <w:w w:val="100"/>
          <w:position w:val="0"/>
          <w:sz w:val="24"/>
          <w:szCs w:val="24"/>
          <w:shd w:val="clear" w:color="auto" w:fill="auto"/>
          <w:lang w:val="en-US" w:eastAsia="en-US" w:bidi="en-US"/>
        </w:rPr>
        <w:t xml:space="preserve">Subsecvent, intru asigurarea respectarii rigorilor de transparenta decizionala si de consultare publica al documentului de politici, cu suportul proiectului PNUD Moldova „Lupta cu coruptia prin consolidarea integritatii durabile in Republica Moldova", sustinut financiar de catre Ministerul Afacerilor Externe al Norvegiei, la data de 03 februarie a.c., a fost organizata o sedinta in regim on-line de consultare publica a proiectului Hotararii Parlamentului privind modificarea Hotararii Parlamentului nr. 56 din 30.03.2017, pentru aprobarea Strategiei Nationale de Integritate si Anticoruptie, pentru anii 2017-2020, cu participarea </w:t>
      </w:r>
      <w:r>
        <w:rPr>
          <w:color w:val="000000"/>
          <w:spacing w:val="0"/>
          <w:w w:val="100"/>
          <w:position w:val="0"/>
          <w:sz w:val="24"/>
          <w:szCs w:val="24"/>
          <w:u w:val="single"/>
          <w:shd w:val="clear" w:color="auto" w:fill="auto"/>
          <w:lang w:val="en-US" w:eastAsia="en-US" w:bidi="en-US"/>
        </w:rPr>
        <w:t>reprezentantilor organizatiilor necomerciale si partenerilor de dezvoltare.</w:t>
      </w:r>
      <w:r>
        <w:rPr>
          <w:color w:val="000000"/>
          <w:spacing w:val="0"/>
          <w:w w:val="100"/>
          <w:position w:val="0"/>
          <w:sz w:val="24"/>
          <w:szCs w:val="24"/>
          <w:shd w:val="clear" w:color="auto" w:fill="auto"/>
          <w:lang w:val="en-US" w:eastAsia="en-US" w:bidi="en-US"/>
        </w:rPr>
        <w:tab/>
      </w:r>
    </w:p>
    <w:p>
      <w:pPr>
        <w:pStyle w:val="Style12"/>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311" w:val="left"/>
          <w:tab w:leader="underscore" w:pos="10309" w:val="left"/>
        </w:tabs>
        <w:bidi w:val="0"/>
        <w:spacing w:before="0" w:after="0" w:line="271" w:lineRule="auto"/>
        <w:ind w:left="0" w:right="0" w:firstLine="0"/>
        <w:jc w:val="both"/>
      </w:pPr>
      <w:r>
        <w:rPr>
          <w:b/>
          <w:bCs/>
          <w:color w:val="000000"/>
          <w:spacing w:val="0"/>
          <w:w w:val="100"/>
          <w:position w:val="0"/>
          <w:sz w:val="24"/>
          <w:szCs w:val="24"/>
          <w:u w:val="single"/>
          <w:shd w:val="clear" w:color="auto" w:fill="auto"/>
          <w:lang w:val="en-US" w:eastAsia="en-US" w:bidi="en-US"/>
        </w:rPr>
        <w:t>Constatarile expertizei anticoruptie</w:t>
        <w:tab/>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10309"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Prevederile art.28 alin.(2) lit.a) din Legea integritatii nr.82/2017, excepteaza documentele de politici de la </w:t>
      </w:r>
      <w:r>
        <w:rPr>
          <w:color w:val="000000"/>
          <w:spacing w:val="0"/>
          <w:w w:val="100"/>
          <w:position w:val="0"/>
          <w:sz w:val="24"/>
          <w:szCs w:val="24"/>
          <w:u w:val="single"/>
          <w:shd w:val="clear" w:color="auto" w:fill="auto"/>
          <w:lang w:val="en-US" w:eastAsia="en-US" w:bidi="en-US"/>
        </w:rPr>
        <w:t>obligatia de a fi supuse expertizei anticoruptie.</w:t>
      </w:r>
      <w:r>
        <w:rPr>
          <w:color w:val="000000"/>
          <w:spacing w:val="0"/>
          <w:w w:val="100"/>
          <w:position w:val="0"/>
          <w:sz w:val="24"/>
          <w:szCs w:val="24"/>
          <w:shd w:val="clear" w:color="auto" w:fill="auto"/>
          <w:lang w:val="en-US" w:eastAsia="en-US" w:bidi="en-US"/>
        </w:rPr>
        <w:tab/>
      </w:r>
    </w:p>
    <w:p>
      <w:pPr>
        <w:pStyle w:val="Style12"/>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311" w:val="left"/>
          <w:tab w:leader="underscore" w:pos="10309" w:val="left"/>
        </w:tabs>
        <w:bidi w:val="0"/>
        <w:spacing w:before="0" w:after="0" w:line="240" w:lineRule="auto"/>
        <w:ind w:left="0" w:right="0" w:firstLine="0"/>
        <w:jc w:val="both"/>
      </w:pPr>
      <w:r>
        <w:rPr>
          <w:b/>
          <w:bCs/>
          <w:color w:val="000000"/>
          <w:spacing w:val="0"/>
          <w:w w:val="100"/>
          <w:position w:val="0"/>
          <w:sz w:val="24"/>
          <w:szCs w:val="24"/>
          <w:u w:val="single"/>
          <w:shd w:val="clear" w:color="auto" w:fill="auto"/>
          <w:lang w:val="en-US" w:eastAsia="en-US" w:bidi="en-US"/>
        </w:rPr>
        <w:t>Constatarile expertizei juridice</w:t>
        <w:tab/>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600" w:line="240" w:lineRule="auto"/>
        <w:ind w:left="0" w:right="0" w:firstLine="0"/>
        <w:jc w:val="both"/>
      </w:pPr>
      <w:r>
        <w:rPr>
          <w:color w:val="000000"/>
          <w:spacing w:val="0"/>
          <w:w w:val="100"/>
          <w:position w:val="0"/>
          <w:sz w:val="24"/>
          <w:szCs w:val="24"/>
          <w:shd w:val="clear" w:color="auto" w:fill="auto"/>
          <w:lang w:val="en-US" w:eastAsia="en-US" w:bidi="en-US"/>
        </w:rPr>
        <w:t>Ministerul Justitiei nu a comunicat careva obiectii si propuneri asupra proiectului.</w:t>
      </w:r>
    </w:p>
    <w:p>
      <w:pPr>
        <w:pStyle w:val="Style12"/>
        <w:keepNext w:val="0"/>
        <w:keepLines w:val="0"/>
        <w:widowControl w:val="0"/>
        <w:shd w:val="clear" w:color="auto" w:fill="auto"/>
        <w:bidi w:val="0"/>
        <w:spacing w:before="0" w:after="0" w:line="240" w:lineRule="auto"/>
        <w:ind w:left="8320" w:right="500" w:firstLine="0"/>
        <w:jc w:val="right"/>
        <w:sectPr>
          <w:headerReference w:type="default" r:id="rId9"/>
          <w:footnotePr>
            <w:pos w:val="pageBottom"/>
            <w:numFmt w:val="decimal"/>
            <w:numRestart w:val="continuous"/>
          </w:footnotePr>
          <w:pgSz w:w="11900" w:h="16840"/>
          <w:pgMar w:top="794" w:left="741" w:right="699" w:bottom="344" w:header="0" w:footer="3" w:gutter="0"/>
          <w:pgNumType w:start="2"/>
          <w:cols w:space="720"/>
          <w:noEndnote/>
          <w:rtlGutter w:val="0"/>
          <w:docGrid w:linePitch="360"/>
        </w:sectPr>
      </w:pPr>
      <w:r>
        <w:rPr>
          <w:b/>
          <w:bCs/>
          <w:color w:val="000000"/>
          <w:spacing w:val="0"/>
          <w:w w:val="100"/>
          <w:position w:val="0"/>
          <w:sz w:val="24"/>
          <w:szCs w:val="24"/>
          <w:shd w:val="clear" w:color="auto" w:fill="auto"/>
          <w:lang w:val="en-US" w:eastAsia="en-US" w:bidi="en-US"/>
        </w:rPr>
        <w:t>Serghei SIRBU Deputat in Parlament</w:t>
      </w:r>
    </w:p>
    <w:p>
      <w:pPr>
        <w:pStyle w:val="Style24"/>
        <w:keepNext w:val="0"/>
        <w:keepLines w:val="0"/>
        <w:widowControl w:val="0"/>
        <w:shd w:val="clear" w:color="auto" w:fill="auto"/>
        <w:bidi w:val="0"/>
        <w:spacing w:before="0" w:after="820" w:line="240" w:lineRule="auto"/>
        <w:ind w:left="0" w:right="240" w:firstLine="0"/>
        <w:jc w:val="right"/>
      </w:pPr>
      <w:r>
        <w:rPr>
          <w:color w:val="000000"/>
          <w:spacing w:val="0"/>
          <w:w w:val="100"/>
          <w:position w:val="0"/>
          <w:shd w:val="clear" w:color="auto" w:fill="auto"/>
          <w:lang w:val="en-US" w:eastAsia="en-US" w:bidi="en-US"/>
        </w:rPr>
        <w:t>Proiect</w:t>
      </w:r>
    </w:p>
    <w:p>
      <w:pPr>
        <w:pStyle w:val="Style24"/>
        <w:keepNext w:val="0"/>
        <w:keepLines w:val="0"/>
        <w:widowControl w:val="0"/>
        <w:shd w:val="clear" w:color="auto" w:fill="auto"/>
        <w:bidi w:val="0"/>
        <w:spacing w:before="0" w:after="200"/>
        <w:ind w:left="0" w:right="0" w:firstLine="0"/>
        <w:jc w:val="center"/>
      </w:pPr>
      <w:r>
        <w:rPr>
          <w:b/>
          <w:bCs/>
          <w:color w:val="000000"/>
          <w:spacing w:val="0"/>
          <w:w w:val="100"/>
          <w:position w:val="0"/>
          <w:shd w:val="clear" w:color="auto" w:fill="auto"/>
          <w:lang w:val="en-US" w:eastAsia="en-US" w:bidi="en-US"/>
        </w:rPr>
        <w:t>H O T A R A R E</w:t>
      </w:r>
    </w:p>
    <w:p>
      <w:pPr>
        <w:pStyle w:val="Style2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privind modificarea Hotararii Parlamentului</w:t>
      </w:r>
    </w:p>
    <w:p>
      <w:pPr>
        <w:pStyle w:val="Style24"/>
        <w:keepNext w:val="0"/>
        <w:keepLines w:val="0"/>
        <w:widowControl w:val="0"/>
        <w:shd w:val="clear" w:color="auto" w:fill="auto"/>
        <w:bidi w:val="0"/>
        <w:spacing w:before="0" w:after="960" w:line="240" w:lineRule="auto"/>
        <w:ind w:left="0" w:right="0" w:firstLine="0"/>
        <w:jc w:val="center"/>
      </w:pPr>
      <w:r>
        <w:rPr>
          <w:b/>
          <w:bCs/>
          <w:color w:val="000000"/>
          <w:spacing w:val="0"/>
          <w:w w:val="100"/>
          <w:position w:val="0"/>
          <w:shd w:val="clear" w:color="auto" w:fill="auto"/>
          <w:lang w:val="en-US" w:eastAsia="en-US" w:bidi="en-US"/>
        </w:rPr>
        <w:t>nr.56 din 30 martie 2017 pentru aprobarea</w:t>
        <w:br/>
        <w:t>Strategiei Nationale de Integritate si Anticoruptie</w:t>
        <w:br/>
        <w:t>pentru anii 2017-2020</w:t>
      </w:r>
    </w:p>
    <w:p>
      <w:pPr>
        <w:pStyle w:val="Style24"/>
        <w:keepNext w:val="0"/>
        <w:keepLines w:val="0"/>
        <w:widowControl w:val="0"/>
        <w:shd w:val="clear" w:color="auto" w:fill="auto"/>
        <w:bidi w:val="0"/>
        <w:spacing w:before="0" w:after="0"/>
        <w:ind w:left="0" w:right="0" w:firstLine="940"/>
        <w:jc w:val="left"/>
      </w:pPr>
      <w:r>
        <w:rPr>
          <w:color w:val="000000"/>
          <w:spacing w:val="0"/>
          <w:w w:val="100"/>
          <w:position w:val="0"/>
          <w:shd w:val="clear" w:color="auto" w:fill="auto"/>
          <w:lang w:val="en-US" w:eastAsia="en-US" w:bidi="en-US"/>
        </w:rPr>
        <w:t>Parlamentul adopta prezenta hotarare.</w:t>
      </w:r>
    </w:p>
    <w:p>
      <w:pPr>
        <w:pStyle w:val="Style24"/>
        <w:keepNext w:val="0"/>
        <w:keepLines w:val="0"/>
        <w:widowControl w:val="0"/>
        <w:shd w:val="clear" w:color="auto" w:fill="auto"/>
        <w:bidi w:val="0"/>
        <w:spacing w:before="0" w:after="0"/>
        <w:ind w:left="0" w:right="0" w:firstLine="940"/>
        <w:jc w:val="left"/>
      </w:pPr>
      <w:r>
        <w:rPr>
          <w:b/>
          <w:bCs/>
          <w:color w:val="000000"/>
          <w:spacing w:val="0"/>
          <w:w w:val="100"/>
          <w:position w:val="0"/>
          <w:shd w:val="clear" w:color="auto" w:fill="auto"/>
          <w:lang w:val="en-US" w:eastAsia="en-US" w:bidi="en-US"/>
        </w:rPr>
        <w:t xml:space="preserve">Art. 1 </w:t>
      </w:r>
      <w:r>
        <w:rPr>
          <w:color w:val="000000"/>
          <w:spacing w:val="0"/>
          <w:w w:val="100"/>
          <w:position w:val="0"/>
          <w:shd w:val="clear" w:color="auto" w:fill="auto"/>
          <w:lang w:val="en-US" w:eastAsia="en-US" w:bidi="en-US"/>
        </w:rPr>
        <w:t>- Hotararea Parlamentului nr.56 din 30 martie 2017 pentru aprobarea</w:t>
      </w:r>
    </w:p>
    <w:p>
      <w:pPr>
        <w:pStyle w:val="Style24"/>
        <w:keepNext w:val="0"/>
        <w:keepLines w:val="0"/>
        <w:widowControl w:val="0"/>
        <w:shd w:val="clear" w:color="auto" w:fill="auto"/>
        <w:bidi w:val="0"/>
        <w:spacing w:before="0" w:after="0"/>
        <w:ind w:left="0" w:right="0" w:firstLine="220"/>
        <w:jc w:val="left"/>
      </w:pPr>
      <w:r>
        <w:rPr>
          <w:color w:val="000000"/>
          <w:spacing w:val="0"/>
          <w:w w:val="100"/>
          <w:position w:val="0"/>
          <w:shd w:val="clear" w:color="auto" w:fill="auto"/>
          <w:lang w:val="en-US" w:eastAsia="en-US" w:bidi="en-US"/>
        </w:rPr>
        <w:t>Strategiei Nationale de Integritate si Anticoruptie pentru anii 2017-2020 (Monitorul</w:t>
      </w:r>
    </w:p>
    <w:p>
      <w:pPr>
        <w:pStyle w:val="Style24"/>
        <w:keepNext w:val="0"/>
        <w:keepLines w:val="0"/>
        <w:widowControl w:val="0"/>
        <w:shd w:val="clear" w:color="auto" w:fill="auto"/>
        <w:bidi w:val="0"/>
        <w:spacing w:before="0" w:after="0"/>
        <w:ind w:left="0" w:right="0" w:firstLine="220"/>
        <w:jc w:val="left"/>
      </w:pPr>
      <w:r>
        <w:rPr>
          <w:color w:val="000000"/>
          <w:spacing w:val="0"/>
          <w:w w:val="100"/>
          <w:position w:val="0"/>
          <w:shd w:val="clear" w:color="auto" w:fill="auto"/>
          <w:lang w:val="en-US" w:eastAsia="en-US" w:bidi="en-US"/>
        </w:rPr>
        <w:t>Oficial al Republicii Moldova, Nr. 216-228 art. 354) se modifica dupa cum urmeaza:</w:t>
      </w:r>
    </w:p>
    <w:p>
      <w:pPr>
        <w:pStyle w:val="Style24"/>
        <w:keepNext w:val="0"/>
        <w:keepLines w:val="0"/>
        <w:widowControl w:val="0"/>
        <w:numPr>
          <w:ilvl w:val="0"/>
          <w:numId w:val="7"/>
        </w:numPr>
        <w:shd w:val="clear" w:color="auto" w:fill="auto"/>
        <w:tabs>
          <w:tab w:pos="1303" w:val="left"/>
        </w:tabs>
        <w:bidi w:val="0"/>
        <w:spacing w:before="0" w:after="0"/>
        <w:ind w:left="220" w:right="0" w:firstLine="720"/>
        <w:jc w:val="left"/>
      </w:pPr>
      <w:r>
        <w:rPr>
          <w:color w:val="000000"/>
          <w:spacing w:val="0"/>
          <w:w w:val="100"/>
          <w:position w:val="0"/>
          <w:shd w:val="clear" w:color="auto" w:fill="auto"/>
          <w:lang w:val="en-US" w:eastAsia="en-US" w:bidi="en-US"/>
        </w:rPr>
        <w:t xml:space="preserve">In titlul, cuprinsul hotararii, Anexa nr.1 si Anexa nr.3 numarul </w:t>
      </w:r>
      <w:r>
        <w:rPr>
          <w:color w:val="000000"/>
          <w:spacing w:val="0"/>
          <w:w w:val="100"/>
          <w:position w:val="0"/>
          <w:shd w:val="clear" w:color="auto" w:fill="auto"/>
          <w:lang w:val="ru-RU" w:eastAsia="ru-RU" w:bidi="ru-RU"/>
        </w:rPr>
        <w:t xml:space="preserve">„2020” </w:t>
      </w:r>
      <w:r>
        <w:rPr>
          <w:color w:val="000000"/>
          <w:spacing w:val="0"/>
          <w:w w:val="100"/>
          <w:position w:val="0"/>
          <w:shd w:val="clear" w:color="auto" w:fill="auto"/>
          <w:lang w:val="en-US" w:eastAsia="en-US" w:bidi="en-US"/>
        </w:rPr>
        <w:t>se substituie cu numarul „2022”.</w:t>
      </w:r>
    </w:p>
    <w:p>
      <w:pPr>
        <w:pStyle w:val="Style24"/>
        <w:keepNext w:val="0"/>
        <w:keepLines w:val="0"/>
        <w:widowControl w:val="0"/>
        <w:numPr>
          <w:ilvl w:val="0"/>
          <w:numId w:val="7"/>
        </w:numPr>
        <w:shd w:val="clear" w:color="auto" w:fill="auto"/>
        <w:tabs>
          <w:tab w:pos="1322" w:val="left"/>
        </w:tabs>
        <w:bidi w:val="0"/>
        <w:spacing w:before="0" w:after="500"/>
        <w:ind w:left="0" w:right="0" w:firstLine="940"/>
        <w:jc w:val="left"/>
        <w:sectPr>
          <w:headerReference w:type="default" r:id="rId10"/>
          <w:footnotePr>
            <w:pos w:val="pageBottom"/>
            <w:numFmt w:val="decimal"/>
            <w:numRestart w:val="continuous"/>
          </w:footnotePr>
          <w:pgSz w:w="11900" w:h="16840"/>
          <w:pgMar w:top="794" w:left="741" w:right="699" w:bottom="344" w:header="366" w:footer="3" w:gutter="0"/>
          <w:pgNumType w:start="5"/>
          <w:cols w:space="720"/>
          <w:noEndnote/>
          <w:rtlGutter w:val="0"/>
          <w:docGrid w:linePitch="360"/>
        </w:sectPr>
      </w:pPr>
      <w:r>
        <w:rPr>
          <w:color w:val="000000"/>
          <w:spacing w:val="0"/>
          <w:w w:val="100"/>
          <w:position w:val="0"/>
          <w:shd w:val="clear" w:color="auto" w:fill="auto"/>
          <w:lang w:val="en-US" w:eastAsia="en-US" w:bidi="en-US"/>
        </w:rPr>
        <w:t xml:space="preserve">Anexa nr.2 se expune in urmatoarea redactie: </w:t>
      </w:r>
      <w:r>
        <w:rPr>
          <w:color w:val="000000"/>
          <w:spacing w:val="0"/>
          <w:w w:val="100"/>
          <w:position w:val="0"/>
          <w:shd w:val="clear" w:color="auto" w:fill="auto"/>
          <w:lang w:val="ru-RU" w:eastAsia="ru-RU" w:bidi="ru-RU"/>
        </w:rPr>
        <w:t>„</w:t>
      </w:r>
    </w:p>
    <w:p>
      <w:pPr>
        <w:pStyle w:val="Style27"/>
        <w:keepNext/>
        <w:keepLines/>
        <w:widowControl w:val="0"/>
        <w:shd w:val="clear" w:color="auto" w:fill="auto"/>
        <w:bidi w:val="0"/>
        <w:spacing w:before="0" w:line="240" w:lineRule="auto"/>
        <w:ind w:left="0" w:right="0" w:firstLine="0"/>
        <w:jc w:val="center"/>
      </w:pPr>
      <w:bookmarkStart w:id="4" w:name="bookmark4"/>
      <w:bookmarkStart w:id="5" w:name="bookmark5"/>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2</w:t>
      </w:r>
      <w:bookmarkEnd w:id="4"/>
      <w:bookmarkEnd w:id="5"/>
    </w:p>
    <w:p>
      <w:pPr>
        <w:pStyle w:val="Style24"/>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en-US" w:eastAsia="en-US" w:bidi="en-US"/>
        </w:rPr>
        <w:t>PLAN DE ACJIUNI:</w:t>
      </w:r>
    </w:p>
    <w:p>
      <w:pPr>
        <w:pStyle w:val="Style24"/>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en-US" w:eastAsia="en-US" w:bidi="en-US"/>
        </w:rPr>
        <w:t>PILONUL I. PARLAMENTUL</w:t>
      </w:r>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0" w:right="0" w:firstLine="0"/>
        <w:jc w:val="left"/>
      </w:pPr>
      <w:r>
        <w:rPr>
          <w:b/>
          <w:bCs/>
          <w:color w:val="FFFFFF"/>
          <w:spacing w:val="0"/>
          <w:w w:val="100"/>
          <w:position w:val="0"/>
          <w:sz w:val="24"/>
          <w:szCs w:val="24"/>
          <w:shd w:val="clear" w:color="auto" w:fill="auto"/>
          <w:lang w:val="en-US" w:eastAsia="en-US" w:bidi="en-US"/>
        </w:rPr>
        <w:t xml:space="preserve">Prioritatea I.1. </w:t>
      </w:r>
      <w:r>
        <w:rPr>
          <w:color w:val="FFFFFF"/>
          <w:spacing w:val="0"/>
          <w:w w:val="100"/>
          <w:position w:val="0"/>
          <w:sz w:val="24"/>
          <w:szCs w:val="24"/>
          <w:shd w:val="clear" w:color="auto" w:fill="auto"/>
          <w:lang w:val="en-US" w:eastAsia="en-US" w:bidi="en-US"/>
        </w:rPr>
        <w:t>Promovarea eticii deputafilor</w:t>
      </w:r>
    </w:p>
    <w:tbl>
      <w:tblPr>
        <w:tblOverlap w:val="never"/>
        <w:jc w:val="center"/>
        <w:tblLayout w:type="fixed"/>
      </w:tblPr>
      <w:tblGrid>
        <w:gridCol w:w="744"/>
        <w:gridCol w:w="3576"/>
        <w:gridCol w:w="1862"/>
        <w:gridCol w:w="2549"/>
        <w:gridCol w:w="2141"/>
        <w:gridCol w:w="2064"/>
        <w:gridCol w:w="1234"/>
        <w:gridCol w:w="1666"/>
      </w:tblGrid>
      <w:tr>
        <w:trPr>
          <w:trHeight w:val="581" w:hRule="exact"/>
        </w:trPr>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finan^are</w:t>
            </w:r>
          </w:p>
        </w:tc>
      </w:tr>
      <w:tr>
        <w:trPr>
          <w:trHeight w:val="840"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80"/>
              <w:jc w:val="left"/>
            </w:pPr>
            <w:r>
              <w:rPr>
                <w:color w:val="000000"/>
                <w:spacing w:val="0"/>
                <w:w w:val="100"/>
                <w:position w:val="0"/>
                <w:sz w:val="24"/>
                <w:szCs w:val="24"/>
                <w:shd w:val="clear" w:color="auto" w:fill="auto"/>
                <w:lang w:val="en-US" w:eastAsia="en-US" w:bidi="en-US"/>
              </w:rPr>
              <w:t>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Adoptarea Codului de etica si conduita a deputatului in Parlament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Trimestrul IV anul 2021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Act normativ adoptat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Parlamentului, Monitorul Oficial</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387"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80"/>
              <w:jc w:val="left"/>
            </w:pPr>
            <w:r>
              <w:rPr>
                <w:color w:val="000000"/>
                <w:spacing w:val="0"/>
                <w:w w:val="100"/>
                <w:position w:val="0"/>
                <w:sz w:val="24"/>
                <w:szCs w:val="24"/>
                <w:shd w:val="clear" w:color="auto" w:fill="auto"/>
                <w:lang w:val="en-US" w:eastAsia="en-US" w:bidi="en-US"/>
              </w:rPr>
              <w:t>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Instituirea functiei de Comisar pentru etica si crearea condit iilor pentru activitatea acestuia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Trimestrul .I anul 2022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Act normativ adoptat</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Concurs desfasurat Comisarul pentru etica desemnat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Parlamentului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Monitorul Oficial</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39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80"/>
              <w:jc w:val="left"/>
            </w:pPr>
            <w:r>
              <w:rPr>
                <w:color w:val="000000"/>
                <w:spacing w:val="0"/>
                <w:w w:val="100"/>
                <w:position w:val="0"/>
                <w:sz w:val="24"/>
                <w:szCs w:val="24"/>
                <w:shd w:val="clear" w:color="auto" w:fill="auto"/>
                <w:lang w:val="en-US" w:eastAsia="en-US" w:bidi="en-US"/>
              </w:rPr>
              <w:t>3</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Elaborarea planurilor si a materialelor de instruire a deputatilor cu privire la regulile de etica si conduita a deputatului in Parlament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TrimestrulI anul 2022</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Subdiviziunea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Parlamentului responsabila de etica si conduita deputatului, CNA, ANI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Plan de instruire elaborat, materiale de instruire elaborate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Parlamentului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 si surse externe de finantare</w:t>
            </w:r>
          </w:p>
        </w:tc>
      </w:tr>
      <w:tr>
        <w:trPr>
          <w:trHeight w:val="1469"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80"/>
              <w:jc w:val="left"/>
            </w:pPr>
            <w:r>
              <w:rPr>
                <w:color w:val="000000"/>
                <w:spacing w:val="0"/>
                <w:w w:val="100"/>
                <w:position w:val="0"/>
                <w:sz w:val="24"/>
                <w:szCs w:val="24"/>
                <w:shd w:val="clear" w:color="auto" w:fill="auto"/>
                <w:lang w:val="en-US" w:eastAsia="en-US" w:bidi="en-US"/>
              </w:rPr>
              <w:t>4</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deputatilor pe marginea Codului de etica si conduita a deputatului in Parlament</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Trimestrul II anul 2022 - pentru deputatii periodic (pentru deputatii noi)</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Subdiviziunea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Parlamentului responsabila de etica si conduita deputatului, CNA, ANI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100% deputati instruiti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Parlamentului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 si surse externe de finantare</w:t>
            </w:r>
          </w:p>
        </w:tc>
      </w:tr>
      <w:tr>
        <w:trPr>
          <w:trHeight w:val="1675"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80"/>
              <w:jc w:val="left"/>
            </w:pPr>
            <w:r>
              <w:rPr>
                <w:color w:val="000000"/>
                <w:spacing w:val="0"/>
                <w:w w:val="100"/>
                <w:position w:val="0"/>
                <w:sz w:val="24"/>
                <w:szCs w:val="24"/>
                <w:shd w:val="clear" w:color="auto" w:fill="auto"/>
                <w:lang w:val="en-US" w:eastAsia="en-US" w:bidi="en-US"/>
              </w:rPr>
              <w:t>5</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Intocmirea, prezentarea si publicarea pe pagina web a Parlamentului a raportului privind punerea in aplicare a Codului de etica si conduita a deputatului in Parlament</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TrimestrulIV anul 2022</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Subdiviziunea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Parlamentului responsabila de etica si conduita deputatului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 publicate pe pagina web a Parlamentului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Parlamentului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ectPr>
          <w:footnotePr>
            <w:pos w:val="pageBottom"/>
            <w:numFmt w:val="decimal"/>
            <w:numRestart w:val="continuous"/>
          </w:footnotePr>
          <w:pgSz w:w="16840" w:h="11900" w:orient="landscape"/>
          <w:pgMar w:top="1171" w:left="414" w:right="528" w:bottom="1047" w:header="743" w:footer="3" w:gutter="0"/>
          <w:cols w:space="720"/>
          <w:noEndnote/>
          <w:rtlGutter w:val="0"/>
          <w:docGrid w:linePitch="360"/>
        </w:sectPr>
      </w:pPr>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0" w:right="0" w:firstLine="0"/>
        <w:jc w:val="left"/>
      </w:pPr>
      <w:r>
        <w:rPr>
          <w:b/>
          <w:bCs/>
          <w:color w:val="FFFFFF"/>
          <w:spacing w:val="0"/>
          <w:w w:val="100"/>
          <w:position w:val="0"/>
          <w:sz w:val="24"/>
          <w:szCs w:val="24"/>
          <w:shd w:val="clear" w:color="auto" w:fill="auto"/>
          <w:lang w:val="en-US" w:eastAsia="en-US" w:bidi="en-US"/>
        </w:rPr>
        <w:t xml:space="preserve">Prioritatea I.2. </w:t>
      </w:r>
      <w:r>
        <w:rPr>
          <w:color w:val="FFFFFF"/>
          <w:spacing w:val="0"/>
          <w:w w:val="100"/>
          <w:position w:val="0"/>
          <w:sz w:val="24"/>
          <w:szCs w:val="24"/>
          <w:shd w:val="clear" w:color="auto" w:fill="auto"/>
          <w:lang w:val="en-US" w:eastAsia="en-US" w:bidi="en-US"/>
        </w:rPr>
        <w:t>Consolidarea controlului parlamentar</w:t>
      </w:r>
    </w:p>
    <w:tbl>
      <w:tblPr>
        <w:tblOverlap w:val="never"/>
        <w:jc w:val="center"/>
        <w:tblLayout w:type="fixed"/>
      </w:tblPr>
      <w:tblGrid>
        <w:gridCol w:w="744"/>
        <w:gridCol w:w="3571"/>
        <w:gridCol w:w="1915"/>
        <w:gridCol w:w="2088"/>
        <w:gridCol w:w="2736"/>
        <w:gridCol w:w="1978"/>
        <w:gridCol w:w="1531"/>
        <w:gridCol w:w="1272"/>
      </w:tblGrid>
      <w:tr>
        <w:trPr>
          <w:trHeight w:val="581" w:hRule="exact"/>
        </w:trPr>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1666"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6</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Aprobarea planurilor anuale de control parlamentar al autoritaplor independente si al legilor adoptate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Trimestrul I anul 2021, trimestrul I anul 2022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Comisiile permanente ale Parlamentului</w:t>
            </w:r>
          </w:p>
        </w:tc>
        <w:tc>
          <w:tcPr>
            <w:tcBorders>
              <w:top w:val="single" w:sz="4"/>
              <w:left w:val="single" w:sz="4"/>
            </w:tcBorders>
            <w:shd w:val="clear" w:color="auto" w:fill="FFFFFF"/>
            <w:vAlign w:val="bottom"/>
          </w:tcPr>
          <w:p>
            <w:pPr>
              <w:pStyle w:val="Style32"/>
              <w:keepNext w:val="0"/>
              <w:keepLines w:val="0"/>
              <w:widowControl w:val="0"/>
              <w:shd w:val="clear" w:color="auto" w:fill="auto"/>
              <w:tabs>
                <w:tab w:pos="1325" w:val="left"/>
                <w:tab w:pos="2419"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Planurile anuale de control parlamentar din partea tuturor comisiilor permanente, publicate pe pagina</w:t>
              <w:tab/>
              <w:t>web</w:t>
              <w:tab/>
              <w:t>a</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Parlamentului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Parlamentului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222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7</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Intocmirea si publicarea anuala, pe pagina web a Parlamentului, a rapoartelor privind controalele parlamentare efectuate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Trimestrul I anul 2021, trimestrul I anul 2022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Comisiile permanente ale Parlamentului</w:t>
            </w:r>
          </w:p>
        </w:tc>
        <w:tc>
          <w:tcPr>
            <w:tcBorders>
              <w:top w:val="single" w:sz="4"/>
              <w:left w:val="single" w:sz="4"/>
            </w:tcBorders>
            <w:shd w:val="clear" w:color="auto" w:fill="FFFFFF"/>
            <w:vAlign w:val="bottom"/>
          </w:tcPr>
          <w:p>
            <w:pPr>
              <w:pStyle w:val="Style32"/>
              <w:keepNext w:val="0"/>
              <w:keepLines w:val="0"/>
              <w:widowControl w:val="0"/>
              <w:shd w:val="clear" w:color="auto" w:fill="auto"/>
              <w:tabs>
                <w:tab w:pos="1829"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Rapoartele</w:t>
              <w:tab/>
              <w:t>privind</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controalele parlamentare, publicate pe pagina web a Parlamentului.</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Progres in realizarea planurilor anuale de control parlamentar de cel putin 75%</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Parlamentului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939"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8</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Aprobarea si publicarea pe pagina web a Parlamentului, la inceputul fiecarei sesiuni Parlamentare, a listei de legi ce vor fi supuse controlului parlamentar (audieri, evaluari ex-post juridice si de impact)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Semestrial cu raportarea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40"/>
              <w:jc w:val="left"/>
            </w:pPr>
            <w:r>
              <w:rPr>
                <w:color w:val="000000"/>
                <w:spacing w:val="0"/>
                <w:w w:val="100"/>
                <w:position w:val="0"/>
                <w:sz w:val="24"/>
                <w:szCs w:val="24"/>
                <w:shd w:val="clear" w:color="auto" w:fill="auto"/>
                <w:lang w:val="en-US" w:eastAsia="en-US" w:bidi="en-US"/>
              </w:rPr>
              <w:t>Parlamentul (Biroul Permanent al Parlamentului)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Planurile de evaluare ex</w:t>
              <w:softHyphen/>
              <w:t>post publicate pe pagina web a Parlamentului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Parlamentului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2779"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9</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Prezentarea in plenul Parlamentului a rezultatelor evaluarilor ex-post juridice si de impact asupra legilor supuse controlului parlamentar, conform Metodologiei de evaluare ex-post privind implementarea actelor legislative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Permanent cu raportarea anuala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Directia generala juridica a Secretariatului Parlamentului;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Comisiile permanente ale Parlamentului;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Rapoartele privind evaluarile ex-post de impact, publicate pe pagina web a Parlamentului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Parlamentului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734"/>
        <w:gridCol w:w="3571"/>
        <w:gridCol w:w="1915"/>
        <w:gridCol w:w="2088"/>
        <w:gridCol w:w="2736"/>
        <w:gridCol w:w="1978"/>
        <w:gridCol w:w="1531"/>
        <w:gridCol w:w="1272"/>
      </w:tblGrid>
      <w:tr>
        <w:trPr>
          <w:trHeight w:val="566" w:hRule="exact"/>
        </w:trPr>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 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3058"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10</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Prezentarea si audierea de catre comisiile permanente responsabile si dupa caz in plenul Parlamentului, a rapoartelor anuale ale autoritatilor independente aflate sub control parlamentar</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Permanent cu raportarea semestriala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Comisiile permanente ale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Parlamentului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Audieri desfa§urate;</w:t>
            </w:r>
          </w:p>
          <w:p>
            <w:pPr>
              <w:pStyle w:val="Style32"/>
              <w:keepNext w:val="0"/>
              <w:keepLines w:val="0"/>
              <w:widowControl w:val="0"/>
              <w:shd w:val="clear" w:color="auto" w:fill="auto"/>
              <w:tabs>
                <w:tab w:pos="1306" w:val="left"/>
                <w:tab w:pos="2424" w:val="left"/>
              </w:tabs>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Rapoartele anuale ale autoritatilor, publicate pe paginile</w:t>
              <w:tab/>
              <w:t>web</w:t>
              <w:tab/>
              <w:t>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Parlamentului si ale autoritatilor.</w:t>
            </w:r>
          </w:p>
          <w:p>
            <w:pPr>
              <w:pStyle w:val="Style32"/>
              <w:keepNext w:val="0"/>
              <w:keepLines w:val="0"/>
              <w:widowControl w:val="0"/>
              <w:shd w:val="clear" w:color="auto" w:fill="auto"/>
              <w:tabs>
                <w:tab w:pos="1022" w:val="left"/>
                <w:tab w:pos="2376" w:val="left"/>
              </w:tabs>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Problemele identificate in rapoartele discutate in cadrul</w:t>
              <w:tab/>
              <w:t>audierilor</w:t>
              <w:tab/>
              <w:t>si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actiunile intreprinse Recomandari formulate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Ordinea de zi a §edintelor Parlamentului; paginile web a Parlamentului si ale autoritatilor; rapoartele anuale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widowControl w:val="0"/>
        <w:spacing w:after="419" w:line="1" w:lineRule="exact"/>
      </w:pPr>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82" w:right="0" w:firstLine="0"/>
        <w:jc w:val="left"/>
      </w:pPr>
      <w:r>
        <w:rPr>
          <w:b/>
          <w:bCs/>
          <w:color w:val="FFFFFF"/>
          <w:spacing w:val="0"/>
          <w:w w:val="100"/>
          <w:position w:val="0"/>
          <w:sz w:val="24"/>
          <w:szCs w:val="24"/>
          <w:shd w:val="clear" w:color="auto" w:fill="auto"/>
          <w:lang w:val="en-US" w:eastAsia="en-US" w:bidi="en-US"/>
        </w:rPr>
        <w:t xml:space="preserve">Prioritatea I.3. </w:t>
      </w:r>
      <w:r>
        <w:rPr>
          <w:color w:val="FFFFFF"/>
          <w:spacing w:val="0"/>
          <w:w w:val="100"/>
          <w:position w:val="0"/>
          <w:sz w:val="24"/>
          <w:szCs w:val="24"/>
          <w:shd w:val="clear" w:color="auto" w:fill="auto"/>
          <w:lang w:val="en-US" w:eastAsia="en-US" w:bidi="en-US"/>
        </w:rPr>
        <w:t>Transparent procesului legislativ §i expertiza anticoruptie</w:t>
      </w:r>
    </w:p>
    <w:tbl>
      <w:tblPr>
        <w:tblOverlap w:val="never"/>
        <w:jc w:val="center"/>
        <w:tblLayout w:type="fixed"/>
      </w:tblPr>
      <w:tblGrid>
        <w:gridCol w:w="629"/>
        <w:gridCol w:w="3322"/>
        <w:gridCol w:w="1704"/>
        <w:gridCol w:w="1877"/>
        <w:gridCol w:w="3696"/>
        <w:gridCol w:w="1862"/>
        <w:gridCol w:w="1502"/>
        <w:gridCol w:w="1234"/>
      </w:tblGrid>
      <w:tr>
        <w:trPr>
          <w:trHeight w:val="581" w:hRule="exact"/>
        </w:trPr>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finanfare</w:t>
            </w:r>
          </w:p>
        </w:tc>
      </w:tr>
      <w:tr>
        <w:trPr>
          <w:trHeight w:val="2770"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260"/>
              <w:jc w:val="left"/>
            </w:pPr>
            <w:r>
              <w:rPr>
                <w:color w:val="000000"/>
                <w:spacing w:val="0"/>
                <w:w w:val="100"/>
                <w:position w:val="0"/>
                <w:sz w:val="24"/>
                <w:szCs w:val="24"/>
                <w:shd w:val="clear" w:color="auto" w:fill="auto"/>
                <w:lang w:val="en-US" w:eastAsia="en-US" w:bidi="en-US"/>
              </w:rPr>
              <w:t>11</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Intocmirea si publicarea sintezei amendamentelor, propunerilor si obiectiilor inaintate de societatea civila si alte parti interesate, inclusiv de deputati, pe marginea proiectelor de acte normative inainte de a doua lectura, inclusiv cu motivarea respingerii acestora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semestriala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Comisiile permanente ale Parlamentului sesizate in fond</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Sintezele amendamentelor, propunerilor si obiectiilor tuturor partilor interesate, elaborate in conformitate cu prevederile Legii nr.100/2017 cu privire la actele normative si publicate pe pagina web a Parlamentului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Parlamentului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Transparenta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954"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12</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Monitorizarea intocmirii si publicarii sintezei amendamentelor, propunerilor §i obiectiilor inaintate de societatea civila si alte parti interesate, inclusiv de deputati, pe marginea proiectelor de acte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semestriala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Biroul permanent al Parlamentului; Secretariatul Parlamentului</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Rapoartele semestriale ale comisiilor permanente catre Biroul permanent al Parlamentului cu privire la contributiile societatii civile (numarul de organizatii, lista proiectelor de lege pe marginea carora au fost facute propuneri,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Rapoartele semestriale ale comisiilor permanente; pagina web a Parlamentului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Transparenta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629"/>
        <w:gridCol w:w="3322"/>
        <w:gridCol w:w="1704"/>
        <w:gridCol w:w="1877"/>
        <w:gridCol w:w="3696"/>
        <w:gridCol w:w="1862"/>
        <w:gridCol w:w="1502"/>
        <w:gridCol w:w="1234"/>
      </w:tblGrid>
      <w:tr>
        <w:trPr>
          <w:trHeight w:val="566" w:hRule="exact"/>
        </w:trPr>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finanfare</w:t>
            </w:r>
          </w:p>
        </w:tc>
      </w:tr>
      <w:tr>
        <w:trPr>
          <w:trHeight w:val="8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normative inainte de a doua lectura</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propuneri transmise si acceptate in sinteza), publicate pe pagina web a Parlamentului</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939"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13</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Dezvoltarea unei platforme informatice pentru imbunatatirea monitorizarii on</w:t>
              <w:softHyphen/>
              <w:t>line a procesului legislativ, de la inregistrarea proiectului de lege in Parlament si pina la adoptarea actului normativ</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Trimestrul IV anul 2021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informatica functionala pe pagina web a Parlamentului; Numarul de accesari ale paginii web a Parlamentului dupa lansarea platformei informatice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Parlamentului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Transparenta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2218"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14</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Intocmirea de sinteze ale obiectiilor incluse in rapoartele de expertiza anticoruptie pe marginea proiectelor de acte normative si publicarea acestora pe pagina web a Parlamentului concomitent cu proiectele de legi inregistrate in Parlament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semestriala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Autorii initiativelor legislative; Secretariatul Parlamentului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Sintezele obiectiilor incluse in rapoartele de expertiza anticoruptie pe marginea proiectelor de legi publicate pe pagina web a Parlamentului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Parlamentului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Transparenta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2506"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15</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Monitorizarea procesului de intocmire si publicare a sintezei obiectiilor incluse in rapoartele de expertiza anticoruptie concomitent cu publicarea proiectelor de acte normative inregistrate in Parlament</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semestriala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Biroul permanent al Parlamentului; Secretariatul Parlamentului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Rapoartele semestriale ale Secretariatului Parlamentului catre Biroul permanent al Parlamentului cu privire la prezentarea de catre autorii initiativelor legislative a sintezei pe marginea rapoartelor de expertiza anticoruptie concomitent cu inregistrarea proiectelor de acte normative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Rapoartele semestriale ale Secretariatului Parlamentului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Transparenta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PLAN DE ACJIUNI:</w:t>
      </w:r>
    </w:p>
    <w:p>
      <w:pPr>
        <w:pStyle w:val="Style36"/>
        <w:keepNext/>
        <w:keepLines/>
        <w:widowControl w:val="0"/>
        <w:shd w:val="clear" w:color="auto" w:fill="auto"/>
        <w:bidi w:val="0"/>
        <w:spacing w:before="0" w:line="240" w:lineRule="auto"/>
        <w:ind w:left="0" w:right="0" w:firstLine="0"/>
        <w:jc w:val="center"/>
      </w:pPr>
      <w:bookmarkStart w:id="6" w:name="bookmark6"/>
      <w:bookmarkStart w:id="7" w:name="bookmark7"/>
      <w:r>
        <w:rPr>
          <w:color w:val="000000"/>
          <w:spacing w:val="0"/>
          <w:w w:val="100"/>
          <w:position w:val="0"/>
          <w:sz w:val="24"/>
          <w:szCs w:val="24"/>
          <w:shd w:val="clear" w:color="auto" w:fill="auto"/>
          <w:lang w:val="en-US" w:eastAsia="en-US" w:bidi="en-US"/>
        </w:rPr>
        <w:t>PILONUL II. GUVERNUL, SECTORUL PUBLIC SI ADMINISTRAJIA PUBLICA LOCALA</w:t>
      </w:r>
      <w:bookmarkEnd w:id="6"/>
      <w:bookmarkEnd w:id="7"/>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82" w:right="0" w:firstLine="0"/>
        <w:jc w:val="left"/>
      </w:pPr>
      <w:r>
        <w:rPr>
          <w:b/>
          <w:bCs/>
          <w:color w:val="FFFFFF"/>
          <w:spacing w:val="0"/>
          <w:w w:val="100"/>
          <w:position w:val="0"/>
          <w:sz w:val="24"/>
          <w:szCs w:val="24"/>
          <w:shd w:val="clear" w:color="auto" w:fill="auto"/>
          <w:lang w:val="en-US" w:eastAsia="en-US" w:bidi="en-US"/>
        </w:rPr>
        <w:t xml:space="preserve">Prioritatea II.1. </w:t>
      </w:r>
      <w:r>
        <w:rPr>
          <w:color w:val="FFFFFF"/>
          <w:spacing w:val="0"/>
          <w:w w:val="100"/>
          <w:position w:val="0"/>
          <w:sz w:val="24"/>
          <w:szCs w:val="24"/>
          <w:shd w:val="clear" w:color="auto" w:fill="auto"/>
          <w:lang w:val="en-US" w:eastAsia="en-US" w:bidi="en-US"/>
        </w:rPr>
        <w:t>Promovarea integritatii in cadrul entitafilor publice</w:t>
      </w:r>
    </w:p>
    <w:tbl>
      <w:tblPr>
        <w:tblOverlap w:val="never"/>
        <w:jc w:val="center"/>
        <w:tblLayout w:type="fixed"/>
      </w:tblPr>
      <w:tblGrid>
        <w:gridCol w:w="595"/>
        <w:gridCol w:w="2909"/>
        <w:gridCol w:w="1651"/>
        <w:gridCol w:w="1958"/>
        <w:gridCol w:w="4008"/>
        <w:gridCol w:w="2131"/>
        <w:gridCol w:w="1402"/>
        <w:gridCol w:w="1171"/>
      </w:tblGrid>
      <w:tr>
        <w:trPr>
          <w:trHeight w:val="571" w:hRule="exact"/>
        </w:trPr>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finanfare</w:t>
            </w:r>
          </w:p>
        </w:tc>
      </w:tr>
      <w:tr>
        <w:trPr>
          <w:trHeight w:val="4699"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angajarii si promovarii agentilor publici pe baza de merit si de integritate profesionala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 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SIS</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anunturilor privind concursurile de angajare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agenti publici angajati prin concurs sau prin transfer de la alte entitati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cazierelor de integritate solicitate de entitatile publice la angajare.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contestatii depuse impotriva rezultatelor concursurilor organizate.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agenti publici angajati/reconfirmati in functii ca urmare a verificarii conform Legii nr. 271/2008 privind verificarea titularilor si a candidatilor la functii publice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asigurare a integritatii institutionale si e-cazierul integritatii profesionale Pagina web cariere.gov.md Paginile web ale entitatilor publice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Mijloace bugetare</w:t>
            </w:r>
          </w:p>
        </w:tc>
      </w:tr>
      <w:tr>
        <w:trPr>
          <w:trHeight w:val="3058"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respectarii regimului de incompatibilitati, de restrictii in ierarhie si de limitare a publicitatii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 ai caror agenti publici sint subiecti ai declararii averilor si intereselor personale;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ANI</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cazuri de incompatibilitati si restrictii in ierarhie atestate in entitatile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cazuri de incompatibilitati si restrictii in ierarhie solutionate in entitatile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sesizari la ANI cu privire la incalcarea regimului de incompatibilitati si limitare a publicitatii;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persoane suspendate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asigurare a integritatii institutionale si e-cazierul integritatii profesionale; Raportul anual de activitate al ANI; Acte de constatare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595"/>
        <w:gridCol w:w="2909"/>
        <w:gridCol w:w="1651"/>
        <w:gridCol w:w="1958"/>
        <w:gridCol w:w="4008"/>
        <w:gridCol w:w="2131"/>
        <w:gridCol w:w="1402"/>
        <w:gridCol w:w="1171"/>
      </w:tblGrid>
      <w:tr>
        <w:trPr>
          <w:trHeight w:val="566" w:hRule="exact"/>
        </w:trPr>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finanfare</w:t>
            </w:r>
          </w:p>
        </w:tc>
      </w:tr>
      <w:tr>
        <w:trPr>
          <w:trHeight w:val="111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pentru asemenea incalcari</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 pagina web</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Paginile web ale entitatilor publice;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5803"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respectarii regimului declararii averilor si intereselor personale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 ai caror agenti publici sint subiecti ai declararii averilor si intereselor personale;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ANI; CNA</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Persoana responsabila de actualizarea permanenta a Registrului electronic al subiectilor declararii averii si a intereselor personale desemnata prin act normativ al conducatorului entitatii Numarul total al subiectilor declararii averii si a intereselor personale, care activeaza in entitatea publica pe parcursul anului.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total al subiectilor declararii averii si a intereselor personale angajati/numiti/cu mandatele validate pe parcursul anului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subiectilor declararii averii si a intereselor personale ale caror mandat/raporturi de munca sau de serviciu au incetat pe parcursul anului; Numarul sanctiunilor aplicate pentru nerespectarea prevederilor privind declararea averii si intereselor personale.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depunere a declaratiilor de avere si interese personale. Platforma electronica de asigurare a integritatii institutionale si e- cazierul integritatii profesionale. Pagina web a ANI; hotaririle instantelor de judecata Raportul anual de activitate al ANI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Mijloace bugetare</w:t>
            </w:r>
          </w:p>
        </w:tc>
      </w:tr>
      <w:tr>
        <w:trPr>
          <w:trHeight w:val="1954"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4</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respectarii regimului conflictelor de interese si neadmiterea favoritismului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 ai caror angajati sint subiecti ai declararii averilor si intereselor personale;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ANI</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Persoana responsabila de tinerea Registrului de evidenta a conflictelor de interese desemnata prin act normativ al conducatorului entitatii;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Registrul de evidenta a conflictelor de interese aprobat;</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conflictelor de interese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asigurare a integritatii institutionale si e-cazierul integritatii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595"/>
        <w:gridCol w:w="2909"/>
        <w:gridCol w:w="1651"/>
        <w:gridCol w:w="1958"/>
        <w:gridCol w:w="4008"/>
        <w:gridCol w:w="2131"/>
        <w:gridCol w:w="1402"/>
        <w:gridCol w:w="1171"/>
      </w:tblGrid>
      <w:tr>
        <w:trPr>
          <w:trHeight w:val="566" w:hRule="exact"/>
        </w:trPr>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finanfare</w:t>
            </w:r>
          </w:p>
        </w:tc>
      </w:tr>
      <w:tr>
        <w:trPr>
          <w:trHeight w:val="387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declarate in cadrul entitatilor publice. Numarul conflictelor de interese solutionate in cadrul entitatilor publice Numarul conflictelor de interese sesizate la ANI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actelor de constatare ale ANI cu privire la conflictele de interese. Numarul actelor juridice, adoptate in situatii de conflict de interese, anulate in instanta de judecata la solicitarea ANI.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dosare penale si contraventionale instrumentate privind conflictele de interese penale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profesionale; Raportul anual de activitate al ANI; Acte de constatare pe pagina web ANI;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Paginile web ale entitatilor publice;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987"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5</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respectarii regimului cadourilor</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Persoana responsabila de tinerea Registrului cadourilor</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Ordin de creare a comisiei de evidenta si evaluare a cadourilor</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cadourilor predate comisiilor de evidenta si evaluare a cadourilor in cadrul entitatilor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si suma cadourilor rascumparate in cadrul entitatilor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cadouri inadmisibile, transmise CNA si numarul de dosare penale si contraventionale instrumentate.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Registrele de evidenta a cadourilor publicate pe paginile web ale entitatilor publice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asigurare a integritatii institutionale si e-cazierul integritatii profesionale; Paginile web ale entitatilor publice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595"/>
        <w:gridCol w:w="2909"/>
        <w:gridCol w:w="1651"/>
        <w:gridCol w:w="1958"/>
        <w:gridCol w:w="4008"/>
        <w:gridCol w:w="2131"/>
        <w:gridCol w:w="1402"/>
        <w:gridCol w:w="1171"/>
      </w:tblGrid>
      <w:tr>
        <w:trPr>
          <w:trHeight w:val="566" w:hRule="exact"/>
        </w:trPr>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finanfare</w:t>
            </w:r>
          </w:p>
        </w:tc>
      </w:tr>
      <w:tr>
        <w:trPr>
          <w:trHeight w:val="3595"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6</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neadmiterii, denuntarii si tratarii influentelor necorespunzatoare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Registrul de evidenta a influentelor necorespunzatoare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Persoana desemnata pentru tinerea registrului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cazurilor de influenta necorespunzatoare denuntate, in cadrul entitatilor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cazurilor de influenta necorespunzatoare solutionate, in cadrul entitatilor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cazurilor de influenta necorespunzatoare denuntate la CNA §i SIS.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asigurare a integritatii institutionale si e-cazierul integritatii profesionale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Mijloace bugetare</w:t>
            </w:r>
          </w:p>
        </w:tc>
      </w:tr>
      <w:tr>
        <w:trPr>
          <w:trHeight w:val="5266"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7</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neadmiterii si denuntarii manifestarilor de coruptie; protectia avertizorilor de integritate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OAP</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manifestarilor de coruptie denuntate de catre agentii publici conducatorilor entitatilor publice . Numarul manifestarilor de coruptie denuntate de catre agentii publici agentiilor anticoruptie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Mecanism intern, cai de comunicare si inregistrare a avertizarilor de integritate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Persoana responsabila de inregistrarea avertizarilor de integritate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Registrul dezvaluirilor interne a practicilor ilegale (avertizarilor de integritate)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avertizarilor de integritate depuse in cadrul entitatilor publice. Numarul avertizarilor de integritate transmise la 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avertizorilor de integritate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asigurare a integritatii institutionale si e-cazierul integritatii profesionale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Protectie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595"/>
        <w:gridCol w:w="2909"/>
        <w:gridCol w:w="1651"/>
        <w:gridCol w:w="1958"/>
        <w:gridCol w:w="4008"/>
        <w:gridCol w:w="2131"/>
        <w:gridCol w:w="1402"/>
        <w:gridCol w:w="1171"/>
      </w:tblGrid>
      <w:tr>
        <w:trPr>
          <w:trHeight w:val="566" w:hRule="exact"/>
        </w:trPr>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finanfare</w:t>
            </w:r>
          </w:p>
        </w:tc>
      </w:tr>
      <w:tr>
        <w:trPr>
          <w:trHeight w:val="28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supusi protectiei</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595"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8</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intolerantei fata de incidentele de integritate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sanctiuni disciplinare aplicate in cadrul entitatilor publice in legatura cu incidentele de integritate admise de agentii publici.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sesizarilor depuse de catre conducatorii entitatilor publice la autoritatile anticoruptie cu privire la incidentele de integritate ce constituie infractiuni si contraventii.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suspendari din functii ale agentilor publici inculpati pentru infractiuni de coruptie sau conexe coruptiei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asigurare a integritatii institutionale si e-cazierul integritatii profesionale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Mijloace bugetare</w:t>
            </w:r>
          </w:p>
        </w:tc>
      </w:tr>
      <w:tr>
        <w:trPr>
          <w:trHeight w:val="332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9</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respectarii transparentei in procesul decizional</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Lista partilor interesate elaborata si publicata pe pagina web a entitatii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Rapoartele anuale privind transparenta in procesul decizional publicate pe paginile web ale entitatilor publice; Raportul anual al Cancelariei de Stat privind transparenta decizionala in cadrul APC;</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asigurare a integritatii institutionale si e- cazierul integritatii profesionale; Paginile web ale autoritatilor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Cancelariei de Stat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Mijloace bugetare</w:t>
            </w:r>
          </w:p>
        </w:tc>
      </w:tr>
      <w:tr>
        <w:trPr>
          <w:trHeight w:val="1675"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10</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respectarii accesului la informatii de interes public</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Persoanele responsabile de accesul la informatii de interes public, desemnate in cadrul autoritatilor.</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solicitari de acces la informatii, transmise anual entitatilor publice.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asigurare a integritatii institutionale si e-cazierul</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595"/>
        <w:gridCol w:w="2909"/>
        <w:gridCol w:w="1651"/>
        <w:gridCol w:w="1958"/>
        <w:gridCol w:w="4008"/>
        <w:gridCol w:w="2131"/>
        <w:gridCol w:w="1402"/>
        <w:gridCol w:w="1171"/>
      </w:tblGrid>
      <w:tr>
        <w:trPr>
          <w:trHeight w:val="566" w:hRule="exact"/>
        </w:trPr>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finanfare</w:t>
            </w:r>
          </w:p>
        </w:tc>
      </w:tr>
      <w:tr>
        <w:trPr>
          <w:trHeight w:val="277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refuzuri de acces la informatii.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contestatiilor depuse anual in instanta de judecata impotriva refuzului entitatilor publice de a oferi acces la informatii.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hotariri adoptate anual de instantele de judecata privind obligarea entitatilor publice de a oferi informatiile solicitate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integritatii profesionale Paginile web ale autoritatilor publice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6091"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11</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gestionarii transparente si responsabile a patrimoniului public si a asistentei externe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MF;</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AAP</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ANSC</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Raport privind gestionarea patrimoniului entitatilor publice publicata.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Informatia privind atragerea si gestionarea asistentei externe, publicata.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Raport final de proiect/program publicat pe Platforma de Gestionare a Asistentei Externe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Cartele de audit intern, planurile strategice si planurile anuale ale activitatii de audit, aprobate de catre entitatile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Declaratiile de raspundere manageriala, publicate pe paginile web ale entitatilor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Raportul anual consolidat privind controlul financiar public intern, prezentat la Guvern.</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Planurile anuale si trimestriale de achizitii publice ale entitatilor publice, publicate pe paginile lor web oficiale.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asigurare a integritatii institutionale si e- cazierul integritatii profesionale Platforma pentru gestionarea asistentei externe;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Paginile web ale entitatilor publice; Pagina web a ANSC;</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595"/>
        <w:gridCol w:w="2909"/>
        <w:gridCol w:w="1651"/>
        <w:gridCol w:w="1958"/>
        <w:gridCol w:w="4008"/>
        <w:gridCol w:w="2131"/>
        <w:gridCol w:w="1402"/>
        <w:gridCol w:w="1171"/>
      </w:tblGrid>
      <w:tr>
        <w:trPr>
          <w:trHeight w:val="566" w:hRule="exact"/>
        </w:trPr>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finanfare</w:t>
            </w:r>
          </w:p>
        </w:tc>
      </w:tr>
      <w:tr>
        <w:trPr>
          <w:trHeight w:val="4147"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Rapoartele trimestriale si anuale de activitate ale Agentiei de Achizitii Publice privind achizitiile publice efectuate si publicate pe pagina web;. Numarul documentatiilor de atribuire si rezultatelor procedurilor de achizitii publice contestate la Agentia Nationala pentru Solutionarea Contestatiilor si in instantele de judecata si rezultatele examinarii Misiuni de audit intern pe orizontala, desfasurate conform domeniilor de activitate comune.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Misiuni de evaluare externa a calitatii activitatii de audit intern efectuate.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87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implementarii si respectarii normelor de etica si deontologie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Adoptarea codurilor de etica si deontologie pentru entitatile publice care nu au astfel de coduri.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Planurile anuale de instruire, inclusiv de instruire continua, aprobate.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instruiri si de agenti publici instruiti cu privire la normele de etica si deontologie.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sesizari referitor la conduita lipsita de etica a agentilor publici receptionate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cazuri de incalcare a normelor de etica si deontologie, sanctionate disciplinar.</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asigurare a integritatii institutionale si e- cazierul integritatii profesionale; Paginile web ale entitatilor publice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 Educare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Mijloace bugetare</w:t>
            </w:r>
          </w:p>
        </w:tc>
      </w:tr>
      <w:tr>
        <w:trPr>
          <w:trHeight w:val="850"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13</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respectarii regimului de restrictii si limitari in legatura cu</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ANI</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anual de agenti publici care si-au incetat mandatul, raporturile de munca sau de serviciu</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asigurare 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595"/>
        <w:gridCol w:w="2909"/>
        <w:gridCol w:w="1651"/>
        <w:gridCol w:w="1958"/>
        <w:gridCol w:w="4008"/>
        <w:gridCol w:w="2131"/>
        <w:gridCol w:w="1402"/>
        <w:gridCol w:w="1171"/>
      </w:tblGrid>
      <w:tr>
        <w:trPr>
          <w:trHeight w:val="566" w:hRule="exact"/>
        </w:trPr>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finanfare</w:t>
            </w:r>
          </w:p>
        </w:tc>
      </w:tr>
      <w:tr>
        <w:trPr>
          <w:trHeight w:val="553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incetarea mandatului, a raporturilor de munca sau de serviciu si migrarea agentilor publici in sectorul privat (pantuflaj)</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indicatorilor de progres</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ofertelor de munca sau de angajare oferite agentilor publici in cadrul organizatiilor comerciale, comunicate de catre agentii publici inainte de incetarea mandatului, a raporturilor de munca sau de serviciu. Numarul de contracte comerciale refuzate anual de catre entitatile publice din motivul ca in organizatiile comerciale activeaza persoane care, pe parcursul ultimului an, au fost agenti publici in cadrul entitatilor publice Numarul anchetelor de serviciu/procedurilor disciplinare/cauzelor contraventionale pornite in privinta agentilor publici urmare a neraportarii ofertelor de munca/serviciu;</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sanctiunilor disciplinare/contraventionale aplicate;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integritatii institutionale si e- cazierul integritatii profesionale; Raportul anual de activitate al ANI; Actele de constatare pe pagina web a ANI</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770"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14</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implementarii managementului riscurilor de coruptie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Registrele riscurilor, care includ si riscurile de coruptie, elaborate de catre entitatile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Completarea registrului riscurilor cu riscurile de coruptie dupa incidentele de integritate din cadrul entitatilor publice.</w:t>
            </w:r>
          </w:p>
          <w:p>
            <w:pPr>
              <w:pStyle w:val="Style32"/>
              <w:keepNext w:val="0"/>
              <w:keepLines w:val="0"/>
              <w:widowControl w:val="0"/>
              <w:shd w:val="clear" w:color="auto" w:fill="auto"/>
              <w:tabs>
                <w:tab w:pos="1253" w:val="left"/>
                <w:tab w:pos="2366" w:val="left"/>
              </w:tabs>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Raportul</w:t>
              <w:tab/>
              <w:t>privind</w:t>
              <w:tab/>
              <w:t>implementarea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masurilor de tratare a riscurilor, elaborat anual</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asigurare a integritatii institutionale si e-cazierul integritatii profesionale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Mijloace bugetare</w:t>
            </w:r>
          </w:p>
        </w:tc>
      </w:tr>
      <w:tr>
        <w:trPr>
          <w:trHeight w:val="571"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15</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agentilor publici si a conducatorilor</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 entitatile publice;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solicitari de instruire cu privire la rigorile de integritate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ale institutiilor</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Educare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595"/>
        <w:gridCol w:w="2909"/>
        <w:gridCol w:w="1651"/>
        <w:gridCol w:w="1958"/>
        <w:gridCol w:w="4008"/>
        <w:gridCol w:w="2131"/>
        <w:gridCol w:w="1402"/>
        <w:gridCol w:w="1171"/>
      </w:tblGrid>
      <w:tr>
        <w:trPr>
          <w:trHeight w:val="566" w:hRule="exact"/>
        </w:trPr>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finanfare</w:t>
            </w:r>
          </w:p>
        </w:tc>
      </w:tr>
      <w:tr>
        <w:trPr>
          <w:trHeight w:val="277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entitatilor publice cu privire la rigorile de integritate institutionala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Academia de Administrare Publica;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INJ</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ANI</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institutionala receptionat;</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instruiri anuale realizate in baza solicitarilor transmise;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agenti publici instruiti; Numarul persoanelor responsabile din entitatile publice de raportare in domeniul integritatii instruiti Conducatorii si agentii publici a cel putin 75% dintre entitatile publice instruiti.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responsabile - agenda, listele participantilor, evaluarea instruirilor etc.</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94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16</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responsabililor de elaborarea proiectelor de acte normative cu privire la evitarea riscurilor de coruptie la elaborarea proiectelor</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 entitatile publice; Academia de Administrare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Publica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instruirilor desfasurate;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agentilor publici responsabili de elaborari instruiti;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solicitarilor de instruire cu privire la evitarea riscurilor de coruptie la elaborarea proiectelor.</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institutiilor responsabile - agenda, listele participantilor, evaluarea instruirilor etc.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Educare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Mijloace bugetare</w:t>
            </w:r>
          </w:p>
        </w:tc>
      </w:tr>
      <w:tr>
        <w:trPr>
          <w:trHeight w:val="1939"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17</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agentilor publici si a conducatorilor entitatilor publice cu privire la cadrul normativ referitor la evaluarea integritatii institutionale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 entitatile publice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instruirilor desfasurate;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conducatorilor si al agentilor publici instruiti;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solicitarilor de instruire cu privire la evaluarea integritatii institutionale.</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institutiilor responsabile - agenda, listele participantilor, evaluarea instruirilor etc.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Educare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Mijloace bugetare</w:t>
            </w:r>
          </w:p>
        </w:tc>
      </w:tr>
      <w:tr>
        <w:trPr>
          <w:trHeight w:val="1954"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18</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conducatorilor entitatilor publice cu privire la managementul riscurilor institutionale de coruptie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 entitatile publice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instruirilor desfasurate; Numarul agentilor publici instruiti; Numarul solicitarilor de instruire cu privire la managementul riscurilor institutionale de coruptie.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institutiilor responsabile - agenda, listele participantilor, evaluarea instruirilor etc.</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Educare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72" w:right="0" w:firstLine="0"/>
        <w:jc w:val="left"/>
      </w:pPr>
      <w:r>
        <w:rPr>
          <w:b/>
          <w:bCs/>
          <w:color w:val="FFFFFF"/>
          <w:spacing w:val="0"/>
          <w:w w:val="100"/>
          <w:position w:val="0"/>
          <w:sz w:val="24"/>
          <w:szCs w:val="24"/>
          <w:shd w:val="clear" w:color="auto" w:fill="auto"/>
          <w:lang w:val="en-US" w:eastAsia="en-US" w:bidi="en-US"/>
        </w:rPr>
        <w:t xml:space="preserve">Prioritatea II.2. </w:t>
      </w:r>
      <w:r>
        <w:rPr>
          <w:color w:val="FFFFFF"/>
          <w:spacing w:val="0"/>
          <w:w w:val="100"/>
          <w:position w:val="0"/>
          <w:sz w:val="24"/>
          <w:szCs w:val="24"/>
          <w:shd w:val="clear" w:color="auto" w:fill="auto"/>
          <w:lang w:val="en-US" w:eastAsia="en-US" w:bidi="en-US"/>
        </w:rPr>
        <w:t>Abordarea sectoriala a corupfiei</w:t>
      </w:r>
    </w:p>
    <w:tbl>
      <w:tblPr>
        <w:tblOverlap w:val="never"/>
        <w:jc w:val="center"/>
        <w:tblLayout w:type="fixed"/>
      </w:tblPr>
      <w:tblGrid>
        <w:gridCol w:w="576"/>
        <w:gridCol w:w="2933"/>
        <w:gridCol w:w="1555"/>
        <w:gridCol w:w="1973"/>
        <w:gridCol w:w="3782"/>
        <w:gridCol w:w="2117"/>
        <w:gridCol w:w="1469"/>
        <w:gridCol w:w="1171"/>
      </w:tblGrid>
      <w:tr>
        <w:trPr>
          <w:trHeight w:val="581" w:hRule="exact"/>
        </w:trPr>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2506"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19</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continuitatii implementarii planurilor sectoriale/locale anticoruptie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 al anului 2021</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SV</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SFS</w:t>
            </w:r>
          </w:p>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MF</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APP</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MADRM</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MSMPS</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MECC</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MAI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APL (nivelul II)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Planul sectorial anticoruptie elaborat, aprobat si publicat pe pagina web</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Raport semestrial privind implementarea planului sectorial, publicat pe pagina web si transmis catre CNA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autoritatilor responsabile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 Descurajare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widowControl w:val="0"/>
        <w:spacing w:after="419" w:line="1" w:lineRule="exact"/>
      </w:pPr>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72" w:right="0" w:firstLine="0"/>
        <w:jc w:val="left"/>
      </w:pPr>
      <w:r>
        <w:rPr>
          <w:b/>
          <w:bCs/>
          <w:color w:val="FFFFFF"/>
          <w:spacing w:val="0"/>
          <w:w w:val="100"/>
          <w:position w:val="0"/>
          <w:sz w:val="24"/>
          <w:szCs w:val="24"/>
          <w:shd w:val="clear" w:color="auto" w:fill="auto"/>
          <w:lang w:val="en-US" w:eastAsia="en-US" w:bidi="en-US"/>
        </w:rPr>
        <w:t xml:space="preserve">Prioritatea II.3. </w:t>
      </w:r>
      <w:r>
        <w:rPr>
          <w:color w:val="FFFFFF"/>
          <w:spacing w:val="0"/>
          <w:w w:val="100"/>
          <w:position w:val="0"/>
          <w:sz w:val="24"/>
          <w:szCs w:val="24"/>
          <w:shd w:val="clear" w:color="auto" w:fill="auto"/>
          <w:lang w:val="en-US" w:eastAsia="en-US" w:bidi="en-US"/>
        </w:rPr>
        <w:t>Transparent $i responsabilitate in fat cetafenilor</w:t>
      </w:r>
    </w:p>
    <w:tbl>
      <w:tblPr>
        <w:tblOverlap w:val="never"/>
        <w:jc w:val="center"/>
        <w:tblLayout w:type="fixed"/>
      </w:tblPr>
      <w:tblGrid>
        <w:gridCol w:w="917"/>
        <w:gridCol w:w="3533"/>
        <w:gridCol w:w="1579"/>
        <w:gridCol w:w="1584"/>
        <w:gridCol w:w="3077"/>
        <w:gridCol w:w="2438"/>
        <w:gridCol w:w="1493"/>
        <w:gridCol w:w="1205"/>
      </w:tblGrid>
      <w:tr>
        <w:trPr>
          <w:trHeight w:val="581" w:hRule="exact"/>
        </w:trPr>
        <w:tc>
          <w:tcPr>
            <w:tcBorders>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2496"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20</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Crearea unei platforme electronice a Guvernului ce ar permite monitorizarea externa a fluxului de proiecte de acte normative, precum si accesul publicului la proiectele respective si la materialele aferente din momentul transmiterii lor la Guvern</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 anul 2022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CS;</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STISC;</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Agentia de Guvernare Electronica;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MJ</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ce permite monitorizarea externa a fluxului de proiecte de acte normative integrata pe pagina web oficiala a Guvernului dupa consultarea societafii civile asupra caracterului prietenos pentru utilizator functionala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Guvernului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Transparenfa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949"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21</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Extinderea listei de servicii publice prestate prin intermediul platformei electronice </w:t>
            </w:r>
            <w:r>
              <w:fldChar w:fldCharType="begin"/>
            </w:r>
            <w:r>
              <w:rPr/>
              <w:instrText> HYPERLINK "http://www.servicii.gov.md/" </w:instrText>
            </w:r>
            <w:r>
              <w:fldChar w:fldCharType="separate"/>
            </w:r>
            <w:r>
              <w:rPr>
                <w:color w:val="0000FF"/>
                <w:spacing w:val="0"/>
                <w:w w:val="100"/>
                <w:position w:val="0"/>
                <w:sz w:val="24"/>
                <w:szCs w:val="24"/>
                <w:shd w:val="clear" w:color="auto" w:fill="auto"/>
                <w:lang w:val="en-US" w:eastAsia="en-US" w:bidi="en-US"/>
              </w:rPr>
              <w:t>www.servicii.gov.md</w:t>
            </w:r>
            <w:r>
              <w:fldChar w:fldCharType="end"/>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Entitafile prestatoare de servicii; Agentia de Guvernare Electronica;</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Numarul de servicii publice noi prestate prin intermediul platformei electronice </w:t>
            </w:r>
            <w:r>
              <w:fldChar w:fldCharType="begin"/>
            </w:r>
            <w:r>
              <w:rPr/>
              <w:instrText> HYPERLINK "http://www.servicii.gov.md/" </w:instrText>
            </w:r>
            <w:r>
              <w:fldChar w:fldCharType="separate"/>
            </w:r>
            <w:r>
              <w:rPr>
                <w:color w:val="0000FF"/>
                <w:spacing w:val="0"/>
                <w:w w:val="100"/>
                <w:position w:val="0"/>
                <w:sz w:val="24"/>
                <w:szCs w:val="24"/>
                <w:shd w:val="clear" w:color="auto" w:fill="auto"/>
                <w:lang w:val="en-US" w:eastAsia="en-US" w:bidi="en-US"/>
              </w:rPr>
              <w:t>www.servicii.gov.md</w:t>
            </w:r>
            <w:r>
              <w:rPr>
                <w:color w:val="000000"/>
                <w:spacing w:val="0"/>
                <w:w w:val="100"/>
                <w:position w:val="0"/>
                <w:sz w:val="24"/>
                <w:szCs w:val="24"/>
                <w:shd w:val="clear" w:color="auto" w:fill="auto"/>
                <w:lang w:val="en-US" w:eastAsia="en-US" w:bidi="en-US"/>
              </w:rPr>
              <w:t>,</w:t>
            </w:r>
            <w:r>
              <w:fldChar w:fldCharType="end"/>
            </w:r>
            <w:r>
              <w:rPr>
                <w:color w:val="000000"/>
                <w:spacing w:val="0"/>
                <w:w w:val="100"/>
                <w:position w:val="0"/>
                <w:sz w:val="24"/>
                <w:szCs w:val="24"/>
                <w:shd w:val="clear" w:color="auto" w:fill="auto"/>
                <w:lang w:val="en-US" w:eastAsia="en-US" w:bidi="en-US"/>
              </w:rPr>
              <w:t xml:space="preserve"> lansate anual.</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Numarul de servicii publice </w:t>
            </w:r>
            <w:r>
              <w:fldChar w:fldCharType="begin"/>
            </w:r>
            <w:r>
              <w:rPr/>
              <w:instrText> HYPERLINK "http://integrate/" </w:instrText>
            </w:r>
            <w:r>
              <w:fldChar w:fldCharType="separate"/>
            </w:r>
            <w:r>
              <w:rPr>
                <w:color w:val="0000FF"/>
                <w:spacing w:val="0"/>
                <w:w w:val="100"/>
                <w:position w:val="0"/>
                <w:sz w:val="24"/>
                <w:szCs w:val="24"/>
                <w:shd w:val="clear" w:color="auto" w:fill="auto"/>
                <w:lang w:val="en-US" w:eastAsia="en-US" w:bidi="en-US"/>
              </w:rPr>
              <w:t xml:space="preserve">integrate </w:t>
            </w:r>
            <w:r>
              <w:fldChar w:fldCharType="end"/>
            </w:r>
            <w:r>
              <w:rPr>
                <w:color w:val="000000"/>
                <w:spacing w:val="0"/>
                <w:w w:val="100"/>
                <w:position w:val="0"/>
                <w:sz w:val="24"/>
                <w:szCs w:val="24"/>
                <w:shd w:val="clear" w:color="auto" w:fill="auto"/>
                <w:lang w:val="en-US" w:eastAsia="en-US" w:bidi="en-US"/>
              </w:rPr>
              <w:t>cu Serviciul MPay</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Platforma </w:t>
            </w:r>
            <w:r>
              <w:fldChar w:fldCharType="begin"/>
            </w:r>
            <w:r>
              <w:rPr/>
              <w:instrText> HYPERLINK "http://www.servicii.gov.md/" </w:instrText>
            </w:r>
            <w:r>
              <w:fldChar w:fldCharType="separate"/>
            </w:r>
            <w:r>
              <w:rPr>
                <w:color w:val="0000FF"/>
                <w:spacing w:val="0"/>
                <w:w w:val="100"/>
                <w:position w:val="0"/>
                <w:sz w:val="24"/>
                <w:szCs w:val="24"/>
                <w:shd w:val="clear" w:color="auto" w:fill="auto"/>
                <w:lang w:val="en-US" w:eastAsia="en-US" w:bidi="en-US"/>
              </w:rPr>
              <w:t>www.servicii.gov.md</w:t>
            </w:r>
            <w:r>
              <w:fldChar w:fldCharType="end"/>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Transparenfa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Protecfie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917"/>
        <w:gridCol w:w="3533"/>
        <w:gridCol w:w="1579"/>
        <w:gridCol w:w="1584"/>
        <w:gridCol w:w="3077"/>
        <w:gridCol w:w="2438"/>
        <w:gridCol w:w="1493"/>
        <w:gridCol w:w="1205"/>
      </w:tblGrid>
      <w:tr>
        <w:trPr>
          <w:trHeight w:val="194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22</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Revizuirea si aprobarea modificarilor la Legea nr.100/2017 cu privire la actele normative in sensul instituirii obligativitatii efectuarii expertizei anticoruptie asupra proiectului actului normativ definitivat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 al anului 2021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MJ, CNA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Act normativ adoptat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Monitorul Oficial al RM</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 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Mijloace bugetare</w:t>
            </w:r>
          </w:p>
        </w:tc>
      </w:tr>
      <w:tr>
        <w:trPr>
          <w:trHeight w:val="2496"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23</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Transmiterea tuturor proiectelor de acte normative pasibile de expertiza anticoruptie, dupa definitivarea proiectelor in urma avizarii, la CNA pentru efectuarea expertizei anticoruptie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semestriala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proiectelor de acte normative pasibile de expertiza anticoruptie, aprobate de Guvern Numarul proiectelor de acte normative pasibile de expertiza anticoruptie, aprobate de Guvern, supuse in prealabil acestei expertize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Guvernului /Ordinea de zi a sedintelor Guvernului/;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CNA/ Rapoarte de expertiza anticoruptie/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Mijloace bugetare</w:t>
            </w:r>
          </w:p>
        </w:tc>
      </w:tr>
      <w:tr>
        <w:trPr>
          <w:trHeight w:val="2218"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24</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Intocmirea sintezei obiectiilor incluse in rapoartele de expertiza anticoruptie pe marginea proiectelor de acte normative si publicarea ei pe pagina web a executivului concomitent cu publicarea proiectelor transmise la Guvern spre aprobare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semestriala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Sintezele obiectiilor incluse in rapoartele de expertiza anticoruptie pe marginea proiectelor acte normative, publicate pe pagina web a Guvernului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Guvernului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Mijloace bugetare</w:t>
            </w:r>
          </w:p>
        </w:tc>
      </w:tr>
      <w:tr>
        <w:trPr>
          <w:trHeight w:val="2506"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25</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adoptarii proiectelor de acte normative, pasibile de expertiza anticoruptie obligatorie, doar dupa supunerea acestora expertizei anticoruptie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semestriala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CS</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Rapoartele semestriale ale Cancelariei de Stat cu privire la prezentarea de catre autorii proiectelor de acte normative, a sintezei pe marginea rapoartelor de expertiza anticoruptie, concomitent cu inregistrarea proiectelor respective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Guvernului /Ordinea de zi a sedintelor Guvernului/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p>
      <w:pPr>
        <w:pStyle w:val="Style36"/>
        <w:keepNext/>
        <w:keepLines/>
        <w:widowControl w:val="0"/>
        <w:shd w:val="clear" w:color="auto" w:fill="auto"/>
        <w:bidi w:val="0"/>
        <w:spacing w:before="0" w:line="240" w:lineRule="auto"/>
        <w:ind w:left="0" w:right="0" w:firstLine="0"/>
        <w:jc w:val="center"/>
      </w:pPr>
      <w:bookmarkStart w:id="8" w:name="bookmark8"/>
      <w:bookmarkStart w:id="9" w:name="bookmark9"/>
      <w:r>
        <w:rPr>
          <w:color w:val="000000"/>
          <w:spacing w:val="0"/>
          <w:w w:val="100"/>
          <w:position w:val="0"/>
          <w:sz w:val="24"/>
          <w:szCs w:val="24"/>
          <w:shd w:val="clear" w:color="auto" w:fill="auto"/>
          <w:lang w:val="en-US" w:eastAsia="en-US" w:bidi="en-US"/>
        </w:rPr>
        <w:t>PLAN DE ACJIUNI:</w:t>
        <w:br/>
        <w:t>PILONUL III. JUSTIJIA §I AUTORITATILE ANTICORUPJIE</w:t>
      </w:r>
      <w:bookmarkEnd w:id="8"/>
      <w:bookmarkEnd w:id="9"/>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82" w:right="0" w:firstLine="0"/>
        <w:jc w:val="left"/>
      </w:pPr>
      <w:r>
        <w:rPr>
          <w:b/>
          <w:bCs/>
          <w:color w:val="FFFFFF"/>
          <w:spacing w:val="0"/>
          <w:w w:val="100"/>
          <w:position w:val="0"/>
          <w:sz w:val="24"/>
          <w:szCs w:val="24"/>
          <w:shd w:val="clear" w:color="auto" w:fill="auto"/>
          <w:lang w:val="en-US" w:eastAsia="en-US" w:bidi="en-US"/>
        </w:rPr>
        <w:t xml:space="preserve">Prioritatea III.1. </w:t>
      </w:r>
      <w:r>
        <w:rPr>
          <w:color w:val="FFFFFF"/>
          <w:spacing w:val="0"/>
          <w:w w:val="100"/>
          <w:position w:val="0"/>
          <w:sz w:val="24"/>
          <w:szCs w:val="24"/>
          <w:shd w:val="clear" w:color="auto" w:fill="auto"/>
          <w:lang w:val="en-US" w:eastAsia="en-US" w:bidi="en-US"/>
        </w:rPr>
        <w:t>Integritatea autoritafilor anticorupfie §i a organelor de ocrotire a normelor de drept</w:t>
      </w:r>
    </w:p>
    <w:tbl>
      <w:tblPr>
        <w:tblOverlap w:val="never"/>
        <w:jc w:val="center"/>
        <w:tblLayout w:type="fixed"/>
      </w:tblPr>
      <w:tblGrid>
        <w:gridCol w:w="576"/>
        <w:gridCol w:w="3749"/>
        <w:gridCol w:w="1872"/>
        <w:gridCol w:w="1891"/>
        <w:gridCol w:w="2674"/>
        <w:gridCol w:w="2376"/>
        <w:gridCol w:w="1426"/>
        <w:gridCol w:w="1262"/>
      </w:tblGrid>
      <w:tr>
        <w:trPr>
          <w:trHeight w:val="581" w:hRule="exact"/>
        </w:trPr>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 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3043"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initiala si continua (fiecare 2 ani) a poligrafologilor angajati sa-i testeze pe candidatii la functiile de judecator, procuror, pe angajatii CNA, SIS, MAI si SV, ANI, atestarea si inregistrarea acestora conform procedurii stabilite.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 anul 2022</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SIS;</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CSM;</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CSP;</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MAI;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SV;</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Comisia de stat pentru testari cu utilizarea poligrafului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cite un poligrafolog instruit atestat si inregistrat in cadrul CNA, SIS, MAI si SV CSM; CSP;</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institutiilor responsabile (certificatele de instruire)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Comisiei de stat pentru testari cu utilizarea poligrafului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666"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Dotarea cu aparate poligraf a CSM, SV §i MAI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 anul 2022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CSM; CSP; SV;</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MAI</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un aparat poligraf pentru CSM si cel putin 2 aparate poligraf pentru SV si cel putin 4 aparate poligraf pentru MAI</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institutiilor responsabile privind amenajarea salilor si instalarea aparatelor poligraf</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94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Monitorizarea stilului de viata al angajatilor CNA, MAI si SV in vederea stabilirii corespunderii nivelului de trai cu nivelul veniturilor legale al acestora, cit si al persoanelor cu care duc un trai comun</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semestriala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MAI;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SV</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 de persoane monitorizate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 de rapoarte intocmite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 persoane sanctionate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institutiilor responsabile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Rapoartele de monitorizare a stilului de viata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571"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4</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angajatilor subdiviziunilor de securitate interna ale CNA, MAI</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IV anul 2021</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MAI,</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angajatilor subdiviziunilor de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institutiilor</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576"/>
        <w:gridCol w:w="3749"/>
        <w:gridCol w:w="1872"/>
        <w:gridCol w:w="1891"/>
        <w:gridCol w:w="2674"/>
        <w:gridCol w:w="2376"/>
        <w:gridCol w:w="1426"/>
        <w:gridCol w:w="1262"/>
      </w:tblGrid>
      <w:tr>
        <w:trPr>
          <w:trHeight w:val="1680"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 SV in vederea imbunatatirii practicilor de monitorizare a stilului de viata al angajatilor</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SV</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securitate interna ale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 MAI si SV, asigurata</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responsabile cu privire la instruirile desfasurate; Agenda instruirilor Numarul/lista persoanelor instruite</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519" w:line="1" w:lineRule="exact"/>
      </w:pPr>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72" w:right="0" w:firstLine="0"/>
        <w:jc w:val="left"/>
      </w:pPr>
      <w:r>
        <w:rPr>
          <w:b/>
          <w:bCs/>
          <w:color w:val="FFFFFF"/>
          <w:spacing w:val="0"/>
          <w:w w:val="100"/>
          <w:position w:val="0"/>
          <w:sz w:val="24"/>
          <w:szCs w:val="24"/>
          <w:shd w:val="clear" w:color="auto" w:fill="auto"/>
          <w:lang w:val="en-US" w:eastAsia="en-US" w:bidi="en-US"/>
        </w:rPr>
        <w:t xml:space="preserve">Prioritatea III.2. </w:t>
      </w:r>
      <w:r>
        <w:rPr>
          <w:color w:val="FFFFFF"/>
          <w:spacing w:val="0"/>
          <w:w w:val="100"/>
          <w:position w:val="0"/>
          <w:sz w:val="24"/>
          <w:szCs w:val="24"/>
          <w:shd w:val="clear" w:color="auto" w:fill="auto"/>
          <w:lang w:val="en-US" w:eastAsia="en-US" w:bidi="en-US"/>
        </w:rPr>
        <w:t>Eficienfa justifiei §i a autoritafilor anticoruptie</w:t>
      </w:r>
    </w:p>
    <w:tbl>
      <w:tblPr>
        <w:tblOverlap w:val="never"/>
        <w:jc w:val="center"/>
        <w:tblLayout w:type="fixed"/>
      </w:tblPr>
      <w:tblGrid>
        <w:gridCol w:w="917"/>
        <w:gridCol w:w="3211"/>
        <w:gridCol w:w="1536"/>
        <w:gridCol w:w="1560"/>
        <w:gridCol w:w="2928"/>
        <w:gridCol w:w="1982"/>
        <w:gridCol w:w="1483"/>
        <w:gridCol w:w="2208"/>
      </w:tblGrid>
      <w:tr>
        <w:trPr>
          <w:trHeight w:val="586" w:hRule="exact"/>
        </w:trPr>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2770"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5</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Examinarea oportunitatii instituirii instantelor/completelor de judecata specializate pentru examinarea dosarelor pentru acte de coruptie si conexe coruptiei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 al anului 2021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MJ</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CSM</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CSJ</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Studiu privind oportunitatea instituirii instantelor/completelor de judecata specializate pentru examinarea dosarelor pentru acte de coruptie si conexe coruptiei, realizat Recomandari formulate Dezbatere publica a studiului realizata.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CNA, CSM, CSJ</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bugetare/surse externa de finantare</w:t>
            </w:r>
          </w:p>
        </w:tc>
      </w:tr>
      <w:tr>
        <w:trPr>
          <w:trHeight w:val="3605"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6</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Instituirea instantelor/ completelor de judecata specializate pentru examinarea dosarelor pentru acte de coruptie si conexe coruptiei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 anul 2022</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MJ;</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CSM;</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CSJ Parlamentul;</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Proiect de lege elaborat si adoptat de Guvern si Parlament, ce contine mecanismul si procedura de selectie a judecatorilor, precum si criteriile de integritate si de salarizare sporite pentru acesti judecatori.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Instanta sau, dupa caz, complete de judecata specializate functionale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Monitorul Oficial al RM</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917"/>
        <w:gridCol w:w="3211"/>
        <w:gridCol w:w="1536"/>
        <w:gridCol w:w="1560"/>
        <w:gridCol w:w="2928"/>
        <w:gridCol w:w="1982"/>
        <w:gridCol w:w="1483"/>
        <w:gridCol w:w="2208"/>
      </w:tblGrid>
      <w:tr>
        <w:trPr>
          <w:trHeight w:val="566" w:hRule="exact"/>
        </w:trPr>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332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7</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instanfelor/ completelor de judecata specializate pentru examinarea dosarelor pentru acte de corupfie si conexe corupfiei cu resurse umane, tehnice si financiare suficiente, in conformitate cu prevederile legale ce reglementeaza statutul judecatorilor din aceste instanfe/complete de judecata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III anul 2022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CSM;</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MJ;</w:t>
            </w:r>
          </w:p>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MF</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Bugetul suficient aprobat si mijloacele tehnice necesare disponibile pentru activitatea instanfelor/completelor specializate de judecata pentru examinarea dosarelor pe fapte de corupfie si conexe corupfiei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institufiilor responsabile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94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8</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Procuraturii Anticorupfie cu resurse umane, tehnice si financiare suficiente in conformitate cu prevederile Legii nr. 159/2016 cu privire la procuraturile specializate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 anul 2021, trimestrul II anul 2022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MF;</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PG</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Bugetul suficient aprobat si mijloacele tehnice necesare disponibile pentru activitatea Procuraturii Anticorupfie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institufiilor responsabile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3605"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9</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functionalitatii platformei electronice de depunere a declarafiilor de avere si interese personale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ANI</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depunere a declarafiilor de avere si interese personale, funcfionala;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semnaturi electronice transmise tuturor subiecfilor declararii averilor si intereselor personale;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subiecfi ai declararii instruifi cu privire la depunerea in format electronic a declarafiilor;</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institufiilor responsabile Raportul anual de activitate al ANI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 Transparenfa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Surse de finanfare externe disponibile (proiectul susfinut de Banca Mondiala pentru elaborarea sistemului informafional e-declarare)</w:t>
            </w:r>
          </w:p>
        </w:tc>
      </w:tr>
    </w:tbl>
    <w:p>
      <w:pPr>
        <w:spacing w:lineRule="exact" w:line="1"/>
        <w:rPr>
          <w:sz w:val="2"/>
          <w:szCs w:val="2"/>
        </w:rPr>
      </w:pPr>
      <w:r>
        <w:br w:type="page"/>
      </w:r>
    </w:p>
    <w:tbl>
      <w:tblPr>
        <w:tblOverlap w:val="never"/>
        <w:jc w:val="center"/>
        <w:tblLayout w:type="fixed"/>
      </w:tblPr>
      <w:tblGrid>
        <w:gridCol w:w="917"/>
        <w:gridCol w:w="3211"/>
        <w:gridCol w:w="1536"/>
        <w:gridCol w:w="1560"/>
        <w:gridCol w:w="2928"/>
        <w:gridCol w:w="1982"/>
        <w:gridCol w:w="1483"/>
        <w:gridCol w:w="2208"/>
      </w:tblGrid>
      <w:tr>
        <w:trPr>
          <w:trHeight w:val="566" w:hRule="exact"/>
        </w:trPr>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8851"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subiecti ai declararii care si-au depus declaratiile prin intermediul platformei electronice in momentul angajarii/ numirii/ validarii mandatului;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subiecti declararii care si-au depus declaratiile anuale prin intermediul platformei electronice;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subiecti ai declararii care si-au depus declaratiile prin intermediul platformei electronice la incetarea mandatului/raporturilor de munca sau de serviciu Numarul de subiecti ai declararii care nu au depus declaratiile prin intermediul platformei electronice, in conformitate cu prevederile cadrului normativ Numarul actelor de constatare ale ANI privind existenta averii nejustificate.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dosare penale si contraventionale instrumentate privind</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spacing w:lineRule="exact" w:line="1"/>
        <w:rPr>
          <w:sz w:val="2"/>
          <w:szCs w:val="2"/>
        </w:rPr>
      </w:pPr>
      <w:r>
        <w:br w:type="page"/>
      </w:r>
    </w:p>
    <w:tbl>
      <w:tblPr>
        <w:tblOverlap w:val="never"/>
        <w:jc w:val="center"/>
        <w:tblLayout w:type="fixed"/>
      </w:tblPr>
      <w:tblGrid>
        <w:gridCol w:w="917"/>
        <w:gridCol w:w="3211"/>
        <w:gridCol w:w="1536"/>
        <w:gridCol w:w="1560"/>
        <w:gridCol w:w="2928"/>
        <w:gridCol w:w="1982"/>
        <w:gridCol w:w="1483"/>
        <w:gridCol w:w="2208"/>
      </w:tblGrid>
      <w:tr>
        <w:trPr>
          <w:trHeight w:val="566" w:hRule="exact"/>
        </w:trPr>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8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incalcarea regimului declararii averilor si intereselor personale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939"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10</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auditului sistemului informational automatizat e-Integritate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w:t>
            </w:r>
          </w:p>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IV 2021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ANI Agentia de Guvernare Electronica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Raport de audit elaborat si publicat</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Agentiei de Guvernare Electronic Pagina web a Autoritatii Nationale de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Integritate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bugetare/asistenta externa</w:t>
            </w:r>
          </w:p>
        </w:tc>
      </w:tr>
      <w:tr>
        <w:trPr>
          <w:trHeight w:val="2496"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Efectuarea unor analize strategice si operationale in vederea identificarii cazurilor de imbogatire ilicita, conflicte de interese, delapidare a proprietatii publice si a fondurilor din asistenta externa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semestriala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ANI</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analize publicate pe pagina web a 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analize publicate pe pagina web a ANI.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cazuri investigate/dosare initiate ca urmare a acestor analize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ANI. Hotaririle instantelor de judecata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666"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12</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Realizare unui studiu a tuturor cauzelor penale pentru fapte de coruptie si conexe coruptiei cu sentinte devenite irevocabile in perioada </w:t>
            </w:r>
            <w:r>
              <w:rPr>
                <w:color w:val="000000"/>
                <w:spacing w:val="0"/>
                <w:w w:val="100"/>
                <w:position w:val="0"/>
                <w:sz w:val="24"/>
                <w:szCs w:val="24"/>
                <w:shd w:val="clear" w:color="auto" w:fill="auto"/>
                <w:lang w:val="ru-RU" w:eastAsia="ru-RU" w:bidi="ru-RU"/>
              </w:rPr>
              <w:t>2019</w:t>
              <w:softHyphen/>
            </w:r>
            <w:r>
              <w:rPr>
                <w:color w:val="000000"/>
                <w:spacing w:val="0"/>
                <w:w w:val="100"/>
                <w:position w:val="0"/>
                <w:sz w:val="24"/>
                <w:szCs w:val="24"/>
                <w:shd w:val="clear" w:color="auto" w:fill="auto"/>
                <w:lang w:val="en-US" w:eastAsia="en-US" w:bidi="en-US"/>
              </w:rPr>
            </w:r>
            <w:r>
              <w:rPr>
                <w:color w:val="000000"/>
                <w:spacing w:val="0"/>
                <w:w w:val="100"/>
                <w:position w:val="0"/>
                <w:sz w:val="24"/>
                <w:szCs w:val="24"/>
                <w:shd w:val="clear" w:color="auto" w:fill="auto"/>
                <w:lang w:val="ru-RU" w:eastAsia="ru-RU" w:bidi="ru-RU"/>
              </w:rPr>
              <w:t>2020</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2022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CSJ;</w:t>
            </w:r>
          </w:p>
          <w:p>
            <w:pPr>
              <w:pStyle w:val="Style32"/>
              <w:keepNext w:val="0"/>
              <w:keepLines w:val="0"/>
              <w:widowControl w:val="0"/>
              <w:shd w:val="clear" w:color="auto" w:fill="auto"/>
              <w:bidi w:val="0"/>
              <w:spacing w:before="0" w:after="0" w:line="233" w:lineRule="auto"/>
              <w:ind w:left="0" w:right="0" w:firstLine="140"/>
              <w:jc w:val="left"/>
            </w:pPr>
            <w:r>
              <w:rPr>
                <w:color w:val="000000"/>
                <w:spacing w:val="0"/>
                <w:w w:val="100"/>
                <w:position w:val="0"/>
                <w:sz w:val="24"/>
                <w:szCs w:val="24"/>
                <w:shd w:val="clear" w:color="auto" w:fill="auto"/>
                <w:lang w:val="en-US" w:eastAsia="en-US" w:bidi="en-US"/>
              </w:rPr>
              <w:t>PA;</w:t>
            </w:r>
          </w:p>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CNA; UARM</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Studiu elaborat si publicat pe paginile web ale CSJ PG/PA, si CNA, UARM Lista de recomandari formulate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Paginile web ale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CSJ, PG/PA si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 UARM</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397"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13</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Elaborarea recomandarilor de unificare a practicii judiciare in cauzele penale pentru fapte de coruptie si conexe coruptiei in baza studiilor realizate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III anul 2022</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CSJ PA CNA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Studiu/analiza elaborata Hotarare explicativa a Plenului elaborata Recomandari formulate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CSJ, 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PG/PA si ANI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917"/>
        <w:gridCol w:w="3211"/>
        <w:gridCol w:w="1536"/>
        <w:gridCol w:w="1560"/>
        <w:gridCol w:w="2928"/>
        <w:gridCol w:w="1982"/>
        <w:gridCol w:w="1483"/>
        <w:gridCol w:w="2208"/>
      </w:tblGrid>
      <w:tr>
        <w:trPr>
          <w:trHeight w:val="566" w:hRule="exact"/>
        </w:trPr>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1387"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14</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Evaluarea actelor normative aferente institutiei avertizorilor de integritate prin prisma conformarii standardelor europene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IV al 2021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OAP</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Raport de evaluare elaborat si publicat</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recomandari formulate.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Paginile web ale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 si OAP</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Protecfie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 Asistenta externa</w:t>
            </w:r>
          </w:p>
        </w:tc>
      </w:tr>
      <w:tr>
        <w:trPr>
          <w:trHeight w:val="222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15</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Elaborarea actelor normative aferente institutiei avertizorilor de integritate, inclusiv a modificarilor la Legea 122/2018 privind avertizorii de integritate in vederea asigurarii conformarii lor cu standardele europene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w:t>
            </w:r>
          </w:p>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IV al 2022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 Guvernul 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OAP,</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MJ</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Proiecte de act normativ elaborate si adoptate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Monitorul Oficial al RM</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Protecfie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 Asistenta externa</w:t>
            </w:r>
          </w:p>
        </w:tc>
      </w:tr>
      <w:tr>
        <w:trPr>
          <w:trHeight w:val="1666"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16</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Implementarea platformei electronice Call Center pentru Linia Nationala Anticoruptie in vederea optimizarii receptionarii si evidentei apelurilor receptionate.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IV al anului 2021.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Centrul National Anticoruptie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functionala. Volumul apelurilor receptionate.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receptionare si evidenta a apelurilor la LNA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Transparenta 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bugetare/surse externe de finantare.</w:t>
            </w:r>
          </w:p>
        </w:tc>
      </w:tr>
      <w:tr>
        <w:trPr>
          <w:trHeight w:val="111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17</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Publicarea rapoartelor de activitate anuala a Procuraturii Anticorupfie</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 anul 2021, trimestrul I anul 2022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PG</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 rapoarte de activitate anuala publicate pe pagina web a PG/PA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w:t>
            </w:r>
          </w:p>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PG/PA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Transparenfa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11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18</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Publicarea rapoartelor de activitate anuala a Centrului Nafional Anticorupfie</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 anul 2021, trimestrul I anul 2022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 rapoarte de activitate anuala publicate pe pagina web a CNA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Transparenfa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397"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19</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Publicarea rapoartelor anuale privind activitafile anticorupfie ale Ministerului Afacerilor Interne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 anul 2021, trimestrul I anul 2022</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MAI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 rapoarte anuale privind activitatile anticoruptie, publicate pe pagina web a MAI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w:t>
            </w:r>
          </w:p>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MAI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Transparenfa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917"/>
        <w:gridCol w:w="3211"/>
        <w:gridCol w:w="1536"/>
        <w:gridCol w:w="1560"/>
        <w:gridCol w:w="2928"/>
        <w:gridCol w:w="1982"/>
        <w:gridCol w:w="1483"/>
        <w:gridCol w:w="2208"/>
      </w:tblGrid>
      <w:tr>
        <w:trPr>
          <w:trHeight w:val="566" w:hRule="exact"/>
        </w:trPr>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111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20</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Publicarea rapoartelor de activitate anuala a Autoritatii Nationale de Integritate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 anul 2021, trimestrul I anul 2022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 rapoarte de activitate anuala publicate pe pagina web a ANI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3600"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21</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asistentei si a cooperarii efective cu institutiile si organismele relevante ale UE, inclusiv cu Oficiul European de Lupta Antifrauda (OLAF) in cazul controalelor si al inspectiilor la fata locului legate de gestionarea si controlul fondurilor UE, care sa se realizeze in conformitate cu normele si procedurile aplicabile.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colaborari cu OLAF si alte institutii si organismele relevante ale UE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Corespondenta dintre CNA, institutiile si organismele relevante ale UE, precum si alte documente intocmite in cadrul colaborarilor, dupa caz.</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bugetare/surse externa de finantare</w:t>
            </w:r>
          </w:p>
        </w:tc>
      </w:tr>
      <w:tr>
        <w:trPr>
          <w:trHeight w:val="2779"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22</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Intensificarea colaborarii cu Banca Europeana de Investitii in ceea ce priveste schimbul de informatii in cadrul investigatiilor privind practicile frauduloase si neconforme si asigurarea indeplinirii obiectivelor si tratarea cazurilor de interes comun.</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colaborari cu</w:t>
            </w:r>
          </w:p>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BEI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Corespondenta dintre CNA si BEI, precum si alte documente intocmite in cadrul colaborarilor, dupa caz.</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bugetare/surse externa de finantare</w:t>
            </w:r>
          </w:p>
        </w:tc>
      </w:tr>
    </w:tbl>
    <w:p>
      <w:pPr>
        <w:spacing w:lineRule="exact" w:line="1"/>
        <w:rPr>
          <w:sz w:val="2"/>
          <w:szCs w:val="2"/>
        </w:rPr>
      </w:pPr>
      <w:r>
        <w:br w:type="page"/>
      </w:r>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72" w:right="0" w:firstLine="0"/>
        <w:jc w:val="left"/>
      </w:pPr>
      <w:r>
        <w:rPr>
          <w:b/>
          <w:bCs/>
          <w:color w:val="FFFFFF"/>
          <w:spacing w:val="0"/>
          <w:w w:val="100"/>
          <w:position w:val="0"/>
          <w:sz w:val="24"/>
          <w:szCs w:val="24"/>
          <w:shd w:val="clear" w:color="auto" w:fill="auto"/>
          <w:lang w:val="en-US" w:eastAsia="en-US" w:bidi="en-US"/>
        </w:rPr>
        <w:t xml:space="preserve">Prioritatea III.3. </w:t>
      </w:r>
      <w:r>
        <w:rPr>
          <w:color w:val="FFFFFF"/>
          <w:spacing w:val="0"/>
          <w:w w:val="100"/>
          <w:position w:val="0"/>
          <w:sz w:val="24"/>
          <w:szCs w:val="24"/>
          <w:shd w:val="clear" w:color="auto" w:fill="auto"/>
          <w:lang w:val="en-US" w:eastAsia="en-US" w:bidi="en-US"/>
        </w:rPr>
        <w:t>Consolidarea masurilor educative §i de prevenire a corupfiei</w:t>
      </w:r>
    </w:p>
    <w:tbl>
      <w:tblPr>
        <w:tblOverlap w:val="never"/>
        <w:jc w:val="center"/>
        <w:tblLayout w:type="fixed"/>
      </w:tblPr>
      <w:tblGrid>
        <w:gridCol w:w="917"/>
        <w:gridCol w:w="2630"/>
        <w:gridCol w:w="1810"/>
        <w:gridCol w:w="1565"/>
        <w:gridCol w:w="3418"/>
        <w:gridCol w:w="1934"/>
        <w:gridCol w:w="1397"/>
        <w:gridCol w:w="2155"/>
      </w:tblGrid>
      <w:tr>
        <w:trPr>
          <w:trHeight w:val="566" w:hRule="exact"/>
        </w:trPr>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4978"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23</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Elaborarea cursurilor de instruire anticoruptie si de promovare a integritatii si plasarea lor pe platforma guvernamentala de instruire la distanta (e</w:t>
              <w:softHyphen/>
              <w:t>Learning)</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IV anul 2021 - pentru platforma CNA; trimestrul IV anul 2022 - pentru platforma ANI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ANI</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Elaborarea de catre CNA a cursurilor de instruire anticoruptie si de promovare a integritatii (pe subiecte de promovare a standardelor de integritate si anticoruptie), Elaborarea de catre ANI a cursurilor de instruire anticoruptie si de promovare a integritatii (pe subiecte de verificare a averilor, intereselor personale, incompatibilitatilor si restrictiilor) Cursurile de instruire anticoruptie si de promovare a integritatii plasate si functionale pe Platforma guvernametala de instruire la distanta (e-Learning)</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Educare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Surse de finantare externe disponibile (Proiectul PNUD implementat cu sustinerea Ministerului Afacerilor Externe al Norvegiei) - pentru platforma 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 - pentru platforma ANI</w:t>
            </w:r>
          </w:p>
        </w:tc>
      </w:tr>
      <w:tr>
        <w:trPr>
          <w:trHeight w:val="2218"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24</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elevilor si studentilor in spiritul integritatii si intolerantei fata de coruptie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MECC</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5 instruiri desfasurate anual, in spiritul integritatii si intolerantei fata de coruptie, realizate,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200 de elevi si studenti instruiti anual in spiritul integritatii si intolerantei fata de coruptie.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institutiilor responsabile - agenda, listele de participanti, etc.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Educare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402"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25</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reprezentantilor sectorului privat cu privire la etica relatiilor comerciale, controlul</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MEI; CCI;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5 instruiri desfasurate anual a reprezentantilor mediului de afaceri, realizate, Cel putin 100 de reprezentanti ai mediului de afaceri instruiti</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institutiilor responsabile - agenda, listele de participanti,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Educare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917"/>
        <w:gridCol w:w="2630"/>
        <w:gridCol w:w="1810"/>
        <w:gridCol w:w="1565"/>
        <w:gridCol w:w="3418"/>
        <w:gridCol w:w="1934"/>
        <w:gridCol w:w="1397"/>
        <w:gridCol w:w="2155"/>
      </w:tblGrid>
      <w:tr>
        <w:trPr>
          <w:trHeight w:val="566" w:hRule="exact"/>
        </w:trPr>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8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intern si transparent;-! afacerilor cu statul</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anual cu privire la etica relatiilor comerciale, controlul intern si transparent afacerilor cu statul</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etc.</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939"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26</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reprezentantilor autoritatilor publice centrale si locale privind mecanismul de realizarea a expertizei anticoruptie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IV al anului 2021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Agenda instruirii elaborata; Cel putin 5 instruiri a agentilor publici desfasurate anual;</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100 agenti publici instruiti.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institutiilor responsabile - agenda, listele de participanti, etc.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Educare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2218"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27</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conducatorilor instantelor de judecata si procuraturilor si a managerilor operationali cu privire la managementul riscurilor de coruptie.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IV an. 2022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INJ</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Curriculum pentru cursul ”Managementul riscurilor de coruptie”, elaborat;</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4 cursuri de instruiri efectuate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100 persoane instruite (reprezentanti ai instantelor de judecata, procuraturilor)</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Confirmare din partea institutiilor responsabile Paginile web ale CNA si INJ Agenda Lista participantilor</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Educare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3883"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28</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Lansarea si implementarea platformei electronice de asigurare a integritatii institutionale si de evidenta a e-cazierului de integritate profesionala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IV anul 2021- pentru lansarea platformei si pentru conectarea entitatilor publice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 entitatile publice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Platforma electronica de asigurare a integritatii institutionale si de evidenta a e- cazierului de integritate profesionala, operationala. CNA apt sa monitorizeze electronic respectarea cerintelor de integritate profesionala si institutionala in cadrul entitatilor publice. Entitatile publice consultate on-line cu privire la corectitudinea respectarii cerintelor de integritate profesionala si institutionala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institutiilor responsabile; pagina web a CNA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 Etica Protectie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Surse de finantare externe disponibile (Proiectul PNUD implementat cu sustinerea Ministerului Afacerilor Externe al Norvegiei) - pentru platforma CNA</w:t>
            </w:r>
          </w:p>
        </w:tc>
      </w:tr>
    </w:tbl>
    <w:p>
      <w:pPr>
        <w:spacing w:lineRule="exact" w:line="1"/>
        <w:rPr>
          <w:sz w:val="2"/>
          <w:szCs w:val="2"/>
        </w:rPr>
      </w:pPr>
      <w:r>
        <w:br w:type="page"/>
      </w:r>
    </w:p>
    <w:tbl>
      <w:tblPr>
        <w:tblOverlap w:val="never"/>
        <w:jc w:val="center"/>
        <w:tblLayout w:type="fixed"/>
      </w:tblPr>
      <w:tblGrid>
        <w:gridCol w:w="917"/>
        <w:gridCol w:w="2630"/>
        <w:gridCol w:w="1810"/>
        <w:gridCol w:w="1565"/>
        <w:gridCol w:w="3418"/>
        <w:gridCol w:w="1934"/>
        <w:gridCol w:w="1397"/>
        <w:gridCol w:w="2155"/>
      </w:tblGrid>
      <w:tr>
        <w:trPr>
          <w:trHeight w:val="566" w:hRule="exact"/>
        </w:trPr>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387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29</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Evaluarea integritatii institutionale si adoptarea planurilor de integritate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 entitatile publice</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4 (5) rapoarte pe an de evaluare a integritatii institutionale, publicate pe pagina web a 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4 (5) Planuri de integritate publicate pe paginile web ale entitatilor publice evaluate.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agenti publici si, dupa caz, conducatori ai entitatilor publice, sanctionati disciplinar pentru lipsa de integritate profesionala si institutionala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paginile web ale entitatilor publice evaluate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2491"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30</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Efectuarea de catre CNA a expertizei anticoruptie a proiectelor de acte normative in conditiile Legii integritatii nr.82/2017 si ale noii Metodologii privind efectuarea expertizei anticoruptie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rapoarte de expertiza anticoruptie publicate pe pagina web a CNA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 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2506"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31</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Publicarea si prezentarea unor cercetari cu privire la constatarile expertizei anticoruptie efectuate de catre CNA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2021</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Studiu privind tendintele negative asociate procesului de promovare a proiectelor de acte normative, de promovare a unor interese private in detrimentul interesului public, stabilite in cadrul expertizelor anticoruptie efectuate de catre CNA, elaborat si publicat pe pagina web 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 Descurajare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917"/>
        <w:gridCol w:w="2630"/>
        <w:gridCol w:w="1810"/>
        <w:gridCol w:w="1565"/>
        <w:gridCol w:w="3418"/>
        <w:gridCol w:w="1934"/>
        <w:gridCol w:w="1397"/>
        <w:gridCol w:w="2155"/>
      </w:tblGrid>
      <w:tr>
        <w:trPr>
          <w:trHeight w:val="566" w:hRule="exact"/>
        </w:trPr>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Sursa de finanfare</w:t>
            </w:r>
          </w:p>
        </w:tc>
      </w:tr>
      <w:tr>
        <w:trPr>
          <w:trHeight w:val="850"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Prezentarea publica pe marginea Studiului organizata</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419" w:line="1" w:lineRule="exact"/>
      </w:pPr>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82" w:right="0" w:firstLine="0"/>
        <w:jc w:val="left"/>
      </w:pPr>
      <w:r>
        <w:rPr>
          <w:b/>
          <w:bCs/>
          <w:color w:val="FFFFFF"/>
          <w:spacing w:val="0"/>
          <w:w w:val="100"/>
          <w:position w:val="0"/>
          <w:sz w:val="24"/>
          <w:szCs w:val="24"/>
          <w:shd w:val="clear" w:color="auto" w:fill="auto"/>
          <w:lang w:val="en-US" w:eastAsia="en-US" w:bidi="en-US"/>
        </w:rPr>
        <w:t xml:space="preserve">Prioritatea III. 4. </w:t>
      </w:r>
      <w:r>
        <w:rPr>
          <w:color w:val="FFFFFF"/>
          <w:spacing w:val="0"/>
          <w:w w:val="100"/>
          <w:position w:val="0"/>
          <w:sz w:val="24"/>
          <w:szCs w:val="24"/>
          <w:shd w:val="clear" w:color="auto" w:fill="auto"/>
          <w:lang w:val="en-US" w:eastAsia="en-US" w:bidi="en-US"/>
        </w:rPr>
        <w:t>Recuperarea bunurilor infracfionale</w:t>
      </w:r>
    </w:p>
    <w:tbl>
      <w:tblPr>
        <w:tblOverlap w:val="never"/>
        <w:jc w:val="center"/>
        <w:tblLayout w:type="fixed"/>
      </w:tblPr>
      <w:tblGrid>
        <w:gridCol w:w="576"/>
        <w:gridCol w:w="3888"/>
        <w:gridCol w:w="1795"/>
        <w:gridCol w:w="1594"/>
        <w:gridCol w:w="2837"/>
        <w:gridCol w:w="2122"/>
        <w:gridCol w:w="1368"/>
        <w:gridCol w:w="1646"/>
      </w:tblGrid>
      <w:tr>
        <w:trPr>
          <w:trHeight w:val="581" w:hRule="exact"/>
        </w:trPr>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111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Elaborarea mecanismului de coordonare in procesul de recuperare a bunurilor infractionale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IV anul 2022</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PG,</w:t>
            </w:r>
          </w:p>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MAI,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SV, SFS</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Mecanism de coordonare in procesul de recuperare a bunurilor infractionale elaborat si functional</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oferite de institutiile responsabile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Recuperare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3048"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33</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Crearea bazei de date pentru evidenta bunurilor infractionale indisponibilizate, sechestrate sau confiscate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IV anul 2022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PG, 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MAI,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SV, SFS</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Concept tehnic al Sistemului informational automatizat ”Registrul bunurilor infractionale indisponibilizate” elaborat Regulamentul Sistemului informational automatizat ”Registrul bunurilor infractionale indisponibilizate” elaborat Baza de date dezvoltata.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oferite de institutiile responsabile Monitorul Oficial</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Recuperare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 /Surse de finantare externe disponibile</w:t>
            </w:r>
          </w:p>
        </w:tc>
      </w:tr>
      <w:tr>
        <w:trPr>
          <w:trHeight w:val="2779"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34</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Inaintarea actiunilor in regres impotriva agentilor publici condamnati pentru infractiuni de coruptie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semestriala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PG;</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MJ</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Procuratura anticoruptie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Actiunile de regres inaintate;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Hotararile in privinta agentilor publici condamnati pentru infractiuni de coruptie pronuntate;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Volumul de mijloace financiare recuperate ca urmare a actiunilor in</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institutiilor responsabile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Recuperare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576"/>
        <w:gridCol w:w="3888"/>
        <w:gridCol w:w="1795"/>
        <w:gridCol w:w="1594"/>
        <w:gridCol w:w="2837"/>
        <w:gridCol w:w="2122"/>
        <w:gridCol w:w="1368"/>
        <w:gridCol w:w="1646"/>
      </w:tblGrid>
      <w:tr>
        <w:trPr>
          <w:trHeight w:val="566" w:hRule="exact"/>
        </w:trPr>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8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regres de la agentii publici condamnati pentru infractiuni de coruptie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227"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35</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actorilor din sistemul justifiei (ofiteri de urmarire penala, procurori si judecatori) cu privire la procedurile de recuperare a bunurilor infractionale, inclusiv cu privire la sechestrarea si confiscarea speciala si extinsa, precum si cu privire la cooperarea juridica international</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INJ</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Plan de instruire elaborat. Cel putin 100 ofiteri de urmarire penala, procurori si judecatori instruiti anual</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institutiilor responsabile - agenda, listele de participanti, evaluarea instruirilor etc.</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Recuperare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 /Surse de finantare externe disponibile</w:t>
            </w:r>
          </w:p>
        </w:tc>
      </w:tr>
    </w:tbl>
    <w:p>
      <w:pPr>
        <w:widowControl w:val="0"/>
        <w:spacing w:after="419" w:line="1" w:lineRule="exact"/>
      </w:pPr>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82" w:right="0" w:firstLine="0"/>
        <w:jc w:val="left"/>
      </w:pPr>
      <w:r>
        <w:rPr>
          <w:b/>
          <w:bCs/>
          <w:color w:val="FFFFFF"/>
          <w:spacing w:val="0"/>
          <w:w w:val="100"/>
          <w:position w:val="0"/>
          <w:sz w:val="24"/>
          <w:szCs w:val="24"/>
          <w:shd w:val="clear" w:color="auto" w:fill="auto"/>
          <w:lang w:val="en-US" w:eastAsia="en-US" w:bidi="en-US"/>
        </w:rPr>
        <w:t xml:space="preserve">Prioritatea III. 5. </w:t>
      </w:r>
      <w:r>
        <w:rPr>
          <w:color w:val="FFFFFF"/>
          <w:spacing w:val="0"/>
          <w:w w:val="100"/>
          <w:position w:val="0"/>
          <w:sz w:val="24"/>
          <w:szCs w:val="24"/>
          <w:shd w:val="clear" w:color="auto" w:fill="auto"/>
          <w:lang w:val="en-US" w:eastAsia="en-US" w:bidi="en-US"/>
        </w:rPr>
        <w:t>Despagubirea victimelor corupfiei</w:t>
      </w:r>
    </w:p>
    <w:tbl>
      <w:tblPr>
        <w:tblOverlap w:val="never"/>
        <w:jc w:val="center"/>
        <w:tblLayout w:type="fixed"/>
      </w:tblPr>
      <w:tblGrid>
        <w:gridCol w:w="576"/>
        <w:gridCol w:w="3082"/>
        <w:gridCol w:w="1838"/>
        <w:gridCol w:w="1608"/>
        <w:gridCol w:w="2885"/>
        <w:gridCol w:w="3192"/>
        <w:gridCol w:w="1378"/>
        <w:gridCol w:w="1267"/>
      </w:tblGrid>
      <w:tr>
        <w:trPr>
          <w:trHeight w:val="581" w:hRule="exact"/>
        </w:trPr>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139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36</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Campanie de sensibilizare a victimelor coruptiei cu privire la dreptul lor de a obtine despagubiri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 anul 2022 -</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Spoturi audio-video sau grafice, dezvoltate si plasate pe posturile de TV, radio si pe refelele de socializare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Emisia posturilor de TV si radio, postarile pe refelele de socializare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Recuperare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Protecfie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11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37</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Elaborarea si promovarea unor ghiduri pentru victimele coruptiei privind procedurile de obfinere a despagubirilor</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 anul 2022</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 PA; CNAJGS;</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CSJ</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pufin un ghid elaborat si promovat de catre procurori si avocafii publici</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Paginile web ale institufiilor responsabile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Retele de socializare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Mass-media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Recuperare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Protecfie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949"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38</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avocatilor cu privire la asistenfa juridica acordata victimelor si parfilor vatamate in cadrul procedurilor penale privind infracfiunile de corupfie si conexe corupfiei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 anul 2022</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UA; CNAJGS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Curriculum de instruire elaborat;</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4 cursuri de instruire desfasurate Cel putin 100 avocati instruiti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institufiilor responsabile - agenda, listele de participanfi, evaluarea instruirilor etc.</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Recuperare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Protecfie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576"/>
        <w:gridCol w:w="3082"/>
        <w:gridCol w:w="1838"/>
        <w:gridCol w:w="1608"/>
        <w:gridCol w:w="2885"/>
        <w:gridCol w:w="3192"/>
        <w:gridCol w:w="1378"/>
        <w:gridCol w:w="1267"/>
      </w:tblGrid>
      <w:tr>
        <w:trPr>
          <w:trHeight w:val="566" w:hRule="exact"/>
        </w:trPr>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2227"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39</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inaintarea actiunilor de regres in interesul statului pe dosarele privind infractiuni de corupfie si conexe coruptiei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actiuni in regres inaintate/acceptate; volumul despagubirilor solicitate;</w:t>
            </w:r>
          </w:p>
          <w:p>
            <w:pPr>
              <w:pStyle w:val="Style32"/>
              <w:keepNext w:val="0"/>
              <w:keepLines w:val="0"/>
              <w:widowControl w:val="0"/>
              <w:shd w:val="clear" w:color="auto" w:fill="auto"/>
              <w:bidi w:val="0"/>
              <w:spacing w:before="0" w:after="0" w:line="240" w:lineRule="auto"/>
              <w:ind w:left="0" w:right="0" w:firstLine="140"/>
              <w:jc w:val="left"/>
            </w:pPr>
            <w:r>
              <w:rPr>
                <w:color w:val="000000"/>
                <w:spacing w:val="0"/>
                <w:w w:val="100"/>
                <w:position w:val="0"/>
                <w:sz w:val="24"/>
                <w:szCs w:val="24"/>
                <w:shd w:val="clear" w:color="auto" w:fill="auto"/>
                <w:lang w:val="en-US" w:eastAsia="en-US" w:bidi="en-US"/>
              </w:rPr>
              <w:t>Numarul de decizii finale ale instantelor de judecata si volumul sumelor recuperate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Hotaririle instantelor de judecata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Rapoartele Ministerului F inantelor/Procuraturii Generale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Recuperare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Protectie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widowControl w:val="0"/>
        <w:spacing w:after="519" w:line="1" w:lineRule="exact"/>
      </w:pP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PLAN DE ACTIl’NI:</w:t>
      </w:r>
    </w:p>
    <w:p>
      <w:pPr>
        <w:pStyle w:val="Style36"/>
        <w:keepNext/>
        <w:keepLines/>
        <w:widowControl w:val="0"/>
        <w:shd w:val="clear" w:color="auto" w:fill="auto"/>
        <w:bidi w:val="0"/>
        <w:spacing w:before="0" w:line="240" w:lineRule="auto"/>
        <w:ind w:left="0" w:right="0" w:firstLine="0"/>
        <w:jc w:val="center"/>
      </w:pPr>
      <w:bookmarkStart w:id="10" w:name="bookmark10"/>
      <w:bookmarkStart w:id="11" w:name="bookmark11"/>
      <w:r>
        <w:rPr>
          <w:color w:val="000000"/>
          <w:spacing w:val="0"/>
          <w:w w:val="100"/>
          <w:position w:val="0"/>
          <w:sz w:val="24"/>
          <w:szCs w:val="24"/>
          <w:shd w:val="clear" w:color="auto" w:fill="auto"/>
          <w:lang w:val="en-US" w:eastAsia="en-US" w:bidi="en-US"/>
        </w:rPr>
        <w:t>PILONUL IV. COMISIA ELECTORALA CENTRALA §I PARTIDELE POLITICE</w:t>
      </w:r>
      <w:bookmarkEnd w:id="10"/>
      <w:bookmarkEnd w:id="11"/>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72" w:right="0" w:firstLine="0"/>
        <w:jc w:val="left"/>
      </w:pPr>
      <w:r>
        <w:rPr>
          <w:b/>
          <w:bCs/>
          <w:color w:val="FFFFFF"/>
          <w:spacing w:val="0"/>
          <w:w w:val="100"/>
          <w:position w:val="0"/>
          <w:sz w:val="24"/>
          <w:szCs w:val="24"/>
          <w:shd w:val="clear" w:color="auto" w:fill="auto"/>
          <w:lang w:val="en-US" w:eastAsia="en-US" w:bidi="en-US"/>
        </w:rPr>
        <w:t xml:space="preserve">Prioritatea IV.1. </w:t>
      </w:r>
      <w:r>
        <w:rPr>
          <w:color w:val="FFFFFF"/>
          <w:spacing w:val="0"/>
          <w:w w:val="100"/>
          <w:position w:val="0"/>
          <w:sz w:val="24"/>
          <w:szCs w:val="24"/>
          <w:shd w:val="clear" w:color="auto" w:fill="auto"/>
          <w:lang w:val="en-US" w:eastAsia="en-US" w:bidi="en-US"/>
        </w:rPr>
        <w:t>Transparent finan^arii partidelor politice §i a campaniilor electorale</w:t>
      </w:r>
    </w:p>
    <w:tbl>
      <w:tblPr>
        <w:tblOverlap w:val="never"/>
        <w:jc w:val="center"/>
        <w:tblLayout w:type="fixed"/>
      </w:tblPr>
      <w:tblGrid>
        <w:gridCol w:w="576"/>
        <w:gridCol w:w="3278"/>
        <w:gridCol w:w="1925"/>
        <w:gridCol w:w="1627"/>
        <w:gridCol w:w="3782"/>
        <w:gridCol w:w="1915"/>
        <w:gridCol w:w="1440"/>
        <w:gridCol w:w="1282"/>
      </w:tblGrid>
      <w:tr>
        <w:trPr>
          <w:trHeight w:val="581" w:hRule="exact"/>
        </w:trPr>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3298"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Publicarea in format deschis (cu posibila reutilizare) a datelor legate de finantarea partidelor politice si a campaniilor electorale, prin crearea unui modul electronic actualizat periodic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CEC</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Modul electronic functional. Rapoartele financiare ale partidelor politice publicate pe pagina web a CEC prin intermediul modulului; Rapoartele financiare </w:t>
            </w:r>
            <w:r>
              <w:rPr>
                <w:color w:val="000000"/>
                <w:spacing w:val="0"/>
                <w:w w:val="100"/>
                <w:position w:val="0"/>
                <w:sz w:val="22"/>
                <w:szCs w:val="22"/>
                <w:shd w:val="clear" w:color="auto" w:fill="auto"/>
                <w:lang w:val="en-US" w:eastAsia="en-US" w:bidi="en-US"/>
              </w:rPr>
              <w:t xml:space="preserve">ale concurenfilor electorali </w:t>
            </w:r>
            <w:r>
              <w:rPr>
                <w:color w:val="000000"/>
                <w:spacing w:val="0"/>
                <w:w w:val="100"/>
                <w:position w:val="0"/>
                <w:sz w:val="24"/>
                <w:szCs w:val="24"/>
                <w:shd w:val="clear" w:color="auto" w:fill="auto"/>
                <w:lang w:val="en-US" w:eastAsia="en-US" w:bidi="en-US"/>
              </w:rPr>
              <w:t xml:space="preserve">privind veniturile si cheltuielile in campaniile electorale, </w:t>
            </w:r>
            <w:r>
              <w:rPr>
                <w:color w:val="000000"/>
                <w:spacing w:val="0"/>
                <w:w w:val="100"/>
                <w:position w:val="0"/>
                <w:sz w:val="22"/>
                <w:szCs w:val="22"/>
                <w:shd w:val="clear" w:color="auto" w:fill="auto"/>
                <w:lang w:val="en-US" w:eastAsia="en-US" w:bidi="en-US"/>
              </w:rPr>
              <w:t xml:space="preserve">inclusiv ale candidafilor independent in cadrul alegerilor locale </w:t>
            </w:r>
            <w:r>
              <w:rPr>
                <w:color w:val="000000"/>
                <w:spacing w:val="0"/>
                <w:w w:val="100"/>
                <w:position w:val="0"/>
                <w:sz w:val="24"/>
                <w:szCs w:val="24"/>
                <w:shd w:val="clear" w:color="auto" w:fill="auto"/>
                <w:lang w:val="en-US" w:eastAsia="en-US" w:bidi="en-US"/>
              </w:rPr>
              <w:t>- publicate pe pagina web a CEC prin intermediul modulului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Transparenfa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123"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subiectilor implicati in/interesati de gestionarea resurselor financiare ale partidelor politice si</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CEC;</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Plan si materiale de instruire elaborate.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3 instruiri realizate anual cel putin 50 persoane instruite anual</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CEC</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Lista participantilor,</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Educare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Transparenfa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576"/>
        <w:gridCol w:w="3278"/>
        <w:gridCol w:w="1925"/>
        <w:gridCol w:w="1627"/>
        <w:gridCol w:w="3782"/>
        <w:gridCol w:w="1915"/>
        <w:gridCol w:w="1440"/>
        <w:gridCol w:w="1282"/>
      </w:tblGrid>
      <w:tr>
        <w:trPr>
          <w:trHeight w:val="566" w:hRule="exact"/>
        </w:trPr>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 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56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campaniilor electorale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progres</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agenda instruirilor</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39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Publicarea de catre CEC a rapoartelor anuale privind finanfarea partidelor politice, a campaniilor electorale si in perioada electorala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anul 2021, trimestrul II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anul 2022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Rapoartele anuale publicate pe pagina web a CEC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Transparenfa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123"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4</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Publicarea rapoartelor anuale de activitate ale CEC</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Anual, in termen de 24 de ore dupa aprobarea acestora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CEC</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Rapoartele anuale publicate pe pagina web a CEC</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CEC</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Transparenfa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widowControl w:val="0"/>
        <w:spacing w:after="199" w:line="1" w:lineRule="exact"/>
      </w:pPr>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72" w:right="0" w:firstLine="0"/>
        <w:jc w:val="left"/>
      </w:pPr>
      <w:r>
        <w:rPr>
          <w:b/>
          <w:bCs/>
          <w:color w:val="FFFFFF"/>
          <w:spacing w:val="0"/>
          <w:w w:val="100"/>
          <w:position w:val="0"/>
          <w:sz w:val="24"/>
          <w:szCs w:val="24"/>
          <w:shd w:val="clear" w:color="auto" w:fill="auto"/>
          <w:lang w:val="en-US" w:eastAsia="en-US" w:bidi="en-US"/>
        </w:rPr>
        <w:t xml:space="preserve">Prioritatea IV.2. </w:t>
      </w:r>
      <w:r>
        <w:rPr>
          <w:color w:val="FFFFFF"/>
          <w:spacing w:val="0"/>
          <w:w w:val="100"/>
          <w:position w:val="0"/>
          <w:sz w:val="24"/>
          <w:szCs w:val="24"/>
          <w:shd w:val="clear" w:color="auto" w:fill="auto"/>
          <w:lang w:val="en-US" w:eastAsia="en-US" w:bidi="en-US"/>
        </w:rPr>
        <w:t>Controlul eficient al finan^arii partidelor politice §i a campaniilor electorale</w:t>
      </w:r>
    </w:p>
    <w:tbl>
      <w:tblPr>
        <w:tblOverlap w:val="never"/>
        <w:jc w:val="center"/>
        <w:tblLayout w:type="fixed"/>
      </w:tblPr>
      <w:tblGrid>
        <w:gridCol w:w="917"/>
        <w:gridCol w:w="3965"/>
        <w:gridCol w:w="1675"/>
        <w:gridCol w:w="1570"/>
        <w:gridCol w:w="2726"/>
        <w:gridCol w:w="2083"/>
        <w:gridCol w:w="1402"/>
        <w:gridCol w:w="1488"/>
      </w:tblGrid>
      <w:tr>
        <w:trPr>
          <w:trHeight w:val="566" w:hRule="exact"/>
        </w:trPr>
        <w:tc>
          <w:tcPr>
            <w:tcBorders>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4714"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5</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Dezvoltarea si asigurarea functionarii mecanismului de asigurare a accesului facilitat al publicului la informatiile privind finantarea partidelor politice si a campaniilor electorale, precum si prezentarea eficienta a rapoartelor financiare prin intermediul modulului ,,Control Financiar</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 anul 2021, trimestrul II anul 2022 - pentru publicarea rapoartelor</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CEC</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Metodologie de monitorizare, elaborata. Informatia privind rapoartele financiare ale activitatii curente a partidelor politice si a rapoartelor privind finantarea campaniilor electorale, publicata. Rapoartele anuale de monitorizare publicate. Recomandari implementate, inclusiv in cazurile de eludare de catre partide a regulilor de finanfare a partidelor politice prin</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CEC</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Transparenfa Descurajare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 surse de finantare externe disponibile</w:t>
            </w:r>
          </w:p>
        </w:tc>
      </w:tr>
    </w:tbl>
    <w:p>
      <w:pPr>
        <w:spacing w:lineRule="exact" w:line="1"/>
        <w:rPr>
          <w:sz w:val="2"/>
          <w:szCs w:val="2"/>
        </w:rPr>
      </w:pPr>
      <w:r>
        <w:br w:type="page"/>
      </w:r>
    </w:p>
    <w:tbl>
      <w:tblPr>
        <w:tblOverlap w:val="never"/>
        <w:jc w:val="center"/>
        <w:tblLayout w:type="fixed"/>
      </w:tblPr>
      <w:tblGrid>
        <w:gridCol w:w="917"/>
        <w:gridCol w:w="3965"/>
        <w:gridCol w:w="1675"/>
        <w:gridCol w:w="1570"/>
        <w:gridCol w:w="2726"/>
        <w:gridCol w:w="2083"/>
        <w:gridCol w:w="1402"/>
        <w:gridCol w:w="1488"/>
      </w:tblGrid>
      <w:tr>
        <w:trPr>
          <w:trHeight w:val="566" w:hRule="exact"/>
        </w:trPr>
        <w:tc>
          <w:tcPr>
            <w:tcBorders>
              <w:top w:val="single" w:sz="4"/>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1387"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desfasurarea unor activitafi in perioada preelectorala, Modulul „Control financiar” dezvoltat.</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94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6</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Consolidarea si dezvoltarea cunostintelor profesionale ale membrilor si funcfionarilor CEC in domeniul controlului finanfarii partidelor politice si a campaniilor electorale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2 vizite de studiu anual pentru identificarea si implementarea celor mai bune practici in domeniu, realizate</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institufiilor responsabile - agenda, listele de participanfi, evaluarea instruirilor etc.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Transparenfa Descurajare Educare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3048"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7</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Revizuirea cadrului normativ in vederea stabilirii raspunderii proporfionale si echitabile pentru incalcarea regulilor de finanfare a partidelor politice si campaniilor electorale</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III anul 2021 - pentru elaborarea proiectului; trimestrul II anul 2022 - pentru adoptarea cadrului normativ</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CEC;</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MF;</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CC;</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Propuneri de modificare a cadrului normativ elaborate si inaintate organului legislativ. Proiect de act normativ elaborat.</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Act normativ adoptat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CEC;</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Parlamentului Monitorul Oficial al RM</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939"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8</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Verificarea si publicarea rapoartelor de audit privind gestiunea financiara a partidelor politice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 anul 2022 (cel putin o data la 3 ani)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CEC;</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CC</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Rapoartele de audit privind gestiunea financiara a partidelor politice, publicate. Actele de verificare a rapoartelor de audit, publicate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CEC;</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CC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571"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9</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Clarificarea responsabilitafii si a rolului parfilor interesate/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III anul 2021 -</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CEC;</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Propuneri de modificare a cadrului normativ</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CEC;</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Transparenfa Descurajare</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917"/>
        <w:gridCol w:w="3965"/>
        <w:gridCol w:w="1675"/>
        <w:gridCol w:w="1570"/>
        <w:gridCol w:w="2726"/>
        <w:gridCol w:w="2083"/>
        <w:gridCol w:w="1402"/>
        <w:gridCol w:w="1488"/>
      </w:tblGrid>
      <w:tr>
        <w:trPr>
          <w:trHeight w:val="566" w:hRule="exact"/>
        </w:trPr>
        <w:tc>
          <w:tcPr>
            <w:tcBorders>
              <w:top w:val="single" w:sz="4"/>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2491"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observatorilor in perioadele interelectorale, inclusiv a drepturilor acestora in contextul monitorizarii modului de finanfare a partidelor politice</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pentru elaborarea proiectului; trimestrul I anul 2022 - pentru adoptarea actului normativ</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elaborate si inaintate organului legislativ Proiect de modificare a cadrului normativ elaborat.</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Cadru normativ adoptat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Parlamentului Monitorul Oficial al RM</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48"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10</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Dezvoltarea normelor metodologice si instruirea ofiferilor de urmarire penala, a procurorilor si a judecatorilor in vederea examinarii dosarelor privind finanfarea partidelor si campaniilor electora le, a cauzelor de corupere a alegatorilor si de utilizare a resurselor administrative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PG;</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CSM; CNA; MAI; CEC;</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INJ</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Normele metodologice recomandate dezvoltate; curriculum de instruire elaborat;</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3 cursuri de instruire desiasurate anual;</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50 de ofiferi de urmarire penala, procurori si judecatori instruifi;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institufiilor responsabile - agenda, listele de participanfi, evaluarea instruirilor etc.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2218"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funcfionarilor electorali privind modalitafile de identificare si de sesizare a incalcarilor privind coruperea alegatorilor si utilizarea resurselor administrative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CEC; CICDE; PA;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 MAI;</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Plan si materiale de instruire elaborate/Ghiduri; Cel putin 4 cursuri de instruire desiasurate anual;</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50 persoane instruite anual;</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institufiilor responsabile - agenda, listele de participanfi, evaluarea instruirilor etc.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 Educare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123"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12</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membrilor partidelor politice si altor grupuri de beneficiari interesati privind integritatea politica/electorala</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 al anului 2021 Trimestrul II al anului 2022</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CICDE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Plan si materiale de instruire elaborate. Cursuri de instruire desfa§urate;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institufiilor responsabile - agenda, listele de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Educare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917"/>
        <w:gridCol w:w="3965"/>
        <w:gridCol w:w="1675"/>
        <w:gridCol w:w="1570"/>
        <w:gridCol w:w="2726"/>
        <w:gridCol w:w="2083"/>
        <w:gridCol w:w="1402"/>
        <w:gridCol w:w="1488"/>
      </w:tblGrid>
      <w:tr>
        <w:trPr>
          <w:trHeight w:val="566" w:hRule="exact"/>
        </w:trPr>
        <w:tc>
          <w:tcPr>
            <w:tcBorders>
              <w:top w:val="single" w:sz="4"/>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850"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75 persoane instruite.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participanfi, evaluarea instruirilor etc.</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239" w:line="1" w:lineRule="exact"/>
      </w:pPr>
    </w:p>
    <w:p>
      <w:pPr>
        <w:pStyle w:val="Style36"/>
        <w:keepNext/>
        <w:keepLines/>
        <w:widowControl w:val="0"/>
        <w:shd w:val="clear" w:color="auto" w:fill="auto"/>
        <w:bidi w:val="0"/>
        <w:spacing w:before="0" w:line="240" w:lineRule="auto"/>
        <w:ind w:left="0" w:right="0" w:firstLine="0"/>
        <w:jc w:val="center"/>
      </w:pPr>
      <w:bookmarkStart w:id="12" w:name="bookmark12"/>
      <w:bookmarkStart w:id="13" w:name="bookmark13"/>
      <w:r>
        <w:rPr>
          <w:color w:val="000000"/>
          <w:spacing w:val="0"/>
          <w:w w:val="100"/>
          <w:position w:val="0"/>
          <w:sz w:val="24"/>
          <w:szCs w:val="24"/>
          <w:shd w:val="clear" w:color="auto" w:fill="auto"/>
          <w:lang w:val="en-US" w:eastAsia="en-US" w:bidi="en-US"/>
        </w:rPr>
        <w:t>PLAN DE ACJIUNI:</w:t>
        <w:br/>
        <w:t>PILONUL V. CURTEA DE CONTURI</w:t>
      </w:r>
      <w:bookmarkEnd w:id="12"/>
      <w:bookmarkEnd w:id="13"/>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72" w:right="0" w:firstLine="0"/>
        <w:jc w:val="left"/>
      </w:pPr>
      <w:r>
        <w:rPr>
          <w:b/>
          <w:bCs/>
          <w:color w:val="FFFFFF"/>
          <w:spacing w:val="0"/>
          <w:w w:val="100"/>
          <w:position w:val="0"/>
          <w:sz w:val="24"/>
          <w:szCs w:val="24"/>
          <w:shd w:val="clear" w:color="auto" w:fill="auto"/>
          <w:lang w:val="en-US" w:eastAsia="en-US" w:bidi="en-US"/>
        </w:rPr>
        <w:t xml:space="preserve">Prioritatea V.1. </w:t>
      </w:r>
      <w:r>
        <w:rPr>
          <w:color w:val="FFFFFF"/>
          <w:spacing w:val="0"/>
          <w:w w:val="100"/>
          <w:position w:val="0"/>
          <w:sz w:val="24"/>
          <w:szCs w:val="24"/>
          <w:shd w:val="clear" w:color="auto" w:fill="auto"/>
          <w:lang w:val="en-US" w:eastAsia="en-US" w:bidi="en-US"/>
        </w:rPr>
        <w:t>Transparent activitafa Cur fa de Conturi</w:t>
      </w:r>
    </w:p>
    <w:tbl>
      <w:tblPr>
        <w:tblOverlap w:val="never"/>
        <w:jc w:val="center"/>
        <w:tblLayout w:type="fixed"/>
      </w:tblPr>
      <w:tblGrid>
        <w:gridCol w:w="917"/>
        <w:gridCol w:w="3312"/>
        <w:gridCol w:w="2746"/>
        <w:gridCol w:w="1579"/>
        <w:gridCol w:w="2712"/>
        <w:gridCol w:w="1915"/>
        <w:gridCol w:w="1406"/>
        <w:gridCol w:w="1238"/>
      </w:tblGrid>
      <w:tr>
        <w:trPr>
          <w:trHeight w:val="581" w:hRule="exact"/>
        </w:trPr>
        <w:tc>
          <w:tcPr>
            <w:tcBorders>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840"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Selectarea de catre Parlament a organizatiei de audit pentru auditarea situatiilor financiare</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160"/>
              <w:jc w:val="left"/>
            </w:pPr>
            <w:r>
              <w:rPr>
                <w:color w:val="000000"/>
                <w:spacing w:val="0"/>
                <w:w w:val="100"/>
                <w:position w:val="0"/>
                <w:sz w:val="24"/>
                <w:szCs w:val="24"/>
                <w:shd w:val="clear" w:color="auto" w:fill="auto"/>
                <w:lang w:val="en-US" w:eastAsia="en-US" w:bidi="en-US"/>
              </w:rPr>
              <w:t>Procedura de achizitii finalizata</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Registrul de Stat al achizitiilor publice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939"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Realizarea misiunii de audit al CC, intocmirea si publicarea raportului de audit financiar al Curfii de Conturi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 CC</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Raportul de audit al rapoartelor financiare anuale ale Curtii de Conturi publicate pe paginile web a Curtii de Conturi si a Parlamentului</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Paginile web a CC si a Parlamentului Paginile oficiale ale CEC pe retelele de socializare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2218"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Publicarea de rapoarte privind mersul implementarii recomandarilor din raportul de audit al rapoartelor financiare ale Curfii de Conturi</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 conformitate cu planul de actiuni privind implementarea recomandarilor formulate in raportul de audit extern a situatiilor financiare a Curtii de Conturi, cu raportarea anuala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CC</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rapoartelor privind implementarea recomandarilor din raportul de audit al rapoartelor financiare ale Curtii de Conturi publicat pe pagina web a Curtii de Conturi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CC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123"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4</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Consultarea societafii civile inainte de aprobarea planurilor si programelor anuale de audit al Curtii de Conturi pentru anul</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III anul 2021, trimestrul III anul 2022</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CC</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4 dezbateri publice organizate de Curtea de Conturi cu reprezentanti ai societatii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CC</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 Descurajare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917"/>
        <w:gridCol w:w="3312"/>
        <w:gridCol w:w="2746"/>
        <w:gridCol w:w="1579"/>
        <w:gridCol w:w="2712"/>
        <w:gridCol w:w="1915"/>
        <w:gridCol w:w="1406"/>
        <w:gridCol w:w="1238"/>
      </w:tblGrid>
      <w:tr>
        <w:trPr>
          <w:trHeight w:val="566" w:hRule="exact"/>
        </w:trPr>
        <w:tc>
          <w:tcPr>
            <w:tcBorders>
              <w:top w:val="single" w:sz="4"/>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28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viitor</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civile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501"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5</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Crearea unui mecanism de comunicare cu donatorii externi cu privire la suspiciunile de frauda, corupfie, iregularitafi si conflicte de interese identificate de Curtea de Conturi in procesul auditului activitafii entitafilor publice care au beneficiat de asistenfa externa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CC</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Misiuni de audit initiate/realizate conform Acordurilor de finantare; Rapoarte de audit ale curtii de conturi elaborate si aprobate, remise donatorilor;</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 de audit remise donatorilor</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Programul anual al activitatii de audit;</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Hotarari ale Curtii de Conturi adoptate asupra rapoartelor de audit realizate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Recuperare Descurajare Transparenfa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widowControl w:val="0"/>
        <w:spacing w:after="419" w:line="1" w:lineRule="exact"/>
      </w:pPr>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72" w:right="0" w:firstLine="0"/>
        <w:jc w:val="left"/>
      </w:pPr>
      <w:r>
        <w:rPr>
          <w:b/>
          <w:bCs/>
          <w:color w:val="FFFFFF"/>
          <w:spacing w:val="0"/>
          <w:w w:val="100"/>
          <w:position w:val="0"/>
          <w:sz w:val="24"/>
          <w:szCs w:val="24"/>
          <w:shd w:val="clear" w:color="auto" w:fill="auto"/>
          <w:lang w:val="en-US" w:eastAsia="en-US" w:bidi="en-US"/>
        </w:rPr>
        <w:t xml:space="preserve">Prioritatea V.2 </w:t>
      </w:r>
      <w:r>
        <w:rPr>
          <w:color w:val="FFFFFF"/>
          <w:spacing w:val="0"/>
          <w:w w:val="100"/>
          <w:position w:val="0"/>
          <w:sz w:val="24"/>
          <w:szCs w:val="24"/>
          <w:shd w:val="clear" w:color="auto" w:fill="auto"/>
          <w:lang w:val="en-US" w:eastAsia="en-US" w:bidi="en-US"/>
        </w:rPr>
        <w:t>Impactul activitafii de audit</w:t>
      </w:r>
    </w:p>
    <w:tbl>
      <w:tblPr>
        <w:tblOverlap w:val="never"/>
        <w:jc w:val="center"/>
        <w:tblLayout w:type="fixed"/>
      </w:tblPr>
      <w:tblGrid>
        <w:gridCol w:w="917"/>
        <w:gridCol w:w="3653"/>
        <w:gridCol w:w="2381"/>
        <w:gridCol w:w="1613"/>
        <w:gridCol w:w="2242"/>
        <w:gridCol w:w="2323"/>
        <w:gridCol w:w="1430"/>
        <w:gridCol w:w="1267"/>
      </w:tblGrid>
      <w:tr>
        <w:trPr>
          <w:trHeight w:val="586" w:hRule="exact"/>
        </w:trPr>
        <w:tc>
          <w:tcPr>
            <w:tcBorders>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1939"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6</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auditorilor publici in vederea implementarii sistemului de certificare a auditorilor publici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indicatorului de instruire si certificare a auditorilor</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CC</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Programul de instruiri al auditorilor aprobat; Numarul instruirilor realizate;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auditorilor publici instruiti</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institufiilor responsabile - agenda, listele de participanfi, evaluarea instruirilor etc.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Recuperare 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2506"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7</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Revizuirea mecanismului de sancfionare si demotivare a entitafilor publice auditate prin responsabilizarea managementului institufional si corporativ pentru a se conforma cerinfelor Curfii de Conturi</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III anul 2021 - elaborarea pachetului de amendamente si prezentarea lui Parlamentului Trimestrul II 2022 -aprobarea proiectului de lege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CC;</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MF;</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Pachet de amendamente la cadrul legal national elaborat, consultat public si aprobat; Mecanism de sanctionare si demotivare elaborat si aplicat</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Monitorul Oficial al</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RM</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Recuperare Descurajare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PLAN DE ACTIl’NI:</w:t>
      </w:r>
    </w:p>
    <w:p>
      <w:pPr>
        <w:pStyle w:val="Style36"/>
        <w:keepNext/>
        <w:keepLines/>
        <w:widowControl w:val="0"/>
        <w:shd w:val="clear" w:color="auto" w:fill="auto"/>
        <w:bidi w:val="0"/>
        <w:spacing w:before="0" w:line="240" w:lineRule="auto"/>
        <w:ind w:left="0" w:right="0" w:firstLine="0"/>
        <w:jc w:val="center"/>
      </w:pPr>
      <w:bookmarkStart w:id="14" w:name="bookmark14"/>
      <w:bookmarkStart w:id="15" w:name="bookmark15"/>
      <w:r>
        <w:rPr>
          <w:color w:val="000000"/>
          <w:spacing w:val="0"/>
          <w:w w:val="100"/>
          <w:position w:val="0"/>
          <w:sz w:val="24"/>
          <w:szCs w:val="24"/>
          <w:shd w:val="clear" w:color="auto" w:fill="auto"/>
          <w:lang w:val="en-US" w:eastAsia="en-US" w:bidi="en-US"/>
        </w:rPr>
        <w:t>PILONUL VI. AVOCATUL POPORULUI</w:t>
      </w:r>
      <w:bookmarkEnd w:id="14"/>
      <w:bookmarkEnd w:id="15"/>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82" w:right="0" w:firstLine="0"/>
        <w:jc w:val="left"/>
      </w:pPr>
      <w:r>
        <w:rPr>
          <w:b/>
          <w:bCs/>
          <w:color w:val="FFFFFF"/>
          <w:spacing w:val="0"/>
          <w:w w:val="100"/>
          <w:position w:val="0"/>
          <w:sz w:val="24"/>
          <w:szCs w:val="24"/>
          <w:shd w:val="clear" w:color="auto" w:fill="auto"/>
          <w:lang w:val="en-US" w:eastAsia="en-US" w:bidi="en-US"/>
        </w:rPr>
        <w:t xml:space="preserve">Prioritatea VI.1. </w:t>
      </w:r>
      <w:r>
        <w:rPr>
          <w:color w:val="FFFFFF"/>
          <w:spacing w:val="0"/>
          <w:w w:val="100"/>
          <w:position w:val="0"/>
          <w:sz w:val="24"/>
          <w:szCs w:val="24"/>
          <w:shd w:val="clear" w:color="auto" w:fill="auto"/>
          <w:lang w:val="en-US" w:eastAsia="en-US" w:bidi="en-US"/>
        </w:rPr>
        <w:t>Prevenirea coruptiei pentru asigurarea respectarii drepturilor omului</w:t>
      </w:r>
    </w:p>
    <w:tbl>
      <w:tblPr>
        <w:tblOverlap w:val="never"/>
        <w:jc w:val="center"/>
        <w:tblLayout w:type="fixed"/>
      </w:tblPr>
      <w:tblGrid>
        <w:gridCol w:w="576"/>
        <w:gridCol w:w="3552"/>
        <w:gridCol w:w="2088"/>
        <w:gridCol w:w="1814"/>
        <w:gridCol w:w="3029"/>
        <w:gridCol w:w="1982"/>
        <w:gridCol w:w="1469"/>
        <w:gridCol w:w="1315"/>
      </w:tblGrid>
      <w:tr>
        <w:trPr>
          <w:trHeight w:val="581" w:hRule="exact"/>
        </w:trPr>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 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1666"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Identificarea cazurilor de prejudiciere a drepturilor omului in activitatea entitafilor publice din cauza lipsei de integritate institufionala si profesionala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Oficiul Avocatului Poporului</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Rapoartele anuale ale Avocatului Poporului publicate si prezentate in Parlament.</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Lansarea publica a rapoartelor</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Oficiului Avocatului Poporului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Protecfie Transparenfa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94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Transmiterea catre entitafile publice a obiecfiilor si propunerilor de ordin general referitoare la asigurarea drepturilor si libertafilor omului, la imbunatafirea activitafii acestora.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Oficiul</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Avocatului Poporului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Recomandari formulate, transmise entitafilor publice si publicate pe pagina web a Oficiului Avocatului Poporului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Oficiului Avocatului Poporului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Protecfie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2227"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Informarea Parlamentului cu privire la cazurile de administrare defectuoasa si de incalcare a drepturilor omului de catre entitafile publice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Oficiul</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Avocatului Poporului Parlamentul</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 anuale si, dupa caz, rapoarte speciale ale Avocatului Poporului publicate si prezentate la Parlament.</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Audieri desfa§urate in comisiile parlamentare sau in plenul Parlamentului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Oficiului Avocatului Poporului; ordinea de zi a §edinfelor Parlamentului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Protecfie Transparenfa Descurajare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72" w:right="0" w:firstLine="0"/>
        <w:jc w:val="left"/>
      </w:pPr>
      <w:r>
        <w:rPr>
          <w:b/>
          <w:bCs/>
          <w:color w:val="FFFFFF"/>
          <w:spacing w:val="0"/>
          <w:w w:val="100"/>
          <w:position w:val="0"/>
          <w:sz w:val="24"/>
          <w:szCs w:val="24"/>
          <w:shd w:val="clear" w:color="auto" w:fill="auto"/>
          <w:lang w:val="en-US" w:eastAsia="en-US" w:bidi="en-US"/>
        </w:rPr>
        <w:t>Prioritatea VI.2. Protejarea drepturilor fundamentale ale avertizorilor de integritate</w:t>
      </w:r>
    </w:p>
    <w:tbl>
      <w:tblPr>
        <w:tblOverlap w:val="never"/>
        <w:jc w:val="center"/>
        <w:tblLayout w:type="fixed"/>
      </w:tblPr>
      <w:tblGrid>
        <w:gridCol w:w="917"/>
        <w:gridCol w:w="2962"/>
        <w:gridCol w:w="1498"/>
        <w:gridCol w:w="1632"/>
        <w:gridCol w:w="3907"/>
        <w:gridCol w:w="2237"/>
        <w:gridCol w:w="1421"/>
        <w:gridCol w:w="1253"/>
      </w:tblGrid>
      <w:tr>
        <w:trPr>
          <w:trHeight w:val="581" w:hRule="exact"/>
        </w:trPr>
        <w:tc>
          <w:tcPr>
            <w:tcBorders>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194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4</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Completarea Legii cu privire la Avocatul Poporului (Ombudsmanul) pentru a conferi Avocatului Poporului competenta de protejare a avertizorilor de integritate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w:t>
            </w:r>
          </w:p>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II 2021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Ministerul justitiei Parlamentul; Oficiul Avocatului Poporului;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Proiectul de modificare a legii elaborat.</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Lege adoptata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MJ;</w:t>
            </w:r>
          </w:p>
          <w:p>
            <w:pPr>
              <w:pStyle w:val="Style32"/>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Monitorul Oficial al</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RM</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Protectie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94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5</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Fortificarea capacitatilor angajatilor Oficiului Avocatului Poporului pentru examinarea eficienta a cererilor de protectie a avertizorilor de integritate.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Oficiul Avocatului Poporului;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Curriculum de instruire elaborat, Cel putin 2 instruiri/ateliere de lucru desfasurate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160"/>
              <w:jc w:val="left"/>
            </w:pPr>
            <w:r>
              <w:rPr>
                <w:color w:val="000000"/>
                <w:spacing w:val="0"/>
                <w:w w:val="100"/>
                <w:position w:val="0"/>
                <w:sz w:val="24"/>
                <w:szCs w:val="24"/>
                <w:shd w:val="clear" w:color="auto" w:fill="auto"/>
                <w:lang w:val="en-US" w:eastAsia="en-US" w:bidi="en-US"/>
              </w:rPr>
              <w:t>Agenda, listele de participanti, evaluarea instruirilor etc.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Protectie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1939"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6</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Instruirea agentilor publici cu privire la institutia avertizorilor de integritate si respectarea drepturilor omului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raportare semestriala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Oficiul Avocatului Poporului;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Agenda instruirii elaborata.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Cel putin 3 instruiri desfasurate anual Cel putin 75 persoane instruite anual</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institutiilor responsabile - agenda, listele de participanti, evaluarea instruirilor etc.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Educare Protectie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2506"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7</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Inaintarea actelor de reactionare catre autoritatile publice pentru protejarea avertizorilor de integritate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raportare semestriala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Oficiul Avocatului Poporului</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 de acte de reactionare ale Avocatului Poporului pentru protejarea avertizorilor de integritate (avize cu recomandari, cereri de chemare in judecata, demersuri de pornire a urmaririi penale sau de initiere a procedurii disciplinare). Numar de avertizori de integritate asistati anual.</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institutiei responsabile;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Protectie</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Descurajare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PLAN DE ACTIUNI:</w:t>
      </w:r>
    </w:p>
    <w:p>
      <w:pPr>
        <w:pStyle w:val="Style36"/>
        <w:keepNext/>
        <w:keepLines/>
        <w:widowControl w:val="0"/>
        <w:shd w:val="clear" w:color="auto" w:fill="auto"/>
        <w:bidi w:val="0"/>
        <w:spacing w:before="0" w:after="200" w:line="240" w:lineRule="auto"/>
        <w:ind w:left="0" w:right="0" w:firstLine="0"/>
        <w:jc w:val="center"/>
      </w:pPr>
      <w:bookmarkStart w:id="16" w:name="bookmark16"/>
      <w:bookmarkStart w:id="17" w:name="bookmark17"/>
      <w:r>
        <w:rPr>
          <w:color w:val="000000"/>
          <w:spacing w:val="0"/>
          <w:w w:val="100"/>
          <w:position w:val="0"/>
          <w:sz w:val="24"/>
          <w:szCs w:val="24"/>
          <w:shd w:val="clear" w:color="auto" w:fill="auto"/>
          <w:lang w:val="en-US" w:eastAsia="en-US" w:bidi="en-US"/>
        </w:rPr>
        <w:t>PILONUL VII. SECTORUL PRIVAT</w:t>
      </w:r>
      <w:bookmarkEnd w:id="16"/>
      <w:bookmarkEnd w:id="17"/>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82" w:right="0" w:firstLine="0"/>
        <w:jc w:val="left"/>
      </w:pPr>
      <w:r>
        <w:rPr>
          <w:b/>
          <w:bCs/>
          <w:color w:val="FFFFFF"/>
          <w:spacing w:val="0"/>
          <w:w w:val="100"/>
          <w:position w:val="0"/>
          <w:sz w:val="24"/>
          <w:szCs w:val="24"/>
          <w:shd w:val="clear" w:color="auto" w:fill="auto"/>
          <w:lang w:val="en-US" w:eastAsia="en-US" w:bidi="en-US"/>
        </w:rPr>
        <w:t xml:space="preserve">Prioritatea VII.1. </w:t>
      </w:r>
      <w:r>
        <w:rPr>
          <w:color w:val="FFFFFF"/>
          <w:spacing w:val="0"/>
          <w:w w:val="100"/>
          <w:position w:val="0"/>
          <w:sz w:val="24"/>
          <w:szCs w:val="24"/>
          <w:shd w:val="clear" w:color="auto" w:fill="auto"/>
          <w:lang w:val="en-US" w:eastAsia="en-US" w:bidi="en-US"/>
        </w:rPr>
        <w:t>Transparent sectorului privat in relafiile sale cu sectorul public</w:t>
      </w:r>
    </w:p>
    <w:tbl>
      <w:tblPr>
        <w:tblOverlap w:val="never"/>
        <w:jc w:val="center"/>
        <w:tblLayout w:type="fixed"/>
      </w:tblPr>
      <w:tblGrid>
        <w:gridCol w:w="576"/>
        <w:gridCol w:w="4003"/>
        <w:gridCol w:w="1795"/>
        <w:gridCol w:w="1800"/>
        <w:gridCol w:w="2750"/>
        <w:gridCol w:w="2222"/>
        <w:gridCol w:w="1421"/>
        <w:gridCol w:w="1258"/>
      </w:tblGrid>
      <w:tr>
        <w:trPr>
          <w:trHeight w:val="581" w:hRule="exact"/>
        </w:trPr>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 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2491"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accesului public la Registrul de stat al persoanelor juridice, actualizat permanent, ce confine urmatoarele int'ormatii despre societafile comerciale: domeniile de activitate, numele fondatorilor, ale acfionarilor si ale beneficiarilor efectivi inclusiv sediul persoanei juridice si existenta sucursalelor</w:t>
            </w:r>
          </w:p>
        </w:tc>
        <w:tc>
          <w:tcPr>
            <w:tcBorders>
              <w:top w:val="single" w:sz="4"/>
              <w:left w:val="single" w:sz="4"/>
            </w:tcBorders>
            <w:shd w:val="clear" w:color="auto" w:fill="FFFFFF"/>
            <w:vAlign w:val="center"/>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center"/>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MJ;</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MEI;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Agentia Servicii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Publice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Registrul publicat pe pagina web, fiind asigurat accesul public. Actualizarea permanenta a Registrului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Agentiei Servicii Publice;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date.gov.md</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2227"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Organizarea de consultari publice periodice intre reprezentantii sectorului public si ai mediului de afaceri cu privire la politicile de integritate si anticoruptie cu impact asupra activitatii economice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MEI;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Asociatiile de Business (CCI, AmCham); (responsabilitate comuna)</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consultari publice organizate cu reprezentantii intreprinderilor mici, mijlocii, mari si asociatiile de afaceri. Recomandari si solufii identificate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institutiilor responsabile - agenda, listele de participanti; Sinteza recomandarilor inaintate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widowControl w:val="0"/>
        <w:spacing w:after="519" w:line="1" w:lineRule="exact"/>
      </w:pPr>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0" w:right="0" w:firstLine="0"/>
        <w:jc w:val="both"/>
      </w:pPr>
      <w:r>
        <w:rPr>
          <w:b/>
          <w:bCs/>
          <w:color w:val="FFFFFF"/>
          <w:spacing w:val="0"/>
          <w:w w:val="100"/>
          <w:position w:val="0"/>
          <w:sz w:val="24"/>
          <w:szCs w:val="24"/>
          <w:shd w:val="clear" w:color="auto" w:fill="auto"/>
          <w:lang w:val="en-US" w:eastAsia="en-US" w:bidi="en-US"/>
        </w:rPr>
        <w:t xml:space="preserve">Prioritatea VII.2. </w:t>
      </w:r>
      <w:r>
        <w:rPr>
          <w:color w:val="FFFFFF"/>
          <w:spacing w:val="0"/>
          <w:w w:val="100"/>
          <w:position w:val="0"/>
          <w:sz w:val="24"/>
          <w:szCs w:val="24"/>
          <w:shd w:val="clear" w:color="auto" w:fill="auto"/>
          <w:lang w:val="en-US" w:eastAsia="en-US" w:bidi="en-US"/>
        </w:rPr>
        <w:t>Sporirea integritatii in activitatea intreprinderilor cu cota de capital integrals sau majoritara de stat/municipala</w:t>
      </w:r>
    </w:p>
    <w:tbl>
      <w:tblPr>
        <w:tblOverlap w:val="never"/>
        <w:jc w:val="center"/>
        <w:tblLayout w:type="fixed"/>
      </w:tblPr>
      <w:tblGrid>
        <w:gridCol w:w="576"/>
        <w:gridCol w:w="2947"/>
        <w:gridCol w:w="1704"/>
        <w:gridCol w:w="1997"/>
        <w:gridCol w:w="3768"/>
        <w:gridCol w:w="2189"/>
        <w:gridCol w:w="1406"/>
        <w:gridCol w:w="1238"/>
      </w:tblGrid>
      <w:tr>
        <w:trPr>
          <w:trHeight w:val="581" w:hRule="exact"/>
        </w:trPr>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 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1675"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Monitorizarea adoptarii si implementarii masurilor prevazute in registrele riscurilor de coruptie si/sau in planurile de integritate pentru intreprinderile cu</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entitatile publice care controleaza intreprinderi cu cota de capital</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Registrele riscurilor de coruptie si/sau planurile de integritate ale intreprinderilor de stat/municipale, aprobate. Rapoartele privind implementarea masurilor prevazute in registrele riscurilor si/sau in</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Paginile web ale entitatilor publice responsabile ( fondatorilor); Paginile web ale intreprinderilor cu</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576"/>
        <w:gridCol w:w="2947"/>
        <w:gridCol w:w="1704"/>
        <w:gridCol w:w="1997"/>
        <w:gridCol w:w="3768"/>
        <w:gridCol w:w="2189"/>
        <w:gridCol w:w="1406"/>
        <w:gridCol w:w="1238"/>
      </w:tblGrid>
      <w:tr>
        <w:trPr>
          <w:trHeight w:val="566" w:hRule="exact"/>
        </w:trPr>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 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center"/>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111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cota de capital integrala sau majoritara de stat/municipala</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integrala sau majoritara de stat/ municipala</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planurile de integritate, publicate pe paginile web ale intreprinderilor de stat/municipale sau ale entitafilor publice care le controleaza</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cota de capital integrala sau majoritara de stat/municipala</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70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4</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Modificarea Legii privind accesul la informatie nr.982/2000 in vederea includerii intreprinderilor cu cota de capital integrala sau majoritara de stat/municipala in calitate de furnizori de informatii, care au obligatia de a raspunde la cererile solicitantilor si de a furniza informatiile cu caracter public, cu precizarea care sunt acele informatii publice detinute de respectivele intreprinderi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 anul 2021 pentru elaborare;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IV anul 2021 pentru adoptare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MJ</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MEI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Parlamentul</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Proiect de lege elaborat si adoptat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Monitorul Oficial al</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RM</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2779"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5</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Efectuarea periodica a auditului de performanfa si a inspectiilor financiare la intreprinderile cu cota de capital integrala sau majoritara de stat/municipala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CC; IF;</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entitafile publice care controleaza intreprinderi cu cota de capital integrala sau majoritara de stat/ municipala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controale ale CC si rezultatele lor.</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Rapoarte CC publicate pe pagina web.</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Recomandarile CC implementate. Alte rapoarte de audit efectuate si publicate.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inspectari financiare realizate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 CC Pagina web a intreprinderilor cu cota de capital integrala sau majoritara de stat/municipala Pagina web a Agentiei Proprietatii Publice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 Transparenfa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p>
      <w:pPr>
        <w:pStyle w:val="Style29"/>
        <w:keepNext w:val="0"/>
        <w:keepLines w:val="0"/>
        <w:widowControl w:val="0"/>
        <w:pBdr>
          <w:top w:val="single" w:sz="0" w:space="0" w:color="32849C"/>
          <w:left w:val="single" w:sz="0" w:space="0" w:color="32849C"/>
          <w:bottom w:val="single" w:sz="0" w:space="0" w:color="32849C"/>
          <w:right w:val="single" w:sz="0" w:space="0" w:color="32849C"/>
        </w:pBdr>
        <w:shd w:val="clear" w:color="auto" w:fill="32849C"/>
        <w:bidi w:val="0"/>
        <w:spacing w:before="0" w:after="0" w:line="240" w:lineRule="auto"/>
        <w:ind w:left="72" w:right="0" w:firstLine="0"/>
        <w:jc w:val="left"/>
      </w:pPr>
      <w:r>
        <w:rPr>
          <w:b/>
          <w:bCs/>
          <w:color w:val="FFFFFF"/>
          <w:spacing w:val="0"/>
          <w:w w:val="100"/>
          <w:position w:val="0"/>
          <w:sz w:val="24"/>
          <w:szCs w:val="24"/>
          <w:shd w:val="clear" w:color="auto" w:fill="auto"/>
          <w:lang w:val="en-US" w:eastAsia="en-US" w:bidi="en-US"/>
        </w:rPr>
        <w:t xml:space="preserve">Prioritatea VII.3. </w:t>
      </w:r>
      <w:r>
        <w:rPr>
          <w:color w:val="FFFFFF"/>
          <w:spacing w:val="0"/>
          <w:w w:val="100"/>
          <w:position w:val="0"/>
          <w:sz w:val="24"/>
          <w:szCs w:val="24"/>
          <w:shd w:val="clear" w:color="auto" w:fill="auto"/>
          <w:lang w:val="en-US" w:eastAsia="en-US" w:bidi="en-US"/>
        </w:rPr>
        <w:t>Etica afacerilor</w:t>
      </w:r>
    </w:p>
    <w:tbl>
      <w:tblPr>
        <w:tblOverlap w:val="never"/>
        <w:jc w:val="center"/>
        <w:tblLayout w:type="fixed"/>
      </w:tblPr>
      <w:tblGrid>
        <w:gridCol w:w="576"/>
        <w:gridCol w:w="2866"/>
        <w:gridCol w:w="2314"/>
        <w:gridCol w:w="2386"/>
        <w:gridCol w:w="3043"/>
        <w:gridCol w:w="1829"/>
        <w:gridCol w:w="1378"/>
        <w:gridCol w:w="1435"/>
      </w:tblGrid>
      <w:tr>
        <w:trPr>
          <w:trHeight w:val="581" w:hRule="exact"/>
        </w:trPr>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Nr. crt.</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left w:val="single" w:sz="4"/>
              <w:righ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387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6</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Promovarea codului-model de etica in afaceri si de guvernanta corporativa pentru societatile comerciale cu scopul de a asigura exercitarea corecta a activitatilor economice, a preveni conflictele de interese si a incuraja aplicarea bunelor practici comerciale de catre intreprinderi, atit in relatiile dintre ele, cit si in relafiile cu statul</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MEI;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APP;</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CCI; 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entitafile publice care controleaza intreprinderi cu cota de capital integrala sau majoritara de stat/ municipal;</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Asociatiile de Business (CCI, AmCham)</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Modele de coduri de etica in afaceri si de guvernanta corporativa plasate de paginile web a autoritatilor responsabile.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societatilor pe actiuni si intreprinderilor cu cota de capital integrala sau majoritara de stat/municipala care au adoptat coduri de etica in afaceri si de guvernanta corporativa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Paginile web ale institutiilor responsabile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387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7</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Imbunatatirea cadrului normativ in domeniul filantropiei si sponsorizarilor pentru a asigura publicarea de catre societatile comerciale (varianta II: intreprinderile cu cota de capital integrala sau majoritara de stat/municipala) a informatiilor ce se refera la donatiile in scopuri filantropice si sponsorizare efectuate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IV anul</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2021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MJ</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Guvernul Parlamentul</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Proiecte de acte normative elaborate si prezentate spre examinare si aprobare / adoptare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Acte normative aprobate / Legi adoptate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Monitorul Oficial al RM</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Transparenta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r>
        <w:trPr>
          <w:trHeight w:val="576" w:hRule="exact"/>
        </w:trPr>
        <w:tc>
          <w:tcPr>
            <w:tcBorders>
              <w:top w:val="single" w:sz="4"/>
              <w:left w:val="single" w:sz="4"/>
              <w:bottom w:val="single" w:sz="4"/>
            </w:tcBorders>
            <w:shd w:val="clear" w:color="auto" w:fill="FFFFFF"/>
            <w:vAlign w:val="center"/>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8</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Promovarea in rindul comunitatii de afaceri a</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 MEI;</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Materiale de instruire elaborate si distribuite.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Educare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w:t>
            </w:r>
          </w:p>
        </w:tc>
      </w:tr>
    </w:tbl>
    <w:p>
      <w:pPr>
        <w:spacing w:lineRule="exact" w:line="1"/>
        <w:rPr>
          <w:sz w:val="2"/>
          <w:szCs w:val="2"/>
        </w:rPr>
      </w:pPr>
      <w:r>
        <w:br w:type="page"/>
      </w:r>
    </w:p>
    <w:tbl>
      <w:tblPr>
        <w:tblOverlap w:val="never"/>
        <w:jc w:val="center"/>
        <w:tblLayout w:type="fixed"/>
      </w:tblPr>
      <w:tblGrid>
        <w:gridCol w:w="576"/>
        <w:gridCol w:w="2866"/>
        <w:gridCol w:w="2314"/>
        <w:gridCol w:w="2386"/>
        <w:gridCol w:w="3043"/>
        <w:gridCol w:w="1829"/>
        <w:gridCol w:w="1378"/>
        <w:gridCol w:w="1435"/>
      </w:tblGrid>
      <w:tr>
        <w:trPr>
          <w:trHeight w:val="566" w:hRule="exact"/>
        </w:trPr>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 crt.</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Acfiunea</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Termenul de realizare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Institufia responsabila</w:t>
            </w:r>
          </w:p>
        </w:tc>
        <w:tc>
          <w:tcPr>
            <w:tcBorders>
              <w:top w:val="single" w:sz="4"/>
              <w:left w:val="single" w:sz="4"/>
            </w:tcBorders>
            <w:shd w:val="clear" w:color="auto" w:fill="DBE5F1"/>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Indicator de progres</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verificare</w:t>
            </w:r>
          </w:p>
        </w:tc>
        <w:tc>
          <w:tcPr>
            <w:tcBorders>
              <w:top w:val="single" w:sz="4"/>
              <w:lef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Obiectiv corelativ</w:t>
            </w:r>
          </w:p>
        </w:tc>
        <w:tc>
          <w:tcPr>
            <w:tcBorders>
              <w:top w:val="single" w:sz="4"/>
              <w:left w:val="single" w:sz="4"/>
              <w:right w:val="single" w:sz="4"/>
            </w:tcBorders>
            <w:shd w:val="clear" w:color="auto" w:fill="DBE5F1"/>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Sursa de finanfare</w:t>
            </w:r>
          </w:p>
        </w:tc>
      </w:tr>
      <w:tr>
        <w:trPr>
          <w:trHeight w:val="277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standardelor internafionale de prevenire a corupfiei in sectorul privat (ISO 37001:2016 „Sisteme de management anticorupfie. Cerinfe si recomandari de implementare”) si a codului-model de etica in afaceri si de guvernanfa corporativa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CNPF;</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Asociatiile de Business (CCI, AmCham);</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instruiri desfasurate cu reprezentanfi ai mediului de afaceri.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persoane instruite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institufiilor responsabile - agenda, listele de participanfi, evaluarea instruirilor etc.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Transparenfa</w:t>
            </w:r>
          </w:p>
        </w:tc>
        <w:tc>
          <w:tcPr>
            <w:tcBorders>
              <w:top w:val="single" w:sz="4"/>
              <w:left w:val="single" w:sz="4"/>
              <w:right w:val="single" w:sz="4"/>
            </w:tcBorders>
            <w:shd w:val="clear" w:color="auto" w:fill="FFFFFF"/>
            <w:vAlign w:val="top"/>
          </w:tcPr>
          <w:p>
            <w:pPr>
              <w:widowControl w:val="0"/>
              <w:rPr>
                <w:sz w:val="10"/>
                <w:szCs w:val="10"/>
              </w:rPr>
            </w:pPr>
          </w:p>
        </w:tc>
      </w:tr>
      <w:tr>
        <w:trPr>
          <w:trHeight w:val="2218"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9</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Acordarea suportului consultativ asociatiilor de afaceri privind implementarea mecanismelor de integritate in sectorul privat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Permanent, cu verificarea anuala a indicatorilor de progres</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Asociatiile de Business (CCI, AmCham);</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de instruiri desfasurate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asociatiilor de afaceri instruite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solicitarilor de instruire receptionate</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Confirmari din partea institufiilor responsabile - agenda, listele de participanfi, evaluarea instruirilor etc.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Educare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Transparenfa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 Resursele partenerilor de dezvoltare</w:t>
            </w:r>
          </w:p>
        </w:tc>
      </w:tr>
      <w:tr>
        <w:trPr>
          <w:trHeight w:val="194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10</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Elaborarea si publicarea documentelor suport (model) pentru mediul privat privind standardele de integritate in sectorul privat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III anul</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2022</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MEI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Asociatiile de Business (CCI, AmCham); (responsabilitate comuna)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Documente de suport elaborate si publicate pe pagina web</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Pagina web 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 Resursele partenerilor de dezvoltare</w:t>
            </w:r>
          </w:p>
        </w:tc>
      </w:tr>
      <w:tr>
        <w:trPr>
          <w:trHeight w:val="1675"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11</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Organizarea concursului „Marca comerciala a anului” la nominatia „Implementarea standardelor de integritate in sectorul privat”</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 al anului 2021</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Trimestrul II al anului 2022</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CNA;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CCI</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Criterii de selectie elaborate Numarul de aplicati la nominatia „Implementarea standardelor de integritate in sectorul privat”</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Paginile web ale institutiilor responsabile</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Etica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Descurajare</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Mijloace bugetare Resursele partenerilor de dezvoltare</w:t>
            </w:r>
          </w:p>
        </w:tc>
      </w:tr>
    </w:tbl>
    <w:p>
      <w:pPr>
        <w:sectPr>
          <w:headerReference w:type="default" r:id="rId11"/>
          <w:footnotePr>
            <w:pos w:val="pageBottom"/>
            <w:numFmt w:val="decimal"/>
            <w:numRestart w:val="continuous"/>
          </w:footnotePr>
          <w:pgSz w:w="16840" w:h="11900" w:orient="landscape"/>
          <w:pgMar w:top="1171" w:left="414" w:right="528" w:bottom="1047" w:header="0" w:footer="619" w:gutter="0"/>
          <w:pgNumType w:start="3"/>
          <w:cols w:space="720"/>
          <w:noEndnote/>
          <w:rtlGutter w:val="0"/>
          <w:docGrid w:linePitch="360"/>
        </w:sectPr>
      </w:pPr>
    </w:p>
    <w:p>
      <w:pPr>
        <w:pStyle w:val="Style29"/>
        <w:keepNext w:val="0"/>
        <w:keepLines w:val="0"/>
        <w:widowControl w:val="0"/>
        <w:shd w:val="clear" w:color="auto" w:fill="auto"/>
        <w:bidi w:val="0"/>
        <w:spacing w:before="0" w:after="0" w:line="240" w:lineRule="auto"/>
        <w:ind w:left="82" w:right="0" w:firstLine="0"/>
        <w:jc w:val="left"/>
      </w:pPr>
      <w:r>
        <w:rPr>
          <w:b/>
          <w:bCs/>
          <w:i w:val="0"/>
          <w:iCs w:val="0"/>
          <w:color w:val="000000"/>
          <w:spacing w:val="0"/>
          <w:w w:val="100"/>
          <w:position w:val="0"/>
          <w:sz w:val="24"/>
          <w:szCs w:val="24"/>
          <w:shd w:val="clear" w:color="auto" w:fill="auto"/>
          <w:lang w:val="en-US" w:eastAsia="en-US" w:bidi="en-US"/>
        </w:rPr>
        <w:t>LISTA DE ABREVIERI UTILIZATE IN PLANURILE DE ACJIUNI</w:t>
      </w:r>
    </w:p>
    <w:tbl>
      <w:tblPr>
        <w:tblOverlap w:val="never"/>
        <w:jc w:val="center"/>
        <w:tblLayout w:type="fixed"/>
      </w:tblPr>
      <w:tblGrid>
        <w:gridCol w:w="1478"/>
        <w:gridCol w:w="8338"/>
      </w:tblGrid>
      <w:tr>
        <w:trPr>
          <w:trHeight w:val="293"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AAP</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Agenfia Achizifii Publice</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APP</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Agenfia Proprietafii Publice</w:t>
            </w:r>
          </w:p>
        </w:tc>
      </w:tr>
      <w:tr>
        <w:trPr>
          <w:trHeight w:val="283"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ANI</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Autoritatea Nationala de Integritate</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820"/>
              <w:jc w:val="both"/>
            </w:pPr>
            <w:r>
              <w:rPr>
                <w:b/>
                <w:bCs/>
                <w:color w:val="002060"/>
                <w:spacing w:val="0"/>
                <w:w w:val="100"/>
                <w:position w:val="0"/>
                <w:sz w:val="24"/>
                <w:szCs w:val="24"/>
                <w:shd w:val="clear" w:color="auto" w:fill="auto"/>
                <w:lang w:val="en-US" w:eastAsia="en-US" w:bidi="en-US"/>
              </w:rPr>
              <w:t>APC</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Autoritati publice centrale</w:t>
            </w:r>
          </w:p>
        </w:tc>
      </w:tr>
      <w:tr>
        <w:trPr>
          <w:trHeight w:val="283"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APL</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Autoritafi publice locale</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CALM</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Congresul Autoritafilor Locale din Moldova</w:t>
            </w:r>
          </w:p>
        </w:tc>
      </w:tr>
      <w:tr>
        <w:trPr>
          <w:trHeight w:val="283"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CC</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Curtea de Conturi</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CA</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Consiliul Audiovizualului</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CCI</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Camera de Comerf si Industrie</w:t>
            </w:r>
          </w:p>
        </w:tc>
      </w:tr>
      <w:tr>
        <w:trPr>
          <w:trHeight w:val="283"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CtEDO</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Curtea Europeana a Drepturilor Omului</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CEC</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Comisia Electorala Centrala</w:t>
            </w:r>
          </w:p>
        </w:tc>
      </w:tr>
      <w:tr>
        <w:trPr>
          <w:trHeight w:val="283"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CICDE</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Centrul de Instruire Continua in Domeniul Electoral</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CNA</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Centrul Nafional Anticorupfie</w:t>
            </w:r>
          </w:p>
        </w:tc>
      </w:tr>
      <w:tr>
        <w:trPr>
          <w:trHeight w:val="283"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CNAJGS</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Consiliul Nafional pentru Asistenfa Juridica Garantata de Stat</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CNAM</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Compania Nafionala de Asigurari in Medicina</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CNPF</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Comisia Nafionala a Piefei Financiare</w:t>
            </w:r>
          </w:p>
        </w:tc>
      </w:tr>
      <w:tr>
        <w:trPr>
          <w:trHeight w:val="283"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CS</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Cancelaria de Stat</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CSJ</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Curtea Suprema de Justifie</w:t>
            </w:r>
          </w:p>
        </w:tc>
      </w:tr>
      <w:tr>
        <w:trPr>
          <w:trHeight w:val="283"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CSM</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Consiliul Superior al Magistraturii</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CSP</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Consiliul Superior al Procurorilor</w:t>
            </w:r>
          </w:p>
        </w:tc>
      </w:tr>
      <w:tr>
        <w:trPr>
          <w:trHeight w:val="283"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GRECO</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Grupul de State impotriva Corupfiei</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IF</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Inspectia Financiara</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INJ</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Institutul Nafional al Justifiei</w:t>
            </w:r>
          </w:p>
        </w:tc>
      </w:tr>
      <w:tr>
        <w:trPr>
          <w:trHeight w:val="283"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MAI</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Ministerul Afacerilor Interne</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MADRM</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Ministerul Agriculturii, Dezvoltarii Regionale si Mediului</w:t>
            </w:r>
          </w:p>
        </w:tc>
      </w:tr>
      <w:tr>
        <w:trPr>
          <w:trHeight w:val="283"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MEI</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Ministerul Economiei si Infrastructure</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MECC</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Ministerul Educafiei, Culturii si Cercetarii</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MF</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Ministerul Finanfelor</w:t>
            </w:r>
          </w:p>
        </w:tc>
      </w:tr>
      <w:tr>
        <w:trPr>
          <w:trHeight w:val="283"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MJ</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Ministerul Justifiei</w:t>
            </w:r>
          </w:p>
        </w:tc>
      </w:tr>
      <w:tr>
        <w:trPr>
          <w:trHeight w:val="298" w:hRule="exact"/>
        </w:trPr>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MSMPS</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Ministerul Sanatafii, Muncii si Protectiei Sociale</w:t>
            </w:r>
          </w:p>
        </w:tc>
      </w:tr>
    </w:tbl>
    <w:p>
      <w:pPr>
        <w:sectPr>
          <w:footnotePr>
            <w:pos w:val="pageBottom"/>
            <w:numFmt w:val="decimal"/>
            <w:numRestart w:val="continuous"/>
          </w:footnotePr>
          <w:pgSz w:w="16840" w:h="11900" w:orient="landscape"/>
          <w:pgMar w:top="1602" w:left="452" w:right="6572" w:bottom="1126" w:header="0" w:footer="698" w:gutter="0"/>
          <w:cols w:space="720"/>
          <w:noEndnote/>
          <w:rtlGutter w:val="0"/>
          <w:docGrid w:linePitch="360"/>
        </w:sectPr>
      </w:pPr>
    </w:p>
    <w:tbl>
      <w:tblPr>
        <w:tblOverlap w:val="never"/>
        <w:jc w:val="left"/>
        <w:tblLayout w:type="fixed"/>
      </w:tblPr>
      <w:tblGrid>
        <w:gridCol w:w="1478"/>
        <w:gridCol w:w="8338"/>
      </w:tblGrid>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ONU</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Organizafia Nafiunilor Unite</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PA</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Procuratura Anticorupfie</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PG</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Procuratura Generala</w:t>
            </w:r>
          </w:p>
        </w:tc>
      </w:tr>
      <w:tr>
        <w:trPr>
          <w:trHeight w:val="283"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SFS</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Serviciul Fiscal de Stat</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SIS</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Serviciul de Informafii si Securitate</w:t>
            </w:r>
          </w:p>
        </w:tc>
      </w:tr>
      <w:tr>
        <w:trPr>
          <w:trHeight w:val="283"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SNI</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Sistemul Nafional de Integritate</w:t>
            </w:r>
          </w:p>
        </w:tc>
      </w:tr>
      <w:tr>
        <w:trPr>
          <w:trHeight w:val="288"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SV</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Serviciul Vamal</w:t>
            </w:r>
          </w:p>
        </w:tc>
      </w:tr>
      <w:tr>
        <w:trPr>
          <w:trHeight w:val="283" w:hRule="exact"/>
        </w:trPr>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002060"/>
                <w:spacing w:val="0"/>
                <w:w w:val="100"/>
                <w:position w:val="0"/>
                <w:sz w:val="24"/>
                <w:szCs w:val="24"/>
                <w:shd w:val="clear" w:color="auto" w:fill="auto"/>
                <w:lang w:val="en-US" w:eastAsia="en-US" w:bidi="en-US"/>
              </w:rPr>
              <w:t>UARM</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Uniunea Avocafilor a Republicii Moldova</w:t>
            </w:r>
          </w:p>
        </w:tc>
      </w:tr>
      <w:tr>
        <w:trPr>
          <w:trHeight w:val="298" w:hRule="exact"/>
        </w:trPr>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b/>
                <w:bCs/>
                <w:color w:val="1F3864"/>
                <w:spacing w:val="0"/>
                <w:w w:val="100"/>
                <w:position w:val="0"/>
                <w:sz w:val="24"/>
                <w:szCs w:val="24"/>
                <w:shd w:val="clear" w:color="auto" w:fill="auto"/>
                <w:lang w:val="en-US" w:eastAsia="en-US" w:bidi="en-US"/>
              </w:rPr>
              <w:t>AmCham</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Camera de Comert Americana din Moldova</w:t>
            </w:r>
          </w:p>
        </w:tc>
      </w:tr>
    </w:tbl>
    <w:p>
      <w:pPr>
        <w:widowControl w:val="0"/>
        <w:spacing w:after="859" w:line="1" w:lineRule="exact"/>
      </w:pPr>
    </w:p>
    <w:p>
      <w:pPr>
        <w:pStyle w:val="Style27"/>
        <w:keepNext/>
        <w:keepLines/>
        <w:widowControl w:val="0"/>
        <w:shd w:val="clear" w:color="auto" w:fill="auto"/>
        <w:bidi w:val="0"/>
        <w:spacing w:before="0" w:after="480" w:line="240" w:lineRule="auto"/>
        <w:ind w:left="0" w:right="0" w:firstLine="0"/>
        <w:jc w:val="center"/>
      </w:pPr>
      <w:bookmarkStart w:id="18" w:name="bookmark18"/>
      <w:bookmarkStart w:id="19" w:name="bookmark19"/>
      <w:r>
        <w:rPr>
          <w:b/>
          <w:bCs/>
          <w:color w:val="000000"/>
          <w:spacing w:val="0"/>
          <w:w w:val="100"/>
          <w:position w:val="0"/>
          <w:shd w:val="clear" w:color="auto" w:fill="auto"/>
          <w:lang w:val="en-US" w:eastAsia="en-US" w:bidi="en-US"/>
        </w:rPr>
        <w:t xml:space="preserve">Art. 2 </w:t>
      </w:r>
      <w:r>
        <w:rPr>
          <w:color w:val="000000"/>
          <w:spacing w:val="0"/>
          <w:w w:val="100"/>
          <w:position w:val="0"/>
          <w:shd w:val="clear" w:color="auto" w:fill="auto"/>
          <w:lang w:val="en-US" w:eastAsia="en-US" w:bidi="en-US"/>
        </w:rPr>
        <w:t>- Prezenta Hotarare de Parlament intra in vigoare la data publicarii in Monitorul Oficia l al Republicii Moldova.</w:t>
      </w:r>
      <w:bookmarkEnd w:id="18"/>
      <w:bookmarkEnd w:id="19"/>
    </w:p>
    <w:p>
      <w:pPr>
        <w:pStyle w:val="Style24"/>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pgSz w:w="16840" w:h="11900" w:orient="landscape"/>
          <w:pgMar w:top="1353" w:left="452" w:right="783" w:bottom="1353" w:header="0" w:footer="925" w:gutter="0"/>
          <w:cols w:space="720"/>
          <w:noEndnote/>
          <w:rtlGutter w:val="0"/>
          <w:docGrid w:linePitch="360"/>
        </w:sectPr>
      </w:pPr>
      <w:r>
        <w:rPr>
          <w:b/>
          <w:bCs/>
          <w:color w:val="000000"/>
          <w:spacing w:val="0"/>
          <w:w w:val="100"/>
          <w:position w:val="0"/>
          <w:shd w:val="clear" w:color="auto" w:fill="auto"/>
          <w:lang w:val="en-US" w:eastAsia="en-US" w:bidi="en-US"/>
        </w:rPr>
        <w:t>PRE^EDINTELE PARLAMENTULUI</w:t>
      </w: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SINTEZA</w:t>
      </w: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obiecfiilor si propunerilor (recomandarilor)</w:t>
      </w:r>
    </w:p>
    <w:p>
      <w:pPr>
        <w:pStyle w:val="Style12"/>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z w:val="24"/>
          <w:szCs w:val="24"/>
          <w:shd w:val="clear" w:color="auto" w:fill="auto"/>
          <w:lang w:val="en-US" w:eastAsia="en-US" w:bidi="en-US"/>
        </w:rPr>
        <w:t>la proiectul Hotararii privind modificarea Hotararii Parlamentului nr. 56 din 30 martie 2017</w:t>
        <w:br/>
        <w:t>pentru aprobarea Strategiei Nationale de Integritate si Anticoruptie pentru anii 2017-2020,</w:t>
        <w:br/>
        <w:t>parvenite de la entitatile publice</w:t>
      </w:r>
    </w:p>
    <w:tbl>
      <w:tblPr>
        <w:tblOverlap w:val="never"/>
        <w:jc w:val="center"/>
        <w:tblLayout w:type="fixed"/>
      </w:tblPr>
      <w:tblGrid>
        <w:gridCol w:w="715"/>
        <w:gridCol w:w="1843"/>
        <w:gridCol w:w="8645"/>
        <w:gridCol w:w="4402"/>
      </w:tblGrid>
      <w:tr>
        <w:trPr>
          <w:trHeight w:val="1397"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Participantul la avizare (expertizare) /consultare public:!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Confinutul obiecfiei/propunerii (recomandarii)</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Argumentarea autorului proiectului</w:t>
            </w:r>
          </w:p>
        </w:tc>
      </w:tr>
      <w:tr>
        <w:trPr>
          <w:trHeight w:val="2218" w:hRule="exact"/>
        </w:trPr>
        <w:tc>
          <w:tcPr>
            <w:vMerge w:val="restart"/>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1.</w:t>
            </w:r>
          </w:p>
        </w:tc>
        <w:tc>
          <w:tcPr>
            <w:vMerge w:val="restart"/>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Oficiul Avocatului Poporului</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Pe tot parcursul textului Strategiei, in special la pilonul VI, la rubrica autoritatea responsabila, de inlocuit sintagma ''Avocatul Poporului” cu sintagma ''Oficiul Avocatului Poporului”. Conform Legii nr. 164/2015 pentru aprobarea Regulamentului de organizare si funcfionare a Oficiului Avocatului Poporului, Oficiul este subordonat Avocatului Poporului si acorda asistenfa organizatorica, juridica, informational si tehnica Avocatului Poporului in vederea exercitarii de catre acesta a atribufiilor sale. Respectiv, la lista de abrevieri utilizate in planurile de actiuni, se propune introducerea sintagmei ”OAP -Oficiul Avocatului Poporului”.</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1387"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La Prioritatea VI.l. Prevenirea corupfiei pentru asigurarea respectarii drepturilor omului, acfiunea 2 se propune ajustarea formulatii utilizate la prevederile Legii nr. </w:t>
            </w:r>
            <w:r>
              <w:rPr>
                <w:color w:val="000000"/>
                <w:spacing w:val="0"/>
                <w:w w:val="100"/>
                <w:position w:val="0"/>
                <w:sz w:val="24"/>
                <w:szCs w:val="24"/>
                <w:shd w:val="clear" w:color="auto" w:fill="auto"/>
                <w:lang w:val="ru-RU" w:eastAsia="ru-RU" w:bidi="ru-RU"/>
              </w:rPr>
              <w:t xml:space="preserve">164/2015, </w:t>
            </w:r>
            <w:r>
              <w:rPr>
                <w:color w:val="000000"/>
                <w:spacing w:val="0"/>
                <w:w w:val="100"/>
                <w:position w:val="0"/>
                <w:sz w:val="24"/>
                <w:szCs w:val="24"/>
                <w:shd w:val="clear" w:color="auto" w:fill="auto"/>
                <w:lang w:val="en-US" w:eastAsia="en-US" w:bidi="en-US"/>
              </w:rPr>
              <w:t>si expunerea acesteia in urmatoarea redacfie: ''Transmiterea catre entitafile publice a obiectiilor si propunerilor de ordin general referitoare la asigurarea drepturilor si libertafilor omului, la imbunatafirea activitafii acestora”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840"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Prioritatea VI 2. Protejarea drepturilor fundamentale ale avertizorilor de integritate, acfiunea 5, rubrica ''Indicatori de progres” se propune expunerea in urmatoarea redacfie: ''Curriculum de instruire elaborat, Cel pufin 2 instruiri/ateliere de lucru desfasurate”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2218"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acfiunea 7, se propune modificarea indicatorilor de progres, dupa cum urmeaza: ''Numar de acte de reacfionare ale Avocatului Poporului pentru protejarea avertizorilor de integritate (avize cu recomandari, cereri de chemare in judecata, demersuri de pornire a urmaririi penale sau de inifiere a procedurii disciplinare). Numar de avertizori de integritate asistafi anual.</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sursa de verificare din aceeasi acfiune se propune excluderea sintagmei ''hotariri ale instanfelor de judecata”, deoarece acestea se confin la sursa confirmari din partea institufiei responsabile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571" w:hRule="exact"/>
        </w:trPr>
        <w:tc>
          <w:tcPr>
            <w:tcBorders>
              <w:top w:val="single" w:sz="4"/>
              <w:left w:val="single" w:sz="4"/>
              <w:bottom w:val="single" w:sz="4"/>
            </w:tcBorders>
            <w:shd w:val="clear" w:color="auto" w:fill="FFFFFF"/>
            <w:vAlign w:val="center"/>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2.</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C omisia N</w:t>
            </w:r>
            <w:r>
              <w:rPr>
                <w:color w:val="000000"/>
                <w:spacing w:val="0"/>
                <w:w w:val="100"/>
                <w:position w:val="0"/>
                <w:sz w:val="24"/>
                <w:szCs w:val="24"/>
                <w:shd w:val="clear" w:color="auto" w:fill="auto"/>
                <w:lang w:val="en-US" w:eastAsia="en-US" w:bidi="en-US"/>
              </w:rPr>
              <w:t xml:space="preserve">. </w:t>
            </w:r>
            <w:r>
              <w:rPr>
                <w:b/>
                <w:bCs/>
                <w:color w:val="000000"/>
                <w:spacing w:val="0"/>
                <w:w w:val="100"/>
                <w:position w:val="0"/>
                <w:sz w:val="24"/>
                <w:szCs w:val="24"/>
                <w:shd w:val="clear" w:color="auto" w:fill="auto"/>
                <w:lang w:val="en-US" w:eastAsia="en-US" w:bidi="en-US"/>
              </w:rPr>
              <w:t>ationala a</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pilonul VII ”</w:t>
            </w:r>
            <w:r>
              <w:rPr>
                <w:i/>
                <w:iCs/>
                <w:color w:val="000000"/>
                <w:spacing w:val="0"/>
                <w:w w:val="100"/>
                <w:position w:val="0"/>
                <w:sz w:val="24"/>
                <w:szCs w:val="24"/>
                <w:shd w:val="clear" w:color="auto" w:fill="auto"/>
                <w:lang w:val="en-US" w:eastAsia="en-US" w:bidi="en-US"/>
              </w:rPr>
              <w:t>Sectorulprivat. Prioritatea VII.3. Etica afacerilor”</w:t>
            </w:r>
            <w:r>
              <w:rPr>
                <w:color w:val="000000"/>
                <w:spacing w:val="0"/>
                <w:w w:val="100"/>
                <w:position w:val="0"/>
                <w:sz w:val="24"/>
                <w:szCs w:val="24"/>
                <w:shd w:val="clear" w:color="auto" w:fill="auto"/>
                <w:lang w:val="en-US" w:eastAsia="en-US" w:bidi="en-US"/>
              </w:rPr>
              <w:t>, consideram imperios necesara excluderea CNPF din lista institutiilor responsabile de implementarea act.7, luand</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387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Pietei</w:t>
            </w:r>
          </w:p>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Financiare</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in considerare ca elaborarea codului-model de etica in afaceri si de guvernanta corporativa, implicit pentru societatile cu raspundere limitata, reprezinta o actiune improprie ariei de competenta a CNPF.</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Acest fapt deriva din prevederile Legii-cadru nr.192/1998, care in niciun caz nu confera prerogative aferente eticii in afaceri si guvernantei corporative pentru societatile comerciale. Mai mult, CNPF fiind autoritatea care nu beneficiaza de suport bugetar (finante publice), este in imposibilitate de a atrage/colecta alocatiile de rigoare (conform Planului de actiuni ”</w:t>
            </w:r>
            <w:r>
              <w:rPr>
                <w:i/>
                <w:iCs/>
                <w:color w:val="000000"/>
                <w:spacing w:val="0"/>
                <w:w w:val="100"/>
                <w:position w:val="0"/>
                <w:sz w:val="24"/>
                <w:szCs w:val="24"/>
                <w:shd w:val="clear" w:color="auto" w:fill="auto"/>
                <w:lang w:val="en-US" w:eastAsia="en-US" w:bidi="en-US"/>
              </w:rPr>
              <w:t>Pilonul VII. Sectorul privat. Prioritatea VII.3. Etica afacerilor, Sursa de fmantare - mijloace bugetare”'),</w:t>
            </w:r>
            <w:r>
              <w:rPr>
                <w:color w:val="000000"/>
                <w:spacing w:val="0"/>
                <w:w w:val="100"/>
                <w:position w:val="0"/>
                <w:sz w:val="24"/>
                <w:szCs w:val="24"/>
                <w:shd w:val="clear" w:color="auto" w:fill="auto"/>
                <w:lang w:val="en-US" w:eastAsia="en-US" w:bidi="en-US"/>
              </w:rPr>
              <w:t xml:space="preserve"> pentru desfasurarea actiunilor preconizate in Strategie. Mai curand, cu titlu de opinie, prerogativele in cauza constituie parte indispensabila a institutiilor guvernamentale (ME, de exemplu). CNPF - autoritate responsabila de reglementarea sectorului non-bancar, si-a exercitat competentele doar in privinta protectiei drepturilor participantilor pietei propriu-zise, inclusiv actionarilor, aproband in acest sens Codul de guvernanta corporativa.</w:t>
            </w:r>
          </w:p>
        </w:tc>
        <w:tc>
          <w:tcPr>
            <w:tcBorders>
              <w:top w:val="single" w:sz="4"/>
              <w:left w:val="single" w:sz="4"/>
              <w:right w:val="single" w:sz="4"/>
            </w:tcBorders>
            <w:shd w:val="clear" w:color="auto" w:fill="FFFFFF"/>
            <w:vAlign w:val="top"/>
          </w:tcPr>
          <w:p>
            <w:pPr>
              <w:widowControl w:val="0"/>
              <w:rPr>
                <w:sz w:val="10"/>
                <w:szCs w:val="10"/>
              </w:rPr>
            </w:pPr>
          </w:p>
        </w:tc>
      </w:tr>
      <w:tr>
        <w:trPr>
          <w:trHeight w:val="3600"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en-US" w:eastAsia="en-US" w:bidi="en-US"/>
              </w:rPr>
              <w:t>3.</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3 </w:t>
            </w:r>
            <w:r>
              <w:rPr>
                <w:b/>
                <w:bCs/>
                <w:color w:val="000000"/>
                <w:spacing w:val="0"/>
                <w:w w:val="100"/>
                <w:position w:val="0"/>
                <w:sz w:val="24"/>
                <w:szCs w:val="24"/>
                <w:shd w:val="clear" w:color="auto" w:fill="auto"/>
                <w:lang w:val="en-US" w:eastAsia="en-US" w:bidi="en-US"/>
              </w:rPr>
              <w:t xml:space="preserve">Ministerul </w:t>
            </w:r>
            <w:r>
              <w:rPr>
                <w:color w:val="000000"/>
                <w:spacing w:val="0"/>
                <w:w w:val="100"/>
                <w:position w:val="0"/>
                <w:sz w:val="24"/>
                <w:szCs w:val="24"/>
                <w:shd w:val="clear" w:color="auto" w:fill="auto"/>
                <w:lang w:val="en-US" w:eastAsia="en-US" w:bidi="en-US"/>
              </w:rPr>
              <w:t xml:space="preserve">. </w:t>
            </w:r>
            <w:r>
              <w:rPr>
                <w:b/>
                <w:bCs/>
                <w:color w:val="000000"/>
                <w:spacing w:val="0"/>
                <w:w w:val="100"/>
                <w:position w:val="0"/>
                <w:sz w:val="24"/>
                <w:szCs w:val="24"/>
                <w:shd w:val="clear" w:color="auto" w:fill="auto"/>
                <w:lang w:val="en-US" w:eastAsia="en-US" w:bidi="en-US"/>
              </w:rPr>
              <w:t>Afacerilor Interne</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Pilonul II. Guvernul, sectorul public si administratia publica locala, Prioritatea II. 1. Promovarea integritatii in cadrul autoritatilor publice: La actiunea nr. 3 si nr. 4, la rubrica „indicator de progres”, sintagmele „desemnarea persoanei responsabile de actualizarea permanenta a Registrului electronic al subiectilor declararii averii si a intereselor personale”, „Persoana responsabila de tinerea Registrului” si „Registrele de evidenta a conflictelor de interese” se propune sa fie substituite cu sintagmele „persoane responsabile de actualizarea permanenta a Registrului electronic al subiectilor declararii averii si a intereselor personale desemnate prin act normativ al conducatorului entitatii”, „persoane responsabile de tinerea Registrului desemnate prin act normativ al conducatorului entitatii”, „Registre de evidenta a conflictelor de interese aprobate”. Or, indicatorii de progres trebuie sa fie specifici, clari si masurabili, astfel incat sa fie posibila stabilirea gradului de implementare a actiunii propuse. Obiectia este valabila si in raport cu indicatorii de progres similari stabiliti la actiunile nr. 5, nr. 6 si nr. 7.</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1387"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actiunea nr. 9, la rubrica „indicatori de progres”, sintagma „lista partilor interesate” se propune de substituit cu textul „lista partilor interesate elaborata si publicata pe pagina web a entitatii publice”, corespunzator cerintelor stabilite la pct. 4) al Hotararii Guvernului nr. 967/2016 cu privire la mecanismul de consultare publica cu societatea civila in procesul decizional.</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1402"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Prioritatea II.2. Abordarea sectoriala a coruptiei: Actiunea nr. 19, se considera irelevanta continuitatea implementarii Planului sectorial de actiuni anticoruptie in domeniul asigurarii ordinii publice pentru anii 2018-2020, aprobat prin Hotararea Guvernului nr. 597/2018, intrucat actiunile pe care le prevede acesta au fost implementate de subdiviziunile responsabile ale MAI, cu atat mai mult ca, 23 de actiuni</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Nu se accepta.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Strategia Nationala de Integritate si Anticoruptie pentru anii 2017-2020 include abordarea sectoriala a fenomenului coruptiei prin coordonarea aprobarii a 9</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553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din 38 de actiuni incluse in planul sectorial sunt prevazute si in proiectul SNIA. Respectiv, obiectivele prevazute in planul sectorial vor putea fi implementate in continuare prin intermediul Planurilor de actiuni privind implementarea SNIA.</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tabs>
                <w:tab w:pos="1392" w:val="left"/>
                <w:tab w:pos="4157" w:val="righ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planuri sectoriale anticoruptie in domeniile vulnerabile, precum si a planurilor locale anticoruptie de catre autoritatile publice locale de nivelul II. Intrucit, adesea impactul unor documente de politici nationale nu se materializeaza suficient la nivel sectorial, local si la nivelul contactului cetateanului cu prestatorul de servicii publice,</w:t>
              <w:tab/>
              <w:t>asigurarea</w:t>
              <w:tab/>
              <w:t>continuitatii</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implementarii planurilor sectoriale/locale anticoruptie, va permite atingerea unor rezultate cuantificabile si durabile.</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Actiunea nr. 19, lasa la latitudinea autoritatilor responsabile conform Hotaririi de Guvern nr. 676/2017, modul de asigurarea a continuitatii acestui proces, fie prin extinderea termenului de realizare a actiunilor incluse in Planurile sectoriale pentru perioada 2018-2020, fie prin elaborare unui document nou.</w:t>
            </w:r>
          </w:p>
        </w:tc>
      </w:tr>
      <w:tr>
        <w:trPr>
          <w:trHeight w:val="4714"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La Pilonul III. Justitia si autoritatile anticoruptie, Prioritatea III.1. Integritatea autoritatilor anticoruptie si a organelor de ocrotire a normelor de drept:</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Actiunile nr. 1 si nr. 2, care se refera la instruirea initiala si continua a poligrafologilor si dotarea cu aparate poligraf, mentionam ca, nu vor putea fi realizate de MAI in termenul indicat, intrucat implementarea acestora presupune cheltuieli financiare suplimentare, care nu au o acoperire financiara in legea bugetului sau in Cadrul bugetar pe termen mediu (CBTM) pentru perioada </w:t>
            </w:r>
            <w:r>
              <w:rPr>
                <w:color w:val="000000"/>
                <w:spacing w:val="0"/>
                <w:w w:val="100"/>
                <w:position w:val="0"/>
                <w:sz w:val="24"/>
                <w:szCs w:val="24"/>
                <w:shd w:val="clear" w:color="auto" w:fill="auto"/>
                <w:lang w:val="ru-RU" w:eastAsia="ru-RU" w:bidi="ru-RU"/>
              </w:rPr>
              <w:t>2021</w:t>
              <w:softHyphen/>
            </w:r>
            <w:r>
              <w:rPr>
                <w:color w:val="000000"/>
                <w:spacing w:val="0"/>
                <w:w w:val="100"/>
                <w:position w:val="0"/>
                <w:sz w:val="24"/>
                <w:szCs w:val="24"/>
                <w:shd w:val="clear" w:color="auto" w:fill="auto"/>
                <w:lang w:val="en-US" w:eastAsia="en-US" w:bidi="en-US"/>
              </w:rPr>
            </w:r>
            <w:r>
              <w:rPr>
                <w:color w:val="000000"/>
                <w:spacing w:val="0"/>
                <w:w w:val="100"/>
                <w:position w:val="0"/>
                <w:sz w:val="24"/>
                <w:szCs w:val="24"/>
                <w:shd w:val="clear" w:color="auto" w:fill="auto"/>
                <w:lang w:val="ru-RU" w:eastAsia="ru-RU" w:bidi="ru-RU"/>
              </w:rPr>
              <w:t>2023.</w:t>
            </w:r>
            <w:r>
              <w:rPr>
                <w:color w:val="000000"/>
                <w:spacing w:val="0"/>
                <w:w w:val="100"/>
                <w:position w:val="0"/>
                <w:sz w:val="24"/>
                <w:szCs w:val="24"/>
                <w:shd w:val="clear" w:color="auto" w:fill="auto"/>
                <w:lang w:val="en-US" w:eastAsia="en-US" w:bidi="en-US"/>
              </w:rPr>
              <w:t xml:space="preserve"> Respectiv, se considera inoportun includerea unor actiuni care din start nu vor putea fi realizate din lipsa mijloacelor financiare alocate in acest sens. Or, limitele de cheltuieli aprobate autoritatilor publice iau in considerare austeritatea bugetului si sunt indreptate prioritar spre acoperirea cheltuielilor de personal si altor actiuni primordiale.</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Nu se accepta</w:t>
            </w:r>
          </w:p>
          <w:p>
            <w:pPr>
              <w:pStyle w:val="Style32"/>
              <w:keepNext w:val="0"/>
              <w:keepLines w:val="0"/>
              <w:widowControl w:val="0"/>
              <w:shd w:val="clear" w:color="auto" w:fill="auto"/>
              <w:tabs>
                <w:tab w:pos="648" w:val="left"/>
                <w:tab w:pos="1699" w:val="left"/>
                <w:tab w:pos="3034" w:val="left"/>
                <w:tab w:pos="3950"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Proiectul de modificare a planului de actiuni al</w:t>
              <w:tab/>
              <w:t>SNIA</w:t>
              <w:tab/>
              <w:t>intervine</w:t>
              <w:tab/>
              <w:t>doar</w:t>
              <w:tab/>
              <w:t>cu</w:t>
            </w:r>
          </w:p>
          <w:p>
            <w:pPr>
              <w:pStyle w:val="Style32"/>
              <w:keepNext w:val="0"/>
              <w:keepLines w:val="0"/>
              <w:widowControl w:val="0"/>
              <w:shd w:val="clear" w:color="auto" w:fill="auto"/>
              <w:tabs>
                <w:tab w:pos="2198" w:val="left"/>
                <w:tab w:pos="3782"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modificari/completari de precizare si de extindere a termenului pentru actiunile care nu au fost realizate in termen si care sunt pendinte fie a actiunilor cu caracter permanent. Notam faptul ca actiunea 1 si 2 de la Prioritatea III.1 au fost programate pentru realizare in anii 2017-2020, autoritatile responsabile urmand sa identifice, inclusiv sa prevada cheltuielile respective in CBTM. Omisiunea respectiva (neprogramarea mijloacelor bugetare in CBTM), urmeaza a fi solutionata prin examinarea oportunitatii atragerii surselor extrabugetare,</w:t>
              <w:tab/>
              <w:t>inclusiv</w:t>
              <w:tab/>
              <w:t>prin</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2501"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tabs>
                <w:tab w:pos="696" w:val="left"/>
                <w:tab w:pos="1349" w:val="left"/>
                <w:tab w:pos="2482" w:val="left"/>
                <w:tab w:pos="3000" w:val="left"/>
                <w:tab w:pos="3874"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programarea/solicitarea acestor surse in cadrul programelor/proiectelor partenerilor de dezvoltare si formularea unor solicitari exprese argumentate. Atentionam ca excluderea acestei actiuni risca sa afecteze intregul lant al actorilor care in activitatea lor</w:t>
              <w:tab/>
              <w:t>de</w:t>
              <w:tab/>
              <w:t>selectie</w:t>
              <w:tab/>
              <w:t>a</w:t>
              <w:tab/>
              <w:t>unor</w:t>
              <w:tab/>
              <w:t>noi</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angajati/colaboratori urmeaza sa aplice testul la poligraf.</w:t>
            </w:r>
          </w:p>
        </w:tc>
      </w:tr>
      <w:tr>
        <w:trPr>
          <w:trHeight w:val="6907"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4.</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Consiliul Audiovizualulu i</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La „Pilonul VII, Sectorul Privat, Prioritatea VII.1. Transparenta sectorului privat in relatiile sale cu sectorul public”, pct. 3 prevede „Revizuirea legislatiei in vederea reglementarii mecanismului de stabilire a nivelului de audienta a institutiilor mass</w:t>
              <w:softHyphen/>
              <w:t>media”, termenul de realizare este „Trimestrul III anul 2021”, institutiile responsabile fiind „CCA si MJ”.</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 acest sens este de mentionat ca la 01 ianuarie 2019 a intrat in vigoare Codul serviciilor media audiovizuale care prevede reglementari in domeniul cotelor de audienta din domeniul audiovizualului (art. 29 si 30 din Cod).</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La fel, prin Decizia nr. 25/168 din 09.10.2018, Consiliul a aprobat „Regulamentul privind</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procedura si conditiile de organizare si desfasurare a licitatiei pentru selectarea companiei care efectueaza masurarea cotelor de audienta”.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Prin Decizia nr. 15/49 din 18 martie 2019 Consiliul a luat act de Decizia Comisiei de licitatie din data de 15 martie 2019, prin care a fost selectat, ca urmare a licitatiei, masuratorul de audienta - ICS „TV MR MLD” SRL, care este reprezentantul oficial in Republica Moldova al companiei AGB Nielsen Media Research, si initierea negocierilor individuale intre posturile de televiziune si compania respectiva, si a declarat inchisa licitatia pentru selectarea companiei care va efectua masurarea cotelor de audienta.</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In acest sens, Consiliul Audiovizualului propune de a exclude actiunea indicata la pct. 3, Pilonul VII, Sectorul Privat, Prioritatea VII.1. Transparenta sectorului privat in relatiile sale cu sectorul public, din proiectul Hotararii Parlamentului privind modificarea si completarea Hotararii Parlamentului nr. 56 din 30 martie 2017, avand in vedere faptul ca actiunea respectiva in domeniul audiovizualului a fost realizata de catre Consiliul Audiovizualului.</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850"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5.</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Comisia</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Electoral</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Centrala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Potrivit regulilor tehnicii legislative, daca un numar este format din doua sau mai multe cifre, pentru identificarea acestuia se foloseste cuv6ntul ,,numarul" sau ,,cifrele", si nu</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566"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,,cifra". In acest context, propunem ca la Articolul unic, pct. 1 al proiectului de hotarire, cuvintul ,,cifra" si se substituie prin cuv6ntul,,numdrul".</w:t>
            </w:r>
          </w:p>
        </w:tc>
        <w:tc>
          <w:tcPr>
            <w:tcBorders>
              <w:top w:val="single" w:sz="4"/>
              <w:left w:val="single" w:sz="4"/>
              <w:right w:val="single" w:sz="4"/>
            </w:tcBorders>
            <w:shd w:val="clear" w:color="auto" w:fill="FFFFFF"/>
            <w:vAlign w:val="top"/>
          </w:tcPr>
          <w:p>
            <w:pPr>
              <w:widowControl w:val="0"/>
              <w:rPr>
                <w:sz w:val="10"/>
                <w:szCs w:val="10"/>
              </w:rPr>
            </w:pPr>
          </w:p>
        </w:tc>
      </w:tr>
      <w:tr>
        <w:trPr>
          <w:trHeight w:val="221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privire la ,,Prioritatea IV.1., Conform normei imperative stabilite la art. 56 alin. (1) din Legea nr. 100/2017 cu privire la actele normative ,,Actele normative intri in vigoare peste o luni de la data publicarii in Monitorul Oficial al Republicii Moldova sau la data indicata in textul actului normativ, care nu poate fi anterioara datei publicarii". in redactia actual6, proiectul de hotarire nu prevede nici o reglementare cu referire la intrarea in vigoare a actului normativ. Astfel, pentru a fi asigurata punerea in aplicare a dispozitiilor actului normativ, recomandam fixarea momentului intrarii in vigoare a actului prezentat spre avizare.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194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privire la ,,Prioritatea IV.1., la actiunea nr.2 ,Instruirea subiectilor implicati/interesati de gestionarea resurselor financiare ale partidelor politice Si campaniile electorale", consideram ca rubrica ,Sursa de verificare" trebuie completata cu mentiunea ,,retele de socializare". In activitatea de promovare a imaginii sale Comisia Electorala Centrala asigura publicarea anunturilor sau altor materiale pe contul sau de Facebook in scopul aducerii la cunostinta publica a evenimentelor (inclusiv a seminarelor de instruire) organizate de organul electoral.</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Se accepta parfial.</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Sursa de verificare va fi completata cu mentiunea “paginile oficiale ale CEC pe retelele de socializare”</w:t>
            </w:r>
          </w:p>
        </w:tc>
      </w:tr>
      <w:tr>
        <w:trPr>
          <w:trHeight w:val="497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privire la ,,Prioritatea IV.1., la actiunea nr. 3 ,publicarea de catre CEC a rapoartelor anuale privind finantarea partidelor politice si a campaniilor electorale", termenul de realizare a acestei actiuni ,,trimestrul II anului 2021, trimestrul II al anului 2022" , propunem a fi completat cu textul ,,si in perioada electorala". In context, rapoartele privind finantarea campaniilor electorale se prezinta organului electoral competent in conditiile art. 43 din Codul electoral, care prevede la alin. (4) cd ,,rapoartele sunt plasate pe pagina web a Comisiei Electorale Centrale in termen de 48 de ore de la primirea lor respectind legislatia cu privire la protectia datelor cu caracter personal", iar alin. (6) al aceluiasi articol stabileste ca ,,rapoartele privind finantarea campaniilor electorale pentru intreaga perioada electorala se vor prezenta la Comisia Electorala Centrala de catre concurentii electorali inregistrati cel tirziu cu 2 zile inainte de ziua alegerilor. Rapoartele se publica pe pagina oficiala a Comisiei Electorale Centrale in termen de 48 de ore de la receptionarea lor, respectind legislatia cu privire la protectia datelor cu caracter personal".</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Avind in vedere normele legale citate mai sus, conchidem ca perioada electorala,/campania electorala nu intotdeauna coincide cu termenul de realizare propus de autorii proiectului pentru realizarea actiunii respective in partea ce line de publicarea rapoartelor privind finantarea campaniilor electorale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571"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privire la „Prioritatea IV.1., la actiunea nr.4 ,publicarea rapoartelor anuale de activitate ale CEC', termenul de</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3053"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realizare a acestei actiuni, conform proiectului de hotarire, este indicat ,,trimestrul I anul </w:t>
            </w:r>
            <w:r>
              <w:rPr>
                <w:color w:val="000000"/>
                <w:spacing w:val="0"/>
                <w:w w:val="100"/>
                <w:position w:val="0"/>
                <w:sz w:val="24"/>
                <w:szCs w:val="24"/>
                <w:shd w:val="clear" w:color="auto" w:fill="auto"/>
                <w:lang w:val="ru-RU" w:eastAsia="ru-RU" w:bidi="ru-RU"/>
              </w:rPr>
              <w:t xml:space="preserve">2021, </w:t>
            </w:r>
            <w:r>
              <w:rPr>
                <w:color w:val="000000"/>
                <w:spacing w:val="0"/>
                <w:w w:val="100"/>
                <w:position w:val="0"/>
                <w:sz w:val="24"/>
                <w:szCs w:val="24"/>
                <w:shd w:val="clear" w:color="auto" w:fill="auto"/>
                <w:lang w:val="en-US" w:eastAsia="en-US" w:bidi="en-US"/>
              </w:rPr>
              <w:t xml:space="preserve">trimestrul I anul </w:t>
            </w:r>
            <w:r>
              <w:rPr>
                <w:color w:val="000000"/>
                <w:spacing w:val="0"/>
                <w:w w:val="100"/>
                <w:position w:val="0"/>
                <w:sz w:val="24"/>
                <w:szCs w:val="24"/>
                <w:shd w:val="clear" w:color="auto" w:fill="auto"/>
                <w:lang w:val="ru-RU" w:eastAsia="ru-RU" w:bidi="ru-RU"/>
              </w:rPr>
              <w:t>2022" .</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 acest sens, mentionam ca raportul anual de activitate a Comisiei Electorale Centrale se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aprobi prin hotaririle, in conditiile art. </w:t>
            </w:r>
            <w:r>
              <w:rPr>
                <w:color w:val="000000"/>
                <w:spacing w:val="0"/>
                <w:w w:val="100"/>
                <w:position w:val="0"/>
                <w:sz w:val="24"/>
                <w:szCs w:val="24"/>
                <w:shd w:val="clear" w:color="auto" w:fill="auto"/>
                <w:lang w:val="ru-RU" w:eastAsia="ru-RU" w:bidi="ru-RU"/>
              </w:rPr>
              <w:t xml:space="preserve">18 </w:t>
            </w:r>
            <w:r>
              <w:rPr>
                <w:color w:val="000000"/>
                <w:spacing w:val="0"/>
                <w:w w:val="100"/>
                <w:position w:val="0"/>
                <w:sz w:val="24"/>
                <w:szCs w:val="24"/>
                <w:shd w:val="clear" w:color="auto" w:fill="auto"/>
                <w:lang w:val="en-US" w:eastAsia="en-US" w:bidi="en-US"/>
              </w:rPr>
              <w:t xml:space="preserve">din Codul electoral, iar potrivit alin. </w:t>
            </w:r>
            <w:r>
              <w:rPr>
                <w:color w:val="000000"/>
                <w:spacing w:val="0"/>
                <w:w w:val="100"/>
                <w:position w:val="0"/>
                <w:sz w:val="24"/>
                <w:szCs w:val="24"/>
                <w:shd w:val="clear" w:color="auto" w:fill="auto"/>
                <w:lang w:val="ru-RU" w:eastAsia="ru-RU" w:bidi="ru-RU"/>
              </w:rPr>
              <w:t xml:space="preserve">(5) </w:t>
            </w:r>
            <w:r>
              <w:rPr>
                <w:color w:val="000000"/>
                <w:spacing w:val="0"/>
                <w:w w:val="100"/>
                <w:position w:val="0"/>
                <w:sz w:val="24"/>
                <w:szCs w:val="24"/>
                <w:shd w:val="clear" w:color="auto" w:fill="auto"/>
                <w:lang w:val="en-US" w:eastAsia="en-US" w:bidi="en-US"/>
              </w:rPr>
              <w:t xml:space="preserve">din articolul mentionat, hotaririle Comisiei Electorale Centrale se plaseaza, in termen de </w:t>
            </w:r>
            <w:r>
              <w:rPr>
                <w:color w:val="000000"/>
                <w:spacing w:val="0"/>
                <w:w w:val="100"/>
                <w:position w:val="0"/>
                <w:sz w:val="24"/>
                <w:szCs w:val="24"/>
                <w:shd w:val="clear" w:color="auto" w:fill="auto"/>
                <w:lang w:val="ru-RU" w:eastAsia="ru-RU" w:bidi="ru-RU"/>
              </w:rPr>
              <w:t xml:space="preserve">24 </w:t>
            </w:r>
            <w:r>
              <w:rPr>
                <w:color w:val="000000"/>
                <w:spacing w:val="0"/>
                <w:w w:val="100"/>
                <w:position w:val="0"/>
                <w:sz w:val="24"/>
                <w:szCs w:val="24"/>
                <w:shd w:val="clear" w:color="auto" w:fill="auto"/>
                <w:lang w:val="en-US" w:eastAsia="en-US" w:bidi="en-US"/>
              </w:rPr>
              <w:t>de ore de la adoptare, pe pagina web a acesteia.</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Pornind de la termenul sus-mentionat, propunem ca la rubrica ,,Termenul de realizare" a actiunii nr. </w:t>
            </w:r>
            <w:r>
              <w:rPr>
                <w:color w:val="000000"/>
                <w:spacing w:val="0"/>
                <w:w w:val="100"/>
                <w:position w:val="0"/>
                <w:sz w:val="24"/>
                <w:szCs w:val="24"/>
                <w:shd w:val="clear" w:color="auto" w:fill="auto"/>
                <w:lang w:val="ru-RU" w:eastAsia="ru-RU" w:bidi="ru-RU"/>
              </w:rPr>
              <w:t xml:space="preserve">4, </w:t>
            </w:r>
            <w:r>
              <w:rPr>
                <w:color w:val="000000"/>
                <w:spacing w:val="0"/>
                <w:w w:val="100"/>
                <w:position w:val="0"/>
                <w:sz w:val="24"/>
                <w:szCs w:val="24"/>
                <w:shd w:val="clear" w:color="auto" w:fill="auto"/>
                <w:lang w:val="en-US" w:eastAsia="en-US" w:bidi="en-US"/>
              </w:rPr>
              <w:t xml:space="preserve">textul ,,trimestrul I anul </w:t>
            </w:r>
            <w:r>
              <w:rPr>
                <w:color w:val="000000"/>
                <w:spacing w:val="0"/>
                <w:w w:val="100"/>
                <w:position w:val="0"/>
                <w:sz w:val="24"/>
                <w:szCs w:val="24"/>
                <w:shd w:val="clear" w:color="auto" w:fill="auto"/>
                <w:lang w:val="ru-RU" w:eastAsia="ru-RU" w:bidi="ru-RU"/>
              </w:rPr>
              <w:t xml:space="preserve">2021, </w:t>
            </w:r>
            <w:r>
              <w:rPr>
                <w:color w:val="000000"/>
                <w:spacing w:val="0"/>
                <w:w w:val="100"/>
                <w:position w:val="0"/>
                <w:sz w:val="24"/>
                <w:szCs w:val="24"/>
                <w:shd w:val="clear" w:color="auto" w:fill="auto"/>
                <w:lang w:val="en-US" w:eastAsia="en-US" w:bidi="en-US"/>
              </w:rPr>
              <w:t xml:space="preserve">trimestrul I anul </w:t>
            </w:r>
            <w:r>
              <w:rPr>
                <w:color w:val="000000"/>
                <w:spacing w:val="0"/>
                <w:w w:val="100"/>
                <w:position w:val="0"/>
                <w:sz w:val="24"/>
                <w:szCs w:val="24"/>
                <w:shd w:val="clear" w:color="auto" w:fill="auto"/>
                <w:lang w:val="ru-RU" w:eastAsia="ru-RU" w:bidi="ru-RU"/>
              </w:rPr>
              <w:t xml:space="preserve">2022" </w:t>
            </w:r>
            <w:r>
              <w:rPr>
                <w:color w:val="000000"/>
                <w:spacing w:val="0"/>
                <w:w w:val="100"/>
                <w:position w:val="0"/>
                <w:sz w:val="24"/>
                <w:szCs w:val="24"/>
                <w:shd w:val="clear" w:color="auto" w:fill="auto"/>
                <w:lang w:val="en-US" w:eastAsia="en-US" w:bidi="en-US"/>
              </w:rPr>
              <w:t>sa fie substituit prin textul ,,Anual, in termen de 24 de ore dupa aprobarea acestora".</w:t>
            </w:r>
          </w:p>
        </w:tc>
        <w:tc>
          <w:tcPr>
            <w:tcBorders>
              <w:top w:val="single" w:sz="4"/>
              <w:left w:val="single" w:sz="4"/>
              <w:right w:val="single" w:sz="4"/>
            </w:tcBorders>
            <w:shd w:val="clear" w:color="auto" w:fill="FFFFFF"/>
            <w:vAlign w:val="top"/>
          </w:tcPr>
          <w:p>
            <w:pPr>
              <w:widowControl w:val="0"/>
              <w:rPr>
                <w:sz w:val="10"/>
                <w:szCs w:val="10"/>
              </w:rPr>
            </w:pPr>
          </w:p>
        </w:tc>
      </w:tr>
      <w:tr>
        <w:trPr>
          <w:trHeight w:val="469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privire la ,,Prioritatea IV.2., la actiunea nr. 5, propunem substituirea textului ,,Asigurarea functionalitatii mecanismului de asigurare a accesului facilitat al publicului la informatiile privind finantarea partidelor politice si a campaniilor electorale" prin textul ,,Dezvoltarea si asigurarea functionarii mecanismului de asigurare a accesului facilitat al publicului la informatiile privind finantarea partidelor politice si a campaniilor electorale, precum si prezentarea eficienta a rapoartelor financiare prin intermediul modulului ,,Control Financiar", iar la rubrica ,,Sursa de finantare" - inlocuirea textului ,,Surse de finantare externe disponibile (Programul . .imbunatatirii democratiei in Republica Moldova prin suport parlamentar si electoral")" prin textul ,,Bugetul de stat si, dupa caz, surse de finantare externe disponibile".</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Propunem introducerea acestor modificari din considerentul mentinerii si dezvoltarii modulului electronic, ceea ce va facilita prezentarea in termen a rapoartelor financiare de catre partidele politice/concurentii electorali, precum si pentru asigurarea accesului eficient al subiectilor interesati la informatiile privind finantarea partidelor politice/campaniilor electorale, iar sursa de finantare necesara pentru realizarea acestei actiuni va fi bugetul de stat, in acest fel fiind garantata acoperirea financiara permanenti pentru functionarea modulului „Control Financiar".</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139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privire la ,,Prioritatea IV.2., la actiunea nr.6 ,,Consolidarea si dezvoltarea cunostintelor profesionale ale membrilor si functionarilor CEC in domeniul controlului finantarii partidelor politice si a campaniilor electorale", consideram ca textul cuprins la rubrica ,,Indicator de progres" trebuie expus in urmatoarea redactie ,,Cel putin 2 vizite de studiu anual pentru identificarea si implementarea celor mai bune practici in domeniu"</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1123"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privire la ,,Prioritatea IV.2., la actiunea nr. 8 ,,Verificarea Si publicarea rapoartelor de audit privind gestiunea financiara a partidelor politice", rubrica ,,Termenul de realizare" propunem a fi completata cu textul ,,(cel putin o data la 3 ani)", intrucit acest termen rezulta din prevederile art. 31 alin. (l) al Legii nr. 29412007 privind partidele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845"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politice, conform caruia ,,Partidele politice ale caror venituri sau cheltuieli anuale depasesc un milion de lei sunt obligate sa efectueze auditul rapoartelor privind gestiunea financiara cel putin o data la 3 ani"</w:t>
            </w:r>
          </w:p>
        </w:tc>
        <w:tc>
          <w:tcPr>
            <w:tcBorders>
              <w:top w:val="single" w:sz="4"/>
              <w:left w:val="single" w:sz="4"/>
              <w:right w:val="single" w:sz="4"/>
            </w:tcBorders>
            <w:shd w:val="clear" w:color="auto" w:fill="FFFFFF"/>
            <w:vAlign w:val="top"/>
          </w:tcPr>
          <w:p>
            <w:pPr>
              <w:widowControl w:val="0"/>
              <w:rPr>
                <w:sz w:val="10"/>
                <w:szCs w:val="10"/>
              </w:rPr>
            </w:pPr>
          </w:p>
        </w:tc>
      </w:tr>
      <w:tr>
        <w:trPr>
          <w:trHeight w:val="193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privire la ,,Prioritatea IV.2., la actiunea nr. l0 ,,Dezvoltarea normelor metodologice si instruirea ofiterilor de urmarire penala, a procurorilor si a judecatorilor in vederea examinarii dosarelor privind finantarea partidelor si campaniilor electorale, a cauzelor de corupere a alegatorilor si de utilizare a resurselor administrative", la rubrica ,,Indicator de progres", propunem ca textul ,,Cel putin 100 de ofiteri de urmarire penali, procurori si judecatori instruiti" sa fie substituit prin textul ,,Cel putin 50 de ofiteri de urmarire penala, procurori si judecatori instruiti"</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139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privire la ,,Prioritatea IV.2., la actiunea nr. ll ,Instruirea functionarilor electorali privind modalitatile de identificare si de sesizare a incalcarilor privind coruperea alegatorilor si utilizarea resurselor administrative", la rubrica ,,Indicator de progres", propunem ca textul ,,cel putin 100 persoane instruite anual" si fie substituit prin textul ,,Cel putin 50 de persoane instruite, in functie de tipul scrutinului".</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1387"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privire la ,,Prioritatea IV.2., la actiunea nr. 12 ,Instruirea membrilor partidelor politice si altor grupuri de beneficiari interesati privind asigurarea integritatii campaniei electorale", la rubrica ,,Indicator de progres", propunem ca textul ,,Cel putin 3 cursuri de instruire desfasurate" sa fie substituit prin textul ,,Cursuri de instruire desfasurare", iar rubrica ,,Obiectiv corelativ" si fie completat cu cuvintul ,,Educare".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4714"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en-US" w:eastAsia="en-US" w:bidi="en-US"/>
              </w:rPr>
              <w:t>6.</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Procuratura</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Anticoruptie</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referire prioritatea III.2, actiunile nr. 13 si 14 se suprapun dupa esenta si continut doar ca difera denumirea lor mai mult ca atit institutiile responsabile sunt aceleasi cu diferenta ca pentru actiunea nr. 13 suplimentar se indica si CSM si ANI, care nu au competenta si experienta in activitatea de examinare juridica a cauzelor penale si, respectiv nu pot realiza cercetari in domeniul respectiv, urmind a fi excluse. Potrivit proiectului cronologic ar urma sa fie realizata actiunea nr. 14 Analiza practicii judiciare pe cauzele de coruptie examinate de instantele de judecata si elaborarea recomandarilor pentru unificarea practicii judiciare in partea ce tine de aplicarea sanctiunilor privative de libertate, sanctiunilor privarii de a exercita o anumita activitate, precum si a masurilor de siguranta: confiscarea speciala si confiscarea extinsa (nefiind clar obiectul indicatorului de progres), iar ulterior actiunea nr. 13 adica sa fie publicate si prezentate unor cercetari privind sentintele adoptate in dosare pentru fapte de coruptie si conexe coruptiei, care prin deductie ar putea fi rezultatul actiunii nr. 14, in timp de indicatorul de progres este “</w:t>
            </w:r>
            <w:r>
              <w:rPr>
                <w:i/>
                <w:iCs/>
                <w:color w:val="000000"/>
                <w:spacing w:val="0"/>
                <w:w w:val="100"/>
                <w:position w:val="0"/>
                <w:sz w:val="24"/>
                <w:szCs w:val="24"/>
                <w:shd w:val="clear" w:color="auto" w:fill="auto"/>
                <w:lang w:val="en-US" w:eastAsia="en-US" w:bidi="en-US"/>
              </w:rPr>
              <w:t>Studiu elaborat si publicat pe paginile web ale CNA, CSJ si PG/PA, ANI.</w:t>
            </w:r>
          </w:p>
          <w:p>
            <w:pPr>
              <w:pStyle w:val="Style3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en-US" w:eastAsia="en-US" w:bidi="en-US"/>
              </w:rPr>
              <w:t>Analiza privind sentintele date in cazuri cu implicarea actorilor din sectorul justified prezentata. Dezbatere publica organizata”.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553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In acelasi timp o data ce astfel de actiuni urmeaza sa se soldeze cu recomandari de unificare a practicii judiciare, atributia ce revine Curtii Supreme de Justitie, ultima urmeaza sa fie prima institutie responsabila. Or, CNA nu este autoritatea care are atributie se segmentul examinarii judiciare iar un studiu sau o analiza cuprinde evolutia cauzelor penale, in toate cele trei nivele de jurisdictie: fond, apel si recurs. Centrul ar putea si urmeaza sa aiba prioritate realizarea masurilor specific activitatii de depistare si investigare a infractiunilor de coruptie si conexe pentru unificarea, eficientizarea practicii de urmarire penala, dar sa nu neglijeze segmentul investigarii prin asumarea domeniului reprezentarii invinuirii si judecarii, care sunt atribuite organelor procuraturii si instantelor de judecata.</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Mai mult ca atit Studiul/cercetarile nu se fac asupra sentintelor si asupra intregii cauze penale, urmind sa cuprinda tot procesul penal de la constatarea/identificare faptei infractionale pina la sentinta irevocabila or, o analiza a sentintelor fara o apreciere si a calitatii complexitatii, plenitudinii si legalitatii urmaririi penale si cercetarii judecatoresti va fi una neobiectiva, ireala si poate chiar eronata.</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In aceasta ordine de idei pentru punctele </w:t>
            </w:r>
            <w:r>
              <w:rPr>
                <w:color w:val="000000"/>
                <w:spacing w:val="0"/>
                <w:w w:val="100"/>
                <w:position w:val="0"/>
                <w:sz w:val="24"/>
                <w:szCs w:val="24"/>
                <w:shd w:val="clear" w:color="auto" w:fill="auto"/>
                <w:lang w:val="ru-RU" w:eastAsia="ru-RU" w:bidi="ru-RU"/>
              </w:rPr>
              <w:t xml:space="preserve">13 </w:t>
            </w:r>
            <w:r>
              <w:rPr>
                <w:color w:val="000000"/>
                <w:spacing w:val="0"/>
                <w:w w:val="100"/>
                <w:position w:val="0"/>
                <w:sz w:val="24"/>
                <w:szCs w:val="24"/>
                <w:shd w:val="clear" w:color="auto" w:fill="auto"/>
                <w:lang w:val="en-US" w:eastAsia="en-US" w:bidi="en-US"/>
              </w:rPr>
              <w:t xml:space="preserve">si </w:t>
            </w:r>
            <w:r>
              <w:rPr>
                <w:color w:val="000000"/>
                <w:spacing w:val="0"/>
                <w:w w:val="100"/>
                <w:position w:val="0"/>
                <w:sz w:val="24"/>
                <w:szCs w:val="24"/>
                <w:shd w:val="clear" w:color="auto" w:fill="auto"/>
                <w:lang w:val="ru-RU" w:eastAsia="ru-RU" w:bidi="ru-RU"/>
              </w:rPr>
              <w:t xml:space="preserve">14 </w:t>
            </w:r>
            <w:r>
              <w:rPr>
                <w:color w:val="000000"/>
                <w:spacing w:val="0"/>
                <w:w w:val="100"/>
                <w:position w:val="0"/>
                <w:sz w:val="24"/>
                <w:szCs w:val="24"/>
                <w:shd w:val="clear" w:color="auto" w:fill="auto"/>
                <w:lang w:val="en-US" w:eastAsia="en-US" w:bidi="en-US"/>
              </w:rPr>
              <w:t>propunem urmatoarele actiuni. ”Realizare unui studiu a tuturor cauzelor penale pentru fapte de coruptie si conexe coruptiei cu sentinte devenite irevocabile in perioada 2019-2020”,”Elaborarea recomandarilor de unificare a practicii judiciare in cauzele penale pentru fapte de coruptie si conexe coruptiei in baza studiilor realizate”</w:t>
            </w:r>
          </w:p>
        </w:tc>
        <w:tc>
          <w:tcPr>
            <w:tcBorders>
              <w:top w:val="single" w:sz="4"/>
              <w:left w:val="single" w:sz="4"/>
              <w:right w:val="single" w:sz="4"/>
            </w:tcBorders>
            <w:shd w:val="clear" w:color="auto" w:fill="FFFFFF"/>
            <w:vAlign w:val="top"/>
          </w:tcPr>
          <w:p>
            <w:pPr>
              <w:widowControl w:val="0"/>
              <w:rPr>
                <w:sz w:val="10"/>
                <w:szCs w:val="10"/>
              </w:rPr>
            </w:pPr>
          </w:p>
        </w:tc>
      </w:tr>
      <w:tr>
        <w:trPr>
          <w:trHeight w:val="277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privire la Prioritatea III.4 Recuperarea bunurilor infractionale este un proces-parte componenta si un obiectiv ar urmarii penale, indiferent de infractiunea investigata. Aceasta notiune nu poate fi asimilata exclusiv cu Agentia de Recuperare a Bunurilor Infractionale, care nu are o competenta universala ci una exhaustiva. Din aceste considerente, actiunile nr. 31 si 32 urmeaza a fi realizate la nivel national cu implicarea tuturor organelor de drept, care au competente in recuperarea bunurilor infractionale (CNA, MAI, SV, SFS, sub conducerea PG), iar o baza de date pentru evidenta bunurilor infractionale urmeaza sa contina rezultatele activitatii tuturor organelor de drept.</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Drept urmare, consideram ca pentru actiunile 31-32, institutiile responsabile urmeaza a fi indicate in ordinea urmatoare PG, CNA, MAI, SV, SFS</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1954"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referire la actiunea nr. 33, este de mentionat ca potrivit art. 5 lit j), art. 71 alin. (2) din CPC, art. 221 din CPP. Pornind de la imputernicirile procurorului de a inainta actiune civila exclusiv in cadrul unui proces penal sau in cazul neinceperii sau al incetarii urmaririi penale in temeiul art. 275 pct. 4), 5) si 9) din CPP, in conditiile legii, realizarea actiunii respective de catre procuror ar presupune existenta unui sir de premise: -existenta/recunoasterea unei peroane in calitate de parte vatamata intr-un dosar de coruptie, desi in practica in marea majoritate a dosarelor de coruptie, beneficiarul actului</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Nu se accepta. </w:t>
            </w:r>
            <w:r>
              <w:rPr>
                <w:color w:val="000000"/>
                <w:spacing w:val="0"/>
                <w:w w:val="100"/>
                <w:position w:val="0"/>
                <w:sz w:val="24"/>
                <w:szCs w:val="24"/>
                <w:shd w:val="clear" w:color="auto" w:fill="auto"/>
                <w:lang w:val="en-US" w:eastAsia="en-US" w:bidi="en-US"/>
              </w:rPr>
              <w:t>Conform art. 124 al Constitutiei, Legii nr.3 cu privire la Procuratura: „Procuratura este o institutie publica autonoma [...] ce contribuie la [...] apararea [...] intereselor legitime ale [...] statului [.]”. Aceasta prevedere permite</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663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de coruptie realizeaza un avantaj, sau beneficiu infractional ca rezultat al transmiterii unei remuneratii ca rezultat este pasibil de raspundere penala sau absolvit de aceasta in temeiul alin. </w:t>
            </w:r>
            <w:r>
              <w:rPr>
                <w:color w:val="000000"/>
                <w:spacing w:val="0"/>
                <w:w w:val="100"/>
                <w:position w:val="0"/>
                <w:sz w:val="24"/>
                <w:szCs w:val="24"/>
                <w:shd w:val="clear" w:color="auto" w:fill="auto"/>
                <w:lang w:val="ru-RU" w:eastAsia="ru-RU" w:bidi="ru-RU"/>
              </w:rPr>
              <w:t xml:space="preserve">4) </w:t>
            </w:r>
            <w:r>
              <w:rPr>
                <w:color w:val="000000"/>
                <w:spacing w:val="0"/>
                <w:w w:val="100"/>
                <w:position w:val="0"/>
                <w:sz w:val="24"/>
                <w:szCs w:val="24"/>
                <w:shd w:val="clear" w:color="auto" w:fill="auto"/>
                <w:lang w:val="en-US" w:eastAsia="en-US" w:bidi="en-US"/>
              </w:rPr>
              <w:t xml:space="preserve">art. </w:t>
            </w:r>
            <w:r>
              <w:rPr>
                <w:color w:val="000000"/>
                <w:spacing w:val="0"/>
                <w:w w:val="100"/>
                <w:position w:val="0"/>
                <w:sz w:val="24"/>
                <w:szCs w:val="24"/>
                <w:shd w:val="clear" w:color="auto" w:fill="auto"/>
                <w:lang w:val="ru-RU" w:eastAsia="ru-RU" w:bidi="ru-RU"/>
              </w:rPr>
              <w:t xml:space="preserve">325 </w:t>
            </w:r>
            <w:r>
              <w:rPr>
                <w:color w:val="000000"/>
                <w:spacing w:val="0"/>
                <w:w w:val="100"/>
                <w:position w:val="0"/>
                <w:sz w:val="24"/>
                <w:szCs w:val="24"/>
                <w:shd w:val="clear" w:color="auto" w:fill="auto"/>
                <w:lang w:val="en-US" w:eastAsia="en-US" w:bidi="en-US"/>
              </w:rPr>
              <w:t xml:space="preserve">or alin. </w:t>
            </w:r>
            <w:r>
              <w:rPr>
                <w:color w:val="000000"/>
                <w:spacing w:val="0"/>
                <w:w w:val="100"/>
                <w:position w:val="0"/>
                <w:sz w:val="24"/>
                <w:szCs w:val="24"/>
                <w:shd w:val="clear" w:color="auto" w:fill="auto"/>
                <w:lang w:val="ru-RU" w:eastAsia="ru-RU" w:bidi="ru-RU"/>
              </w:rPr>
              <w:t xml:space="preserve">4) </w:t>
            </w:r>
            <w:r>
              <w:rPr>
                <w:color w:val="000000"/>
                <w:spacing w:val="0"/>
                <w:w w:val="100"/>
                <w:position w:val="0"/>
                <w:sz w:val="24"/>
                <w:szCs w:val="24"/>
                <w:shd w:val="clear" w:color="auto" w:fill="auto"/>
                <w:lang w:val="en-US" w:eastAsia="en-US" w:bidi="en-US"/>
              </w:rPr>
              <w:t xml:space="preserve">art. </w:t>
            </w:r>
            <w:r>
              <w:rPr>
                <w:color w:val="000000"/>
                <w:spacing w:val="0"/>
                <w:w w:val="100"/>
                <w:position w:val="0"/>
                <w:sz w:val="24"/>
                <w:szCs w:val="24"/>
                <w:shd w:val="clear" w:color="auto" w:fill="auto"/>
                <w:lang w:val="ru-RU" w:eastAsia="ru-RU" w:bidi="ru-RU"/>
              </w:rPr>
              <w:t xml:space="preserve">326 </w:t>
            </w:r>
            <w:r>
              <w:rPr>
                <w:color w:val="000000"/>
                <w:spacing w:val="0"/>
                <w:w w:val="100"/>
                <w:position w:val="0"/>
                <w:sz w:val="24"/>
                <w:szCs w:val="24"/>
                <w:shd w:val="clear" w:color="auto" w:fill="auto"/>
                <w:lang w:val="en-US" w:eastAsia="en-US" w:bidi="en-US"/>
              </w:rPr>
              <w:t>al CP.</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-persoana prejudiciata printr-un act de coruptie sau act conex actelor de coruptie sa fi cerut si obtinut despagubiri din partea entitatii publice (in calitate de pirit) al carei agent public a comis actul de coruptie sau actul conex, procedura de durata care nu poate fi realizata de cit inafara procesului penal si pentru satisfacerea careia sar prezuma ca exista deja condamnarea persoanei.</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-omisiunea entitatii publice al carei agent public a comis actul de coruptie sau actul conex de a intenta (in temeiul alin. </w:t>
            </w:r>
            <w:r>
              <w:rPr>
                <w:color w:val="000000"/>
                <w:spacing w:val="0"/>
                <w:w w:val="100"/>
                <w:position w:val="0"/>
                <w:sz w:val="24"/>
                <w:szCs w:val="24"/>
                <w:shd w:val="clear" w:color="auto" w:fill="auto"/>
                <w:lang w:val="ru-RU" w:eastAsia="ru-RU" w:bidi="ru-RU"/>
              </w:rPr>
              <w:t xml:space="preserve">2 </w:t>
            </w:r>
            <w:r>
              <w:rPr>
                <w:color w:val="000000"/>
                <w:spacing w:val="0"/>
                <w:w w:val="100"/>
                <w:position w:val="0"/>
                <w:sz w:val="24"/>
                <w:szCs w:val="24"/>
                <w:shd w:val="clear" w:color="auto" w:fill="auto"/>
                <w:lang w:val="en-US" w:eastAsia="en-US" w:bidi="en-US"/>
              </w:rPr>
              <w:t xml:space="preserve">art. </w:t>
            </w:r>
            <w:r>
              <w:rPr>
                <w:color w:val="000000"/>
                <w:spacing w:val="0"/>
                <w:w w:val="100"/>
                <w:position w:val="0"/>
                <w:sz w:val="24"/>
                <w:szCs w:val="24"/>
                <w:shd w:val="clear" w:color="auto" w:fill="auto"/>
                <w:lang w:val="ru-RU" w:eastAsia="ru-RU" w:bidi="ru-RU"/>
              </w:rPr>
              <w:t xml:space="preserve">48 </w:t>
            </w:r>
            <w:r>
              <w:rPr>
                <w:color w:val="000000"/>
                <w:spacing w:val="0"/>
                <w:w w:val="100"/>
                <w:position w:val="0"/>
                <w:sz w:val="24"/>
                <w:szCs w:val="24"/>
                <w:shd w:val="clear" w:color="auto" w:fill="auto"/>
                <w:lang w:val="en-US" w:eastAsia="en-US" w:bidi="en-US"/>
              </w:rPr>
              <w:t xml:space="preserve">din Legea integritatii nr. </w:t>
            </w:r>
            <w:r>
              <w:rPr>
                <w:color w:val="000000"/>
                <w:spacing w:val="0"/>
                <w:w w:val="100"/>
                <w:position w:val="0"/>
                <w:sz w:val="24"/>
                <w:szCs w:val="24"/>
                <w:shd w:val="clear" w:color="auto" w:fill="auto"/>
                <w:lang w:val="ru-RU" w:eastAsia="ru-RU" w:bidi="ru-RU"/>
              </w:rPr>
              <w:t xml:space="preserve">82/2017) </w:t>
            </w:r>
            <w:r>
              <w:rPr>
                <w:color w:val="000000"/>
                <w:spacing w:val="0"/>
                <w:w w:val="100"/>
                <w:position w:val="0"/>
                <w:sz w:val="24"/>
                <w:szCs w:val="24"/>
                <w:shd w:val="clear" w:color="auto" w:fill="auto"/>
                <w:lang w:val="en-US" w:eastAsia="en-US" w:bidi="en-US"/>
              </w:rPr>
              <w:t>ulterior actiune de regres fata de persoana vinovata, (vinovatia fiind deja dovedita printr-o sentinta irevocabila), marimea despagubirii platite.</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-aparitia (in temeiul alin 3)art. </w:t>
            </w:r>
            <w:r>
              <w:rPr>
                <w:color w:val="000000"/>
                <w:spacing w:val="0"/>
                <w:w w:val="100"/>
                <w:position w:val="0"/>
                <w:sz w:val="24"/>
                <w:szCs w:val="24"/>
                <w:shd w:val="clear" w:color="auto" w:fill="auto"/>
                <w:lang w:val="ru-RU" w:eastAsia="ru-RU" w:bidi="ru-RU"/>
              </w:rPr>
              <w:t xml:space="preserve">48 </w:t>
            </w:r>
            <w:r>
              <w:rPr>
                <w:color w:val="000000"/>
                <w:spacing w:val="0"/>
                <w:w w:val="100"/>
                <w:position w:val="0"/>
                <w:sz w:val="24"/>
                <w:szCs w:val="24"/>
                <w:shd w:val="clear" w:color="auto" w:fill="auto"/>
                <w:lang w:val="en-US" w:eastAsia="en-US" w:bidi="en-US"/>
              </w:rPr>
              <w:t xml:space="preserve">din Legea integritatii nr. </w:t>
            </w:r>
            <w:r>
              <w:rPr>
                <w:color w:val="000000"/>
                <w:spacing w:val="0"/>
                <w:w w:val="100"/>
                <w:position w:val="0"/>
                <w:sz w:val="24"/>
                <w:szCs w:val="24"/>
                <w:shd w:val="clear" w:color="auto" w:fill="auto"/>
                <w:lang w:val="ru-RU" w:eastAsia="ru-RU" w:bidi="ru-RU"/>
              </w:rPr>
              <w:t xml:space="preserve">82/2017) </w:t>
            </w:r>
            <w:r>
              <w:rPr>
                <w:color w:val="000000"/>
                <w:spacing w:val="0"/>
                <w:w w:val="100"/>
                <w:position w:val="0"/>
                <w:sz w:val="24"/>
                <w:szCs w:val="24"/>
                <w:shd w:val="clear" w:color="auto" w:fill="auto"/>
                <w:lang w:val="en-US" w:eastAsia="en-US" w:bidi="en-US"/>
              </w:rPr>
              <w:t xml:space="preserve">ca rezultat al neonorarii obligatiilor de a inainta actiune in regres de catre autoritatile despagubitoare, a dreptului Ministerului Justitiei sau, dupa caz, a procurorului de a inainta actiune de regres impotriva persoanei care a comis actul de coruptie sau actul conex actelor de coruptie, etapa la care procesul penal este deja terminat cu pronuntarea unei sentinte de condamnare, fiind lipsa si conditiile de inaintare a actiunii de catre procuror impuse de prevederile art. </w:t>
            </w:r>
            <w:r>
              <w:rPr>
                <w:color w:val="000000"/>
                <w:spacing w:val="0"/>
                <w:w w:val="100"/>
                <w:position w:val="0"/>
                <w:sz w:val="24"/>
                <w:szCs w:val="24"/>
                <w:shd w:val="clear" w:color="auto" w:fill="auto"/>
                <w:lang w:val="ru-RU" w:eastAsia="ru-RU" w:bidi="ru-RU"/>
              </w:rPr>
              <w:t xml:space="preserve">5 </w:t>
            </w:r>
            <w:r>
              <w:rPr>
                <w:color w:val="000000"/>
                <w:spacing w:val="0"/>
                <w:w w:val="100"/>
                <w:position w:val="0"/>
                <w:sz w:val="24"/>
                <w:szCs w:val="24"/>
                <w:shd w:val="clear" w:color="auto" w:fill="auto"/>
                <w:lang w:val="en-US" w:eastAsia="en-US" w:bidi="en-US"/>
              </w:rPr>
              <w:t xml:space="preserve">lit. j) din Legea cu privire la Procuratura, art. </w:t>
            </w:r>
            <w:r>
              <w:rPr>
                <w:color w:val="000000"/>
                <w:spacing w:val="0"/>
                <w:w w:val="100"/>
                <w:position w:val="0"/>
                <w:sz w:val="24"/>
                <w:szCs w:val="24"/>
                <w:shd w:val="clear" w:color="auto" w:fill="auto"/>
                <w:lang w:val="ru-RU" w:eastAsia="ru-RU" w:bidi="ru-RU"/>
              </w:rPr>
              <w:t xml:space="preserve">71 </w:t>
            </w:r>
            <w:r>
              <w:rPr>
                <w:color w:val="000000"/>
                <w:spacing w:val="0"/>
                <w:w w:val="100"/>
                <w:position w:val="0"/>
                <w:sz w:val="24"/>
                <w:szCs w:val="24"/>
                <w:shd w:val="clear" w:color="auto" w:fill="auto"/>
                <w:lang w:val="en-US" w:eastAsia="en-US" w:bidi="en-US"/>
              </w:rPr>
              <w:t xml:space="preserve">alin. </w:t>
            </w:r>
            <w:r>
              <w:rPr>
                <w:color w:val="000000"/>
                <w:spacing w:val="0"/>
                <w:w w:val="100"/>
                <w:position w:val="0"/>
                <w:sz w:val="24"/>
                <w:szCs w:val="24"/>
                <w:shd w:val="clear" w:color="auto" w:fill="auto"/>
                <w:lang w:val="ru-RU" w:eastAsia="ru-RU" w:bidi="ru-RU"/>
              </w:rPr>
              <w:t xml:space="preserve">2) </w:t>
            </w:r>
            <w:r>
              <w:rPr>
                <w:color w:val="000000"/>
                <w:spacing w:val="0"/>
                <w:w w:val="100"/>
                <w:position w:val="0"/>
                <w:sz w:val="24"/>
                <w:szCs w:val="24"/>
                <w:shd w:val="clear" w:color="auto" w:fill="auto"/>
                <w:lang w:val="en-US" w:eastAsia="en-US" w:bidi="en-US"/>
              </w:rPr>
              <w:t xml:space="preserve">din CPC si art. </w:t>
            </w:r>
            <w:r>
              <w:rPr>
                <w:color w:val="000000"/>
                <w:spacing w:val="0"/>
                <w:w w:val="100"/>
                <w:position w:val="0"/>
                <w:sz w:val="24"/>
                <w:szCs w:val="24"/>
                <w:shd w:val="clear" w:color="auto" w:fill="auto"/>
                <w:lang w:val="ru-RU" w:eastAsia="ru-RU" w:bidi="ru-RU"/>
              </w:rPr>
              <w:t xml:space="preserve">221 </w:t>
            </w:r>
            <w:r>
              <w:rPr>
                <w:color w:val="000000"/>
                <w:spacing w:val="0"/>
                <w:w w:val="100"/>
                <w:position w:val="0"/>
                <w:sz w:val="24"/>
                <w:szCs w:val="24"/>
                <w:shd w:val="clear" w:color="auto" w:fill="auto"/>
                <w:lang w:val="en-US" w:eastAsia="en-US" w:bidi="en-US"/>
              </w:rPr>
              <w:t>din CPC.</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Astfel, cumulul de premise aprioric nu poate fi intrunite, motiv din care o astfel de actiune este lipsita de sens si urmeaza a fi exclusa din plan, sau cel putin Procuratura Generala si Procuratura Anticoruptie nu pot sa se regaseasca in calitate de institutie responsabile din motivul lipsei unei astfel de competente pentru ele.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Procuraturii sa inainteze actiuni civile in interesul statului.</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Respectiv, rolul procuraturii nu se rezuma doar la urmarirea penala, conducerea exercitarii urmaririi penale de catre ale OUP, reprezentarea invinuirii in instantele de judecata. Procurorii, in special procurorii anticoruptie, gestioneaza dosarele de coruptie, care in majoritatea cazurilor presupun cauzarea unor prejudicii, in special prejudicii aduse statului. Respectiv, procurorii sunt persoanele care ar urma sa inainteze actiunilor de regres, atunci cand a fost prejudiciat statul, or ei gestioneaza dosarele pina la obtinerea unei sentinte irevocabile de condamnare, inclusiv procurorii sunt actorii responsabili care trebuie sa apere interesele statului, inclusiv interesele financiare/materiale afectate prin infractiunile de coruptie.</w:t>
            </w:r>
          </w:p>
        </w:tc>
      </w:tr>
      <w:tr>
        <w:trPr>
          <w:trHeight w:val="3610"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privire la prioritatea III.5, la actiunea nr. 36 care rezulta din Legea integritatii este de mentionat ca regasindu-se in Planul de actiuni pentru anii 2017-2020, in cadrul proiectului CLEP a fost realizat Studiul despagubirea victimelor actelor de coruptie in Republica Moldova in care este abordata problematica acestui concept relativ nou, solutii si un Ghid (anexa la Studiu) privind despagubirea victimelor coruptiei in procesele penale.</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Potrivit Studiului “Legea integritatii adauga pentru actele de coruptie sau asociate coruptiei, un nivel suplimentar de protectie pentru victimele coruptiei. Cu toate acestea dispozitiile care ghideaza acest nivel suplimentar de protectie oferit de Legea integritatii sunt rare si neclare. Rezultatul este neclaritatea aplicarii acestea, atit pentru victimele coruptiei, cit si pentru autoritatile competente, care trebuie s-o aplice. Mai mult, lipsa unei practici judiciare, de aplicare a Legii integritatii nu ofera indrumari suplimentare cu privire la aceste norme”.</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Nu se accepta.</w:t>
            </w:r>
          </w:p>
          <w:p>
            <w:pPr>
              <w:pStyle w:val="Style32"/>
              <w:keepNext w:val="0"/>
              <w:keepLines w:val="0"/>
              <w:widowControl w:val="0"/>
              <w:shd w:val="clear" w:color="auto" w:fill="auto"/>
              <w:tabs>
                <w:tab w:pos="2222" w:val="left"/>
                <w:tab w:pos="3475"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CPP prevede ca procurorii, organul de urmarire penala, instanta de judecata sunt autoritatile care trebuie sa informeze partile vatamate/victimele</w:t>
              <w:tab/>
              <w:t>coruptiei</w:t>
              <w:tab/>
              <w:t>privind</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dreptul lor de a solicita si a obtine despagubiri. Totodata, alin. (2) art. 51 al CPP prevede expres ca: </w:t>
            </w:r>
            <w:r>
              <w:rPr>
                <w:color w:val="333333"/>
                <w:spacing w:val="0"/>
                <w:w w:val="100"/>
                <w:position w:val="0"/>
                <w:sz w:val="24"/>
                <w:szCs w:val="24"/>
                <w:shd w:val="clear" w:color="auto" w:fill="auto"/>
                <w:lang w:val="en-US" w:eastAsia="en-US" w:bidi="en-US"/>
              </w:rPr>
              <w:t xml:space="preserve">”(2) </w:t>
            </w:r>
            <w:r>
              <w:rPr>
                <w:i/>
                <w:iCs/>
                <w:color w:val="333333"/>
                <w:spacing w:val="0"/>
                <w:w w:val="100"/>
                <w:position w:val="0"/>
                <w:sz w:val="24"/>
                <w:szCs w:val="24"/>
                <w:shd w:val="clear" w:color="auto" w:fill="auto"/>
                <w:lang w:val="en-US" w:eastAsia="en-US" w:bidi="en-US"/>
              </w:rPr>
              <w:t>Procurorul este in drept sa porneasca o acliune civila impotriva invinuitului, inculpatului sau a persoanei care poarta raspundere materiala pentru fapta invinuitului, inculpatului: 1) in interesul persoanei</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3053"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Din aceste motive, consideram ca actiunea respective urmeaza a fi exclusa din Plan sau cel putin Procuratura Anticoruptie urmeaza a fi exclusa din institutiile responsabile, or actiunea se refera la alte mecanisme, de cit cele ce intra in atributiile ai.</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i/>
                <w:iCs/>
                <w:color w:val="333333"/>
                <w:spacing w:val="0"/>
                <w:w w:val="100"/>
                <w:position w:val="0"/>
                <w:sz w:val="24"/>
                <w:szCs w:val="24"/>
                <w:shd w:val="clear" w:color="auto" w:fill="auto"/>
                <w:lang w:val="en-US" w:eastAsia="en-US" w:bidi="en-US"/>
              </w:rPr>
              <w:t>vatamate care se afla in stare de imposibilitate sau de dependent fata de invinuit, inculpat ori din alte motive nu-si poate realiza singura dreptul de a porni acfiune civila; 2) in interesul statului.</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Totodata, invocarea Studiului nu poate servi temei pentru excluderea actiunii, dar dimpotriva indica asupra necesitatii constituirii unei practici judiciare, crearea unor precedente, care, fara aportul procurorilor sunt imposibile.</w:t>
            </w:r>
          </w:p>
        </w:tc>
      </w:tr>
      <w:tr>
        <w:trPr>
          <w:trHeight w:val="835"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In ce priveste actiunea nr. 38 consideram ca din aceleasi motive invocate in cazul actiunii nr. 33, la fel urmeaza a fi excluse din Plan, sau cel putin Procuratura Generala nu poate sa se regaseasca ca institutie responsabila din motivul lipsei unei astfel de competenta.</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Se accepta partial</w:t>
            </w:r>
            <w:r>
              <w:rPr>
                <w:color w:val="000000"/>
                <w:spacing w:val="0"/>
                <w:w w:val="100"/>
                <w:position w:val="0"/>
                <w:sz w:val="24"/>
                <w:szCs w:val="24"/>
                <w:shd w:val="clear" w:color="auto" w:fill="auto"/>
                <w:lang w:val="en-US" w:eastAsia="en-US" w:bidi="en-US"/>
              </w:rPr>
              <w:t>. In calitate de institutie responsabila a fost indicata Procuratura Anticoruptie.</w:t>
            </w:r>
          </w:p>
        </w:tc>
      </w:tr>
      <w:tr>
        <w:trPr>
          <w:trHeight w:val="4978"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en-US" w:eastAsia="en-US" w:bidi="en-US"/>
              </w:rPr>
              <w:t>7.</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Uniunea</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Avocatilor</w:t>
            </w:r>
          </w:p>
          <w:p>
            <w:pPr>
              <w:pStyle w:val="Style32"/>
              <w:keepNext w:val="0"/>
              <w:keepLines w:val="0"/>
              <w:widowControl w:val="0"/>
              <w:shd w:val="clear" w:color="auto" w:fill="auto"/>
              <w:bidi w:val="0"/>
              <w:spacing w:before="0" w:after="0" w:line="180" w:lineRule="auto"/>
              <w:ind w:left="1020" w:right="0" w:firstLine="0"/>
              <w:jc w:val="left"/>
            </w:pPr>
            <w:r>
              <w:rPr>
                <w:b/>
                <w:bCs/>
                <w:color w:val="000000"/>
                <w:spacing w:val="0"/>
                <w:w w:val="100"/>
                <w:position w:val="0"/>
                <w:sz w:val="24"/>
                <w:szCs w:val="24"/>
                <w:shd w:val="clear" w:color="auto" w:fill="auto"/>
                <w:lang w:val="en-US" w:eastAsia="en-US" w:bidi="en-US"/>
              </w:rPr>
              <w:t>9</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anexa nr. 1 SNIA, Capitolul V., constatam ca in Grupul de Monitorizare 3 a SNIA, a fost emisa includerea reprezentantilor Uniunii Avocatilor, or avocatii reprezinta un pilon al procesului asigurarii unei justitii eficiente, apararii drepturilor victimelor infractiunilor, inclusiv a celor din domeniul coruptiei si conexa coruptiei participand de rind cu ceilalti reprezentanti ai profesiilor independente, la infaptuirea justitiei.</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tabs>
                <w:tab w:pos="1987" w:val="left"/>
                <w:tab w:pos="3149" w:val="left"/>
                <w:tab w:pos="3782" w:val="left"/>
              </w:tabs>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In conformitate cu prevederile Capitolului V al Strategiei, Grupurile de monitorizare a Strategiei se constituie din conducatori ai institutiilor implementatoare ale pilonilor pe care ii monitorizeaza. Totodata, statutul de observatori pe linga Grupurile de monitorizare il pot avea consilierii de politici ai institutiilor-piloni, reprezentantii altor institutii publice, ai institutiilor internationale si ai corpului diplomatic pe baza solicitarilor formulate in acest sens de catre acestia. Astfel, UARM poate veni cu o solicitare in adresa Secretariatului Grupurilor de monitorizare, asigurat de catre CNA, intru includerea reprezentantului</w:t>
              <w:tab/>
              <w:t>UARM</w:t>
              <w:tab/>
              <w:t>in</w:t>
              <w:tab/>
              <w:t>lista</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participantilor la sedintele Grupurilor de monitorizare a SNIA.</w:t>
            </w:r>
          </w:p>
        </w:tc>
      </w:tr>
      <w:tr>
        <w:trPr>
          <w:trHeight w:val="1402"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referire la actiunea nr. 14 Pilonul I, se va tine cont de faptul ca in conformitate cu actiunea nr. 23 Pilonul II, din Planul de actiuni, se propune efectuarea expertizei anticoruptie doar asupra proiectelor actelor normative definitivate. Prin urmare la actiunea 14 Pilonul I, propunem a se specifica ca, expertiza anticoruptie si sinteza obiectiilor incluse in aceasta va trebui realizata nu doar in privinta proiectului inregistrat</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Se accepta partial</w:t>
            </w:r>
            <w:r>
              <w:rPr>
                <w:color w:val="000000"/>
                <w:spacing w:val="0"/>
                <w:w w:val="100"/>
                <w:position w:val="0"/>
                <w:sz w:val="24"/>
                <w:szCs w:val="24"/>
                <w:shd w:val="clear" w:color="auto" w:fill="auto"/>
                <w:lang w:val="en-US" w:eastAsia="en-US" w:bidi="en-US"/>
              </w:rPr>
              <w:t>. Textul este modificat conform propunerii.</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1397"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 parlament ci si in privinta tuturor amendamentelor la acesta parvenite, la Comisia sesizata in fond.</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In acest sens, se va propune si modificarea in mod corespunzator a Regulamentului Parlamentului, iar la actiunea nr. </w:t>
            </w:r>
            <w:r>
              <w:rPr>
                <w:color w:val="000000"/>
                <w:spacing w:val="0"/>
                <w:w w:val="100"/>
                <w:position w:val="0"/>
                <w:sz w:val="24"/>
                <w:szCs w:val="24"/>
                <w:shd w:val="clear" w:color="auto" w:fill="auto"/>
                <w:lang w:val="ru-RU" w:eastAsia="ru-RU" w:bidi="ru-RU"/>
              </w:rPr>
              <w:t xml:space="preserve">26 </w:t>
            </w:r>
            <w:r>
              <w:rPr>
                <w:color w:val="000000"/>
                <w:spacing w:val="0"/>
                <w:w w:val="100"/>
                <w:position w:val="0"/>
                <w:sz w:val="24"/>
                <w:szCs w:val="24"/>
                <w:shd w:val="clear" w:color="auto" w:fill="auto"/>
                <w:lang w:val="en-US" w:eastAsia="en-US" w:bidi="en-US"/>
              </w:rPr>
              <w:t>Pilonul II, de indicat si Parlamentul ca institutie responsabila, cu completarea indicatorilor relevanti pentru Secretariatul Parlamentului</w:t>
            </w:r>
          </w:p>
        </w:tc>
        <w:tc>
          <w:tcPr>
            <w:tcBorders>
              <w:top w:val="single" w:sz="4"/>
              <w:left w:val="single" w:sz="4"/>
              <w:right w:val="single" w:sz="4"/>
            </w:tcBorders>
            <w:shd w:val="clear" w:color="auto" w:fill="FFFFFF"/>
            <w:vAlign w:val="top"/>
          </w:tcPr>
          <w:p>
            <w:pPr>
              <w:widowControl w:val="0"/>
              <w:rPr>
                <w:sz w:val="10"/>
                <w:szCs w:val="10"/>
              </w:rPr>
            </w:pPr>
          </w:p>
        </w:tc>
      </w:tr>
      <w:tr>
        <w:trPr>
          <w:trHeight w:val="332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referire la Prioritatea III.1, mentionam ca aceasta nu tine cont de ultimele amendamente referitoare la organele de urmarire penala cu competente in privinta infractiunilor conexe coruptiei, si anume organul de urmarire penala a SFS. A se revedea in acest sens dispozitiile art. 269</w:t>
            </w:r>
            <w:r>
              <w:rPr>
                <w:color w:val="000000"/>
                <w:spacing w:val="0"/>
                <w:w w:val="100"/>
                <w:position w:val="0"/>
                <w:sz w:val="24"/>
                <w:szCs w:val="24"/>
                <w:shd w:val="clear" w:color="auto" w:fill="auto"/>
                <w:vertAlign w:val="superscript"/>
                <w:lang w:val="en-US" w:eastAsia="en-US" w:bidi="en-US"/>
              </w:rPr>
              <w:t>2</w:t>
            </w:r>
            <w:r>
              <w:rPr>
                <w:color w:val="000000"/>
                <w:spacing w:val="0"/>
                <w:w w:val="100"/>
                <w:position w:val="0"/>
                <w:sz w:val="24"/>
                <w:szCs w:val="24"/>
                <w:shd w:val="clear" w:color="auto" w:fill="auto"/>
                <w:lang w:val="en-US" w:eastAsia="en-US" w:bidi="en-US"/>
              </w:rPr>
              <w:t xml:space="preserve"> din Codul de procedure penala NR. </w:t>
            </w:r>
            <w:r>
              <w:rPr>
                <w:color w:val="000000"/>
                <w:spacing w:val="0"/>
                <w:w w:val="100"/>
                <w:position w:val="0"/>
                <w:sz w:val="24"/>
                <w:szCs w:val="24"/>
                <w:shd w:val="clear" w:color="auto" w:fill="auto"/>
                <w:lang w:val="ru-RU" w:eastAsia="ru-RU" w:bidi="ru-RU"/>
              </w:rPr>
              <w:t>122/2003</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Nu se accepta. </w:t>
            </w:r>
            <w:r>
              <w:rPr>
                <w:color w:val="000000"/>
                <w:spacing w:val="0"/>
                <w:w w:val="100"/>
                <w:position w:val="0"/>
                <w:sz w:val="24"/>
                <w:szCs w:val="24"/>
                <w:shd w:val="clear" w:color="auto" w:fill="auto"/>
                <w:lang w:val="en-US" w:eastAsia="en-US" w:bidi="en-US"/>
              </w:rPr>
              <w:t>Art. 2692 din Codul de procedura penala nr. 122/2003, la care face referire autorul a fost abrogat.</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Totodata, ultimele amendamente referitoare la organele de urmarire penala cu competente in privinta infractiunilor conexe coruptiei, si anume organul de urmarire penala a SFS, este instituit de curind, astfel aspecte ce tin de consolidarea capacitatilor acestei unitati vor fi prevazute in urmatorul document de politica la nivel national in domeniul integritatii.</w:t>
            </w:r>
          </w:p>
        </w:tc>
      </w:tr>
      <w:tr>
        <w:trPr>
          <w:trHeight w:val="5539"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Cu referire la pct. 6 si 7 din Pilonul III, includerea in Planul de actiuni a unui punct separat cu privire la instituirea instantelor /completelor de judecata specializate pentru examinarea dosarelor pentru acte de coruptie si conexe coruptie, consideram a fi prematur, or aceasta este conditionata de concluziile studiului privind oportunitatea unei astfel de masuri. Din perspectiva procesului de raportare si monitorizare a planului, propunem reformularea acestei actiuni si includerea acesteia in actiunea nr. 5, astfel actiunea nu a fi obligatorie ci va fi conditionata de rezultatul Studiului.</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Totodata, propunem includerea UARM, in calitate de coexecutor la realizarea Studiului privind oportunitatea instituirii instantelor /completelor de judecata specializate pentru examinarea dosarelor pentru acte de coruptie si conexe coruptie.</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tabs>
                <w:tab w:pos="3048" w:val="left"/>
              </w:tabs>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Nu se accepta </w:t>
            </w:r>
            <w:r>
              <w:rPr>
                <w:color w:val="000000"/>
                <w:spacing w:val="0"/>
                <w:w w:val="100"/>
                <w:position w:val="0"/>
                <w:sz w:val="24"/>
                <w:szCs w:val="24"/>
                <w:shd w:val="clear" w:color="auto" w:fill="auto"/>
                <w:lang w:val="en-US" w:eastAsia="en-US" w:bidi="en-US"/>
              </w:rPr>
              <w:t>Instituirea instantelor specializate este un exemplu de buna practica la nivel global, iar masura a fost modificata in conformitate cu propunerea CSJ pentru ca in calitate de executor al actiunii nr.6, ce se refera la instantele de judecata sa fie executata de institutiile responsabile (CSJ si CSM) si sa fie expusa in puncte distincte, precum si delimitarea initiativei legislative cu privire la adoptarea proiectului de lege, de crearea completelor specializate</w:t>
              <w:tab/>
              <w:t>functionale.</w:t>
            </w:r>
          </w:p>
          <w:p>
            <w:pPr>
              <w:pStyle w:val="Style32"/>
              <w:keepNext w:val="0"/>
              <w:keepLines w:val="0"/>
              <w:widowControl w:val="0"/>
              <w:shd w:val="clear" w:color="auto" w:fill="auto"/>
              <w:bidi w:val="0"/>
              <w:spacing w:before="0" w:after="0" w:line="240" w:lineRule="auto"/>
              <w:ind w:left="0" w:right="0" w:firstLine="0"/>
              <w:jc w:val="left"/>
            </w:pPr>
            <w:r>
              <w:fldChar w:fldCharType="begin"/>
            </w:r>
            <w:r>
              <w:rPr/>
              <w:instrText> HYPERLINK "http://www.u4.no/publications/specialised-anti-corruption-courts-a-comparative-mapping/" </w:instrText>
            </w:r>
            <w:r>
              <w:fldChar w:fldCharType="separate"/>
            </w:r>
            <w:r>
              <w:rPr>
                <w:color w:val="000000"/>
                <w:spacing w:val="0"/>
                <w:w w:val="100"/>
                <w:position w:val="0"/>
                <w:sz w:val="24"/>
                <w:szCs w:val="24"/>
                <w:shd w:val="clear" w:color="auto" w:fill="auto"/>
                <w:lang w:val="en-US" w:eastAsia="en-US" w:bidi="en-US"/>
              </w:rPr>
              <w:t>(</w:t>
            </w:r>
            <w:r>
              <w:rPr>
                <w:color w:val="0000FF"/>
                <w:spacing w:val="0"/>
                <w:w w:val="100"/>
                <w:position w:val="0"/>
                <w:sz w:val="24"/>
                <w:szCs w:val="24"/>
                <w:shd w:val="clear" w:color="auto" w:fill="auto"/>
                <w:lang w:val="en-US" w:eastAsia="en-US" w:bidi="en-US"/>
              </w:rPr>
              <w:t>http://www.u4.no/publications/specialised</w:t>
            </w:r>
            <w:r>
              <w:fldChar w:fldCharType="end"/>
            </w:r>
            <w:r>
              <w:rPr>
                <w:color w:val="0000FF"/>
                <w:spacing w:val="0"/>
                <w:w w:val="100"/>
                <w:position w:val="0"/>
                <w:sz w:val="24"/>
                <w:szCs w:val="24"/>
                <w:shd w:val="clear" w:color="auto" w:fill="auto"/>
                <w:lang w:val="en-US" w:eastAsia="en-US" w:bidi="en-US"/>
              </w:rPr>
              <w:t xml:space="preserve"> </w:t>
            </w:r>
            <w:r>
              <w:fldChar w:fldCharType="begin"/>
            </w:r>
            <w:r>
              <w:rPr/>
              <w:instrText> HYPERLINK "http://www.u4.no/publications/specialised-anti-corruption-courts-a-comparative-mapping/" </w:instrText>
            </w:r>
            <w:r>
              <w:fldChar w:fldCharType="separate"/>
            </w:r>
            <w:r>
              <w:rPr>
                <w:color w:val="0000FF"/>
                <w:spacing w:val="0"/>
                <w:w w:val="100"/>
                <w:position w:val="0"/>
                <w:sz w:val="24"/>
                <w:szCs w:val="24"/>
                <w:shd w:val="clear" w:color="auto" w:fill="auto"/>
                <w:lang w:val="en-US" w:eastAsia="en-US" w:bidi="en-US"/>
              </w:rPr>
              <w:t>-anti-corruption-courts-a-comparative-</w:t>
            </w:r>
            <w:r>
              <w:fldChar w:fldCharType="end"/>
            </w:r>
            <w:r>
              <w:rPr>
                <w:color w:val="0000FF"/>
                <w:spacing w:val="0"/>
                <w:w w:val="100"/>
                <w:position w:val="0"/>
                <w:sz w:val="24"/>
                <w:szCs w:val="24"/>
                <w:shd w:val="clear" w:color="auto" w:fill="auto"/>
                <w:lang w:val="en-US" w:eastAsia="en-US" w:bidi="en-US"/>
              </w:rPr>
              <w:t xml:space="preserve"> </w:t>
            </w:r>
            <w:r>
              <w:fldChar w:fldCharType="begin"/>
            </w:r>
            <w:r>
              <w:rPr/>
              <w:instrText> HYPERLINK "http://www.u4.no/publications/specialised-anti-corruption-courts-a-comparative-mapping/" </w:instrText>
            </w:r>
            <w:r>
              <w:fldChar w:fldCharType="separate"/>
            </w:r>
            <w:r>
              <w:rPr>
                <w:color w:val="0000FF"/>
                <w:spacing w:val="0"/>
                <w:w w:val="100"/>
                <w:position w:val="0"/>
                <w:sz w:val="24"/>
                <w:szCs w:val="24"/>
                <w:shd w:val="clear" w:color="auto" w:fill="auto"/>
                <w:lang w:val="en-US" w:eastAsia="en-US" w:bidi="en-US"/>
              </w:rPr>
              <w:t>mapping/</w:t>
            </w:r>
            <w:r>
              <w:fldChar w:fldCharType="end"/>
            </w:r>
            <w:r>
              <w:rPr>
                <w:color w:val="0000FF"/>
                <w:spacing w:val="0"/>
                <w:w w:val="100"/>
                <w:position w:val="0"/>
                <w:sz w:val="24"/>
                <w:szCs w:val="24"/>
                <w:shd w:val="clear" w:color="auto" w:fill="auto"/>
                <w:lang w:val="en-US" w:eastAsia="en-US" w:bidi="en-US"/>
              </w:rPr>
              <w:t xml:space="preserve"> </w:t>
            </w:r>
            <w:r>
              <w:fldChar w:fldCharType="begin"/>
            </w:r>
            <w:r>
              <w:rPr/>
              <w:instrText> HYPERLINK "http://www.u4.no/publications/specialised-anti-corruption-courts-uganda/" </w:instrText>
            </w:r>
            <w:r>
              <w:fldChar w:fldCharType="separate"/>
            </w:r>
            <w:r>
              <w:rPr>
                <w:color w:val="0000FF"/>
                <w:spacing w:val="0"/>
                <w:w w:val="100"/>
                <w:position w:val="0"/>
                <w:sz w:val="24"/>
                <w:szCs w:val="24"/>
                <w:shd w:val="clear" w:color="auto" w:fill="auto"/>
                <w:lang w:val="en-US" w:eastAsia="en-US" w:bidi="en-US"/>
              </w:rPr>
              <w:t>http://www.u4.no/publications/specialised-</w:t>
            </w:r>
            <w:r>
              <w:fldChar w:fldCharType="end"/>
            </w:r>
            <w:r>
              <w:rPr>
                <w:color w:val="0000FF"/>
                <w:spacing w:val="0"/>
                <w:w w:val="100"/>
                <w:position w:val="0"/>
                <w:sz w:val="24"/>
                <w:szCs w:val="24"/>
                <w:shd w:val="clear" w:color="auto" w:fill="auto"/>
                <w:lang w:val="en-US" w:eastAsia="en-US" w:bidi="en-US"/>
              </w:rPr>
              <w:t xml:space="preserve"> </w:t>
            </w:r>
            <w:r>
              <w:fldChar w:fldCharType="begin"/>
            </w:r>
            <w:r>
              <w:rPr/>
              <w:instrText> HYPERLINK "http://www.u4.no/publications/specialised-anti-corruption-courts-uganda/" </w:instrText>
            </w:r>
            <w:r>
              <w:fldChar w:fldCharType="separate"/>
            </w:r>
            <w:r>
              <w:rPr>
                <w:color w:val="0000FF"/>
                <w:spacing w:val="0"/>
                <w:w w:val="100"/>
                <w:position w:val="0"/>
                <w:sz w:val="24"/>
                <w:szCs w:val="24"/>
                <w:shd w:val="clear" w:color="auto" w:fill="auto"/>
                <w:lang w:val="en-US" w:eastAsia="en-US" w:bidi="en-US"/>
              </w:rPr>
              <w:t xml:space="preserve">anti-corruption-courts-uganda/ </w:t>
            </w:r>
            <w:r>
              <w:fldChar w:fldCharType="end"/>
            </w:r>
            <w:r>
              <w:rPr>
                <w:color w:val="000000"/>
                <w:spacing w:val="0"/>
                <w:w w:val="100"/>
                <w:position w:val="0"/>
                <w:sz w:val="24"/>
                <w:szCs w:val="24"/>
                <w:shd w:val="clear" w:color="auto" w:fill="auto"/>
                <w:lang w:val="en-US" w:eastAsia="en-US" w:bidi="en-US"/>
              </w:rPr>
              <w:t>). „In timp ce agentiile anticoruptie cu atributii investigatie si/sau de urmarire penala au atras mai multa atentie, specializarea</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6365"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tabs>
                <w:tab w:pos="1382" w:val="left"/>
                <w:tab w:pos="3317"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judiciara este o caracteristica tot mai raspandita a strategiilor de reforma nationale anticoruptie.” Cel mai comun argument pentru crearea unei instante anticorupfie speciale este nevoia de o mai mare eficienta in rezolvarea cazurilor cu promptitudine si care trebuie sa semnaleze diverse segmente de interes public interne si internationale din tara care duce o lupta serioasa impotriva coruptiei. In unele fari, preocuparile cu privire la capacitatea instantelor obisnuite de a gestiona cazurile de coruptie impartial, si fara a fi obstrucfionate au jucat de asemenea un rol important in decizia de a crea Instante speciale anticoruptie. Totodata, urmare a constatarii provocarilor identificate in implementarea actiunii Nr. 6, s-a impus necesitatea realizarii unei analize detaliate privind</w:t>
              <w:tab/>
              <w:t>oportunitatea</w:t>
              <w:tab/>
              <w:t>instituirii</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instantelor/completelor specializate pentru examinarea dosarelor pentru acte de coruptie si conexe coruptiei.</w:t>
            </w:r>
          </w:p>
        </w:tc>
      </w:tr>
      <w:tr>
        <w:trPr>
          <w:trHeight w:val="56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actiunea nr. 13 Pilonul III, propunem includerea in calitate de coexecutor UARM</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835"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actiunea nr. 14, Pilonul III, propunem excluderea indicatorului de progres “Recomandari formulate” or aceste sunt parte componenta a Hotaririlor explicative a CSJ. Totodata, propunem indicarea expresa a hotararilor explicative ale CSJ.</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Nu se accepta. </w:t>
            </w:r>
            <w:r>
              <w:rPr>
                <w:color w:val="000000"/>
                <w:spacing w:val="0"/>
                <w:w w:val="100"/>
                <w:position w:val="0"/>
                <w:sz w:val="24"/>
                <w:szCs w:val="24"/>
                <w:shd w:val="clear" w:color="auto" w:fill="auto"/>
                <w:lang w:val="en-US" w:eastAsia="en-US" w:bidi="en-US"/>
              </w:rPr>
              <w:t>Recomandarile formulate se refera la Studiul/analiza elaborata</w:t>
            </w:r>
          </w:p>
        </w:tc>
      </w:tr>
      <w:tr>
        <w:trPr>
          <w:trHeight w:val="2506"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actiunea nr. 37 a Pilonului III., nu este clar cine va efectua instruirile date si cine va elabora curriculum-urile respective. In acest context daca se preconizeaza instruire in cadrul centrului de instruire al UARM- atunci Planul de actiuni trebuie sa prevada surse de finantare nebugetare, identificate in mod cert care sa asigure financiar elaborarea curriculum-urile, desfasurarea instruirii avocatilor si avocatilor stagiari, si evaluarea acestor instruiri. In cazul in care instruire vor fi realizate in cadrul altei institutii, atunci aceasta trebuie sa fie inclusa in lista institutiilor responsabile. Totodata, este important de subliniat ca asistenta juridica este acordata victimelor si partilor vatamate nu doar in cadrul sistemului de asistenta juridica garantata de stat, ci si inafara acestui sistem. Prin</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bl>
    <w:p>
      <w:pPr>
        <w:widowControl w:val="0"/>
        <w:spacing w:line="1" w:lineRule="exact"/>
      </w:pPr>
      <w:r>
        <w:br w:type="page"/>
      </w:r>
    </w:p>
    <w:tbl>
      <w:tblPr>
        <w:tblOverlap w:val="never"/>
        <w:jc w:val="center"/>
        <w:tblLayout w:type="fixed"/>
      </w:tblPr>
      <w:tblGrid>
        <w:gridCol w:w="706"/>
        <w:gridCol w:w="1843"/>
        <w:gridCol w:w="8645"/>
        <w:gridCol w:w="4387"/>
      </w:tblGrid>
      <w:tr>
        <w:trPr>
          <w:trHeight w:val="3043"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urmare instruirea nu se poate limita doar la avocatii care acorda asistenta juridica in cadrul sistemului de asistenta juridica garantata de stat.</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Daca, totusi, autoritatea emitenta decide sa se limiteze doar la instruirea avocatilor care acorda asistenta juridica in cadrul sistemului de asistenta juridica garantata de stat, atunci propunem excluderea UARM din lista autoritatilor responsabile or, colaborarea UARM si a CNAJGS in privinta elaborarii curiumul-urilor de instruire are loc in cadrul sistemului institutional al CNAJGS si in temeiul legislatiei in domeniul asistentei juridice garantate de stat, iar o alta raportare separata din partea UARM privind executarea acestei actiuni nu este necesara.</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indicatorii de progres propunem substituirea cuvintelor “persoane instruite” cu cuvintele “avocatii instruiti ”.</w:t>
            </w:r>
          </w:p>
        </w:tc>
        <w:tc>
          <w:tcPr>
            <w:tcBorders>
              <w:top w:val="single" w:sz="4"/>
              <w:left w:val="single" w:sz="4"/>
              <w:right w:val="single" w:sz="4"/>
            </w:tcBorders>
            <w:shd w:val="clear" w:color="auto" w:fill="FFFFFF"/>
            <w:vAlign w:val="top"/>
          </w:tcPr>
          <w:p>
            <w:pPr>
              <w:widowControl w:val="0"/>
              <w:rPr>
                <w:sz w:val="10"/>
                <w:szCs w:val="10"/>
              </w:rPr>
            </w:pPr>
          </w:p>
        </w:tc>
      </w:tr>
      <w:tr>
        <w:trPr>
          <w:trHeight w:val="111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punctul 1 Pilonul VII, propunem completarea informatiilor accesibile publicului despre persoana juridica cu informatia despre sediul persoanei juridice si existenta sucursalelor, or aceste informatii ofera transparenta a sectorului privat si va permite diminuarea practicilor de pseudoactivitate si apararea drepturilor persoanelor pagubite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6091"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8.</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Agentia de</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Guvernare</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Electronica</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La Pilonul II, Prioritatea II.3 Transparenta si responsabilitate in fata cetatenilor: Actiunea 20 la definitivarea proiectului Planului de actiuni, recomandam ca CNA sa examineze suplimentar, in comun cu Cancelaria de Stat si Ministerul Justitiei, oportunitatea pastrarii actiunii respective in versiunea actualizata a Planului.</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In acest context, propunem sa se examineze posibilitatea crearii platformei respective in baza functionalitatilor sau, dupa caz, prin dezvoltarea functionalitatilor Sistemului informational e-Legislatie, utilizarea caruia de catre autoritatile publice este prevazuta in art.22 alin.(1) din Legea nr.100/2017 cu privire la actele normative.</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Potrivit legii in cauza, SI e-Legislatie, urma a fi instituit pentru asigurarea transparentei procesului legislativ, ale carui functionare si mod de utilizare trebuia sa fie stabilit de Guvern. Potrivit fundamentarii Ministerului Justitiei la etapa promovarii proiectului de lege cu privire la actele normative, SI e-Legislatie, a avut ca obiectiv primar facilitarea procesului de creatie legislativa si urma a fi dezvoltat, astfel incat sa cuprinda traseul unui proiect de act normativ la toate etapele procesului legislativ (elaborare, avizare, expertizare), concentrate intr-un singur sistem - accesibil subiectilor implicati in procesul legislativ, inclusiv publicului.</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Din informatiile de care dispunem, SI e-Legislatie a fost dezvoltat si pilotat de Ministerul Justitiei, dar, din motive ce nu ne sunt cunoscute, asa si nu a fost lansat pentru a fi utilizat. Astfel fiind mentionate cele de mai sus, daca, in final, se va decide totusi pastrarea actiunii respective in formula initiala, propunem sa fie revizuit termenul de realizare a acesteia, deoarece acesta a fost depasit, iar colonita „Institutia responsabila”, dupa Cancelaria de Stat, sa fie completata cu pozitia „Serviciul</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33" w:lineRule="auto"/>
              <w:ind w:left="0" w:right="0" w:firstLine="0"/>
              <w:jc w:val="left"/>
            </w:pPr>
            <w:r>
              <w:rPr>
                <w:b/>
                <w:bCs/>
                <w:color w:val="000000"/>
                <w:spacing w:val="0"/>
                <w:w w:val="100"/>
                <w:position w:val="0"/>
                <w:sz w:val="24"/>
                <w:szCs w:val="24"/>
                <w:shd w:val="clear" w:color="auto" w:fill="auto"/>
                <w:lang w:val="en-US" w:eastAsia="en-US" w:bidi="en-US"/>
              </w:rPr>
              <w:t xml:space="preserve">Se accepta partial </w:t>
            </w:r>
            <w:r>
              <w:rPr>
                <w:color w:val="000000"/>
                <w:spacing w:val="0"/>
                <w:w w:val="100"/>
                <w:position w:val="0"/>
                <w:sz w:val="24"/>
                <w:szCs w:val="24"/>
                <w:shd w:val="clear" w:color="auto" w:fill="auto"/>
                <w:lang w:val="en-US" w:eastAsia="en-US" w:bidi="en-US"/>
              </w:rPr>
              <w:t>Textul este modificat conform propunerii.</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222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Tehnologia Informatiei si Securitate Cibernetica”, dat fiind ca, potrivit pct.3 din Hotararea Guvernului nr.1464/2007, STISC este administratorul tehnico-tehnologic al Paginii oficiale a Guvernului in reteaua Internet (</w:t>
            </w:r>
            <w:r>
              <w:fldChar w:fldCharType="begin"/>
            </w:r>
            <w:r>
              <w:rPr/>
              <w:instrText> HYPERLINK "http://gov.md/ro" </w:instrText>
            </w:r>
            <w:r>
              <w:fldChar w:fldCharType="separate"/>
            </w:r>
            <w:r>
              <w:rPr>
                <w:color w:val="000000"/>
                <w:spacing w:val="0"/>
                <w:w w:val="100"/>
                <w:position w:val="0"/>
                <w:sz w:val="24"/>
                <w:szCs w:val="24"/>
                <w:shd w:val="clear" w:color="auto" w:fill="auto"/>
                <w:lang w:val="en-US" w:eastAsia="en-US" w:bidi="en-US"/>
              </w:rPr>
              <w:t>http://gov.md/ro</w:t>
            </w:r>
            <w:r>
              <w:fldChar w:fldCharType="end"/>
            </w:r>
            <w:r>
              <w:rPr>
                <w:color w:val="000000"/>
                <w:spacing w:val="0"/>
                <w:w w:val="100"/>
                <w:position w:val="0"/>
                <w:sz w:val="24"/>
                <w:szCs w:val="24"/>
                <w:shd w:val="clear" w:color="auto" w:fill="auto"/>
                <w:lang w:val="en-US" w:eastAsia="en-US" w:bidi="en-US"/>
              </w:rPr>
              <w:t>).</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Totodata, cuvintele „Centrul de Guvernare Electronica” urmeaza a fi substituite cu cuvintele „Agentia de Guvernare Electronica”, indicindu-se denumirea corecta a acestei institutii (a se vedea Hotararea Guvernului nr.760/2010 cu privire la Institutia publica „Agentia de Guvernare Electronica”), care va participa la realizarea actiunii respective conform competentelor proprii.</w:t>
            </w:r>
          </w:p>
        </w:tc>
        <w:tc>
          <w:tcPr>
            <w:tcBorders>
              <w:top w:val="single" w:sz="4"/>
              <w:left w:val="single" w:sz="4"/>
              <w:right w:val="single" w:sz="4"/>
            </w:tcBorders>
            <w:shd w:val="clear" w:color="auto" w:fill="FFFFFF"/>
            <w:vAlign w:val="top"/>
          </w:tcPr>
          <w:p>
            <w:pPr>
              <w:widowControl w:val="0"/>
              <w:rPr>
                <w:sz w:val="10"/>
                <w:szCs w:val="10"/>
              </w:rPr>
            </w:pPr>
          </w:p>
        </w:tc>
      </w:tr>
      <w:tr>
        <w:trPr>
          <w:trHeight w:val="58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La actiunea 21 „Extinderea listei de servicii publice prestate prin intermediul platformei electronice www.servicii.gov.md”, precizam ca, potrivit pct.4 lit. c) din HG nr.330/2012 „Cu privire la crearea si administrarea portalului guvernamental unic al serviciilor publice”, sarcina integrarii in portal a serviciilor publice electronice noi, inclusiv celor in curs de dezvoltare, le revine nemijlocit entitatilor prestatoare de servicii. Totodata, AGE este responsabila de asigurarea functionarii portalului si acordarea entitatilor prestatoare de servicii a suportului metodologic pentru actualizarea informatiei si integrarea serviciilor electronice in portal (conform pct.5 lit. a) si b) din HG nr.330/2012). Cu alte cuvinte, sarcina cresterii numarului serviciilor publice disponibile prin portalul </w:t>
            </w:r>
            <w:r>
              <w:fldChar w:fldCharType="begin"/>
            </w:r>
            <w:r>
              <w:rPr/>
              <w:instrText> HYPERLINK "https://servicii.gov.md/" </w:instrText>
            </w:r>
            <w:r>
              <w:fldChar w:fldCharType="separate"/>
            </w:r>
            <w:r>
              <w:rPr>
                <w:color w:val="000000"/>
                <w:spacing w:val="0"/>
                <w:w w:val="100"/>
                <w:position w:val="0"/>
                <w:sz w:val="24"/>
                <w:szCs w:val="24"/>
                <w:shd w:val="clear" w:color="auto" w:fill="auto"/>
                <w:lang w:val="en-US" w:eastAsia="en-US" w:bidi="en-US"/>
              </w:rPr>
              <w:t>https://servicii.gov.md/</w:t>
            </w:r>
            <w:r>
              <w:fldChar w:fldCharType="end"/>
            </w:r>
            <w:r>
              <w:rPr>
                <w:color w:val="000000"/>
                <w:spacing w:val="0"/>
                <w:w w:val="100"/>
                <w:position w:val="0"/>
                <w:sz w:val="24"/>
                <w:szCs w:val="24"/>
                <w:shd w:val="clear" w:color="auto" w:fill="auto"/>
                <w:lang w:val="en-US" w:eastAsia="en-US" w:bidi="en-US"/>
              </w:rPr>
              <w:t>, inclusiv de digitizare a serviciilor de care sunt responsabile, le revine prestatorilor de servicii publice si nu AGE. In alta ordine de idei, mentionam ca, in cadrul realizarii actiunii 3.1. din Planul de actiuni privind reforma de modernizare a serviciilor publice pentru anii 2017-2021 (aprobat prin HG nr.966/2016), sunt planificate o serie de activitati practice de identificare si eliminare a serviciilor publice depasite de timp. Astfel, nu este exclus ca tendinta de reducere a numarului serviciilor publice sa continua. In aceasta ordine de idei si in baza prevederilor actelor normative mentionate mai sus, propunem ca primii responsabili de executarea actiunii respective sa se indice entitatile prestatoare de servicii publice, iar Agentia de Guvernare Electronica sa figureze ca si partener in implementare. In acest sens, cuvintele „Centrul de Guvernare Electronica” urmeaza a fi substituite cu cuvintele „Agentia de Guvernare Electronica”, indicindu-se denumirea corecta a acestei institutii.</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2227"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Actiunea 22 „Asigurarea functionalitatii resursei informationale in domeniul comertului” propunem a fi exclusa, deoarece aceasta si-a pierdut actualitatea si nu mai corespunde cadrului normativ aferent. Astfel, in conformitate cu pct.1 din Hotararea Guvernului nr.1236/2018 cu privire la instituirea resursei informationale in domeniul comertului, resursa informationala in domeniul comertului a fost instituita in baza Sistemului informational automatizat de gestionare si eliberare a actelor permisive (SIAGEAP), iar sarcina pentru autoritatile publice implicate in implementarea solutiilor de ghi§eu unic din domeniul comertului de a utiliza SIAGEAP in calitate de resursa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222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informafionala in domeniul comerfului este stabilita expres in pct.4 din actul normativ in cauza.</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De asemenea, este oportun de mentionat ca, potrivit pct.11 Hotararea Guvernului nr.753/2016 pentru aprobarea Conceptului mecanismului de gestionare si eliberare a actelor permisive si a Planului de acfiuni privind implementarea solufiilor de ghiseu unic, cu modificarile introduse prin Hotararea Guvernului nr.913/2020 pentru modificarea unor hotarari ale Guvernului, recent calitatea de posesor si detinator al SIAGEAP a fost preluata de catre Agentia de Guvernare Electronica.</w:t>
            </w:r>
          </w:p>
        </w:tc>
        <w:tc>
          <w:tcPr>
            <w:tcBorders>
              <w:top w:val="single" w:sz="4"/>
              <w:left w:val="single" w:sz="4"/>
              <w:right w:val="single" w:sz="4"/>
            </w:tcBorders>
            <w:shd w:val="clear" w:color="auto" w:fill="FFFFFF"/>
            <w:vAlign w:val="top"/>
          </w:tcPr>
          <w:p>
            <w:pPr>
              <w:widowControl w:val="0"/>
              <w:rPr>
                <w:sz w:val="10"/>
                <w:szCs w:val="10"/>
              </w:rPr>
            </w:pPr>
          </w:p>
        </w:tc>
      </w:tr>
      <w:tr>
        <w:trPr>
          <w:trHeight w:val="8026"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Pilonul III, Prioritatea III.2. Actiunea nr. 11 este necesar de formulat si adus in concordanta cu terminologia utilizata in art.23 alin.(2) din Legea nr.467/2003 cu privire la informatizare si la resursele informationale de stat si Hotararea Guvernului nr.228/2020 pentru aprobarea Regulamentului cu privire la organizarea si functionarea Sistemului informational automatizat „e-Integritate”. In acest sens, propunem actiunea respectiva sa fie expusa in urmatoarea redactie: „Asigurarea efectuarii auditului de securitate cibernetica a Sistemului informational automatizat „e-Integritate”. De asemenea, la colonita “Institutia responsabila”, consideram necesar ca si primul responsabil si coordonator al implementarii actiunii respective sa fie indicata Autoritatea Nationala de Integritate, iar ca parteneri la executarea actiunii - CNA si Agentia de Guvernare Electronica. Argumentam aceasta obiectie prin faptul ca, pornind de la misiunea, functiile si atributiile ANI, stabilite in Legea nr.132/2016 cu privire la Autoritatea Nationala de Integritate, principalul responsabil de realizarea actiunii respective trebuie sa fie indicata anume ANI. Participarea CNA la realizarea acestei actiuni se considera oportuna pentru stabilirea clara a scopului si obiectivelor auditului de securitate cibernetica a SIA „e-Integritate”, luand in considerare misiunea si competentele CNA, conform Legii nr.1104/2002 cu privire la Centrul National Anticoruptie. Respectiv, Agentia de Guvernare Electronica va fi responsabila de efectuarea nemijlocit a auditului de securitate cibernetica, in conformitate cu competentele Agentiei, stabilite in art.23 alin.(2) din Legea nr.467/2003 cu privire la informatizare si la resursele informationale de stat si functiilor institutiei stipulate in statutul acesteia, aprobat prin Hotararea Guvernului nr.760/2010. Totodata, pentru asigurarea unei monitorizari adecvate a implementarii actiunii respective si atingerea obiectivelor stabilite, propunem ca indicatorul de progres al actiunii respective sa fie reformulat si expus in urmatoarea redactie: „Obiectivele auditului identificate de ANI, in comun cu CNA; Accesul la SIA „e-Integritate” acordat de catre ANI persoanelor abilitate desemnate de AGE; Auditul de securitate cibernetica propriu-zis efectuat de catre AGE; Raportul de audit intocmit de catre AGE si prezentat ANI pentru luarea masurilor de rigoare si CNA pentru informare.”. In ordinea expusa in obiectia de mai</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Se accepta partial</w:t>
            </w:r>
            <w:r>
              <w:rPr>
                <w:color w:val="000000"/>
                <w:spacing w:val="0"/>
                <w:w w:val="100"/>
                <w:position w:val="0"/>
                <w:sz w:val="24"/>
                <w:szCs w:val="24"/>
                <w:shd w:val="clear" w:color="auto" w:fill="auto"/>
                <w:lang w:val="en-US" w:eastAsia="en-US" w:bidi="en-US"/>
              </w:rPr>
              <w:t>. Textul este modificat conform propunerii.</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566"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sus, la colonita „Sursa de verificare”, propunem sa se indice corespunzator - „Pagina web a Autoritatii Nationale de Integritate”.</w:t>
            </w:r>
          </w:p>
        </w:tc>
        <w:tc>
          <w:tcPr>
            <w:tcBorders>
              <w:top w:val="single" w:sz="4"/>
              <w:left w:val="single" w:sz="4"/>
              <w:right w:val="single" w:sz="4"/>
            </w:tcBorders>
            <w:shd w:val="clear" w:color="auto" w:fill="FFFFFF"/>
            <w:vAlign w:val="top"/>
          </w:tcPr>
          <w:p>
            <w:pPr>
              <w:widowControl w:val="0"/>
              <w:rPr>
                <w:sz w:val="10"/>
                <w:szCs w:val="10"/>
              </w:rPr>
            </w:pPr>
          </w:p>
        </w:tc>
      </w:tr>
      <w:tr>
        <w:trPr>
          <w:trHeight w:val="9120"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en-US" w:eastAsia="en-US" w:bidi="en-US"/>
              </w:rPr>
              <w:t>9.</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Ministerul</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Finantelor</w:t>
            </w:r>
          </w:p>
          <w:p>
            <w:pPr>
              <w:pStyle w:val="Style32"/>
              <w:keepNext w:val="0"/>
              <w:keepLines w:val="0"/>
              <w:widowControl w:val="0"/>
              <w:shd w:val="clear" w:color="auto" w:fill="auto"/>
              <w:bidi w:val="0"/>
              <w:spacing w:before="0" w:after="0" w:line="180" w:lineRule="auto"/>
              <w:ind w:left="0" w:right="0" w:firstLine="1000"/>
              <w:jc w:val="left"/>
            </w:pPr>
            <w:r>
              <w:rPr>
                <w:b/>
                <w:bCs/>
                <w:color w:val="000000"/>
                <w:spacing w:val="0"/>
                <w:w w:val="100"/>
                <w:position w:val="0"/>
                <w:sz w:val="24"/>
                <w:szCs w:val="24"/>
                <w:shd w:val="clear" w:color="auto" w:fill="auto"/>
                <w:lang w:val="en-US" w:eastAsia="en-US" w:bidi="en-US"/>
              </w:rPr>
              <w:t>9</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actiunile nr. 2, 3 si 4 din Pilonul I Parlamentul, Prioritatea I.1 Promovarea eticii deputatilor, cu privire la fortificarea capacitatilor institutionale ale Secretariatului Parlamentului se informeaza ca, in Legea bugetului de stat pentru anul 2021 nr.258/2020 nu sunt prevazute mijloace financiare pentru implementarea masurilor mentionate. Concomitent, pe marginea subiectului ce tine de instituirea functiei de ,,Comisar pentru etica”, urmeaza sa se expuna Cancelaria de Stat, autoritatea publica responsabila de coordonarea procesului de planificare si monitorizare a politicilor publice, precum si promovarea politicii statului in domeniul serviciului public, in special al managementului resurselor umane. De mentionat ca, Legea nr.155/2011 pentru aprobarea Clasificatorului unic al functiilor publice nu prevede acest tip de functie;</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tabs>
                <w:tab w:pos="1262" w:val="left"/>
                <w:tab w:pos="4171" w:val="right"/>
              </w:tabs>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Nu se accepta. </w:t>
            </w:r>
            <w:r>
              <w:rPr>
                <w:color w:val="000000"/>
                <w:spacing w:val="0"/>
                <w:w w:val="100"/>
                <w:position w:val="0"/>
                <w:sz w:val="24"/>
                <w:szCs w:val="24"/>
                <w:shd w:val="clear" w:color="auto" w:fill="auto"/>
                <w:lang w:val="en-US" w:eastAsia="en-US" w:bidi="en-US"/>
              </w:rPr>
              <w:t>Termenele de realizarea a actiunilor nr. 2, 3 si 4, Prioritatea I.1, a fost stabilit anul 2022, respectiv, pe parcursul anului 2021, Parlamentul va putea planifica resurselor bugetare pentru realizarea activitatilor pentru anul 2022. Totodata, Parlamentul este asistat de proiectul PNUD, ”Consolidarea Guvernarii Parlamentare in Republica Moldova” care acorda suport in vederea</w:t>
              <w:tab/>
              <w:t>consolidarea</w:t>
              <w:tab/>
              <w:t>capacitatilor</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Parlamentului Republicii Moldova in realizarea functiilor legislativa, control si reprezentare, cu un accent specific pe integrarea UE si Obiectivele de Dezvoltare Durabila (ODD).</w:t>
            </w:r>
          </w:p>
          <w:p>
            <w:pPr>
              <w:pStyle w:val="Style32"/>
              <w:keepNext w:val="0"/>
              <w:keepLines w:val="0"/>
              <w:widowControl w:val="0"/>
              <w:shd w:val="clear" w:color="auto" w:fill="auto"/>
              <w:tabs>
                <w:tab w:pos="1248"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Totodata, merita a fi mentionat, Raportul de conformitate, in cadrul rundei a IV-a de evaluare a Republicii Moldova privind prevenirea coruptiei in randurile membrilor parlamentului, judecatorilor si procurorilor 2 al Grupului de State Contra Coruptiei (GRECO) - Comitet specializat al Consiliului Europei in prevenirea si combaterea coruptiei, care evidentiaza, ca Republica Moldova trebuie sa faca progrese semnificative pentru a atinge un nivel acceptabil de conformitate, criticind faptul ca nu a fost adoptat un cod de conduita pentru deputati si ca nu au fost luate inca masuri de prevenire a diferitelor forme de conflicte</w:t>
              <w:tab/>
              <w:t>de interese in rindul</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parlamentarilor, astfel reiterind importanta realizarii actiunilor evidentiate supra.</w:t>
            </w:r>
          </w:p>
        </w:tc>
      </w:tr>
      <w:tr>
        <w:trPr>
          <w:trHeight w:val="571"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actiunea nr. 14 din Pilonul II Guvernul, sectorul public si administrate publica locala, Prioritatea II. 1 Promovarea integritatii in cadrul entitatilor publice, la coloana „Indicator</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222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de progres”, indicatorul ,,Raportul privind implementarea masurilor de tratare a riscurilor, elaborat anual” urmeaza a fi inlocuit cu indicatorul ,,Raportarea, cel putin anuala, privind implementarea masurilor de tratare a riscurilor”, dat fiind faptul ca cadrul legislativ-normativ nu prevede obligativitatea pentru entitatile publice de elaborare a unor rapoarte separate privind managementul riscurilor, inclusiv a riscurilor de coruptie. De mentionat ca, deseori raportarea masurilor/activitatilor de control, implementate in vederea gestionarii riscurilor, se efectueaza integrat in rapoartele de performanta cu privire la progresele inregistrate in implementarea planului anual de activitate al entitatii;</w:t>
            </w:r>
          </w:p>
        </w:tc>
        <w:tc>
          <w:tcPr>
            <w:tcBorders>
              <w:top w:val="single" w:sz="4"/>
              <w:left w:val="single" w:sz="4"/>
              <w:right w:val="single" w:sz="4"/>
            </w:tcBorders>
            <w:shd w:val="clear" w:color="auto" w:fill="FFFFFF"/>
            <w:vAlign w:val="top"/>
          </w:tcPr>
          <w:p>
            <w:pPr>
              <w:widowControl w:val="0"/>
              <w:rPr>
                <w:sz w:val="10"/>
                <w:szCs w:val="10"/>
              </w:rPr>
            </w:pPr>
          </w:p>
        </w:tc>
      </w:tr>
      <w:tr>
        <w:trPr>
          <w:trHeight w:val="8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actiunea nr. 20 din Pilonul II Guvernul, sectorul public si administratie publica locala, Prioritatea II.3 Transparenta si responsabilitate in fata cetatenilor, termenul de realizare a actiunii urmeaza a fi corelat cu termenul Planului de actiuni propriu zis</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2491"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actiunea nr. 25 din Pilonul II Guvernul, sectorul public si administratie publica locala, Prioritatea II.3 Transparenta si responsabilitate in fata cetatenilor, la coloana ,,Institutia responsabila”, sintagma ,,entitatile publice, CS” urmeaza a fi inlocuita cu sintagma ,,CS, entitatile publice”. Propunerea de modificare a ordinii de stabilire a institutiilor responsabile este argumentata prin faptul ca realizarea indicatorului de progres, si anume publicate pe pagina web a Guvernului a sintezelor obiectiilor incluse in rapoartele de expertiza anticoruptie pe marginea proiectelor acte normative, tine de competenta directa a Cancelariei de Stat, autoritatilor publice centrale revenindu-le rolul de co-executori prin asigurarea intocmirii si prezentarii sintezelor mentionate;</w:t>
            </w:r>
          </w:p>
        </w:tc>
        <w:tc>
          <w:tcPr>
            <w:tcBorders>
              <w:top w:val="single" w:sz="4"/>
              <w:left w:val="single" w:sz="4"/>
              <w:right w:val="single" w:sz="4"/>
            </w:tcBorders>
            <w:shd w:val="clear" w:color="auto" w:fill="FFFFFF"/>
            <w:vAlign w:val="top"/>
          </w:tcPr>
          <w:p>
            <w:pPr>
              <w:widowControl w:val="0"/>
              <w:rPr>
                <w:sz w:val="10"/>
                <w:szCs w:val="10"/>
              </w:rPr>
            </w:pPr>
          </w:p>
        </w:tc>
      </w:tr>
      <w:tr>
        <w:trPr>
          <w:trHeight w:val="4714"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actiunea nr. 2 din Pilonul III Justitia si autoritatile anticoruptie, Prioritatea III.1 Integritatea autoritatilor anticoruptie si a organelor de ocrotire a normelor de drept, se informeaza ca in bugetul Serviciului Vamal pentru anul 2021 nu au fost prevazute alocatii bugetare intru procurarea a 2 aparate poligraf;</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Nu se accepta</w:t>
            </w:r>
          </w:p>
          <w:p>
            <w:pPr>
              <w:pStyle w:val="Style32"/>
              <w:keepNext w:val="0"/>
              <w:keepLines w:val="0"/>
              <w:widowControl w:val="0"/>
              <w:shd w:val="clear" w:color="auto" w:fill="auto"/>
              <w:tabs>
                <w:tab w:pos="653" w:val="left"/>
                <w:tab w:pos="1709" w:val="left"/>
                <w:tab w:pos="3043" w:val="left"/>
                <w:tab w:pos="3955"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Proiectul de modificare a planului de actiuni al</w:t>
              <w:tab/>
              <w:t>SNIA</w:t>
              <w:tab/>
              <w:t>intervine</w:t>
              <w:tab/>
              <w:t>doar</w:t>
              <w:tab/>
              <w:t>cu</w:t>
            </w:r>
          </w:p>
          <w:p>
            <w:pPr>
              <w:pStyle w:val="Style32"/>
              <w:keepNext w:val="0"/>
              <w:keepLines w:val="0"/>
              <w:widowControl w:val="0"/>
              <w:shd w:val="clear" w:color="auto" w:fill="auto"/>
              <w:tabs>
                <w:tab w:pos="2198" w:val="left"/>
                <w:tab w:pos="3782"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modificari/completari de precizare si de extindere a termenului pentru actiunile care nu au fost realizate in termen si care sunt pendinte fie a actiunilor cu caracter permanent. Notam faptul ca actiunea 1 si 2 de la Prioritatea III.1 au fost programate pentru realizare in anii 2017-2020, autoritatile responsabile urmand sa identifice, inclusiv sa prevada cheltuielile respective in CBTM. Omisiunea respectiva (neprogramarea mijloacelor bugetare in CBTM), urmeaza a fi solutionata prin examinarea oportunitatii atragerii surselor extrabugetare,</w:t>
              <w:tab/>
              <w:t>inclusiv</w:t>
              <w:tab/>
              <w:t>prin</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2501"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tabs>
                <w:tab w:pos="696" w:val="left"/>
                <w:tab w:pos="1349" w:val="left"/>
                <w:tab w:pos="2482" w:val="left"/>
                <w:tab w:pos="3000" w:val="left"/>
                <w:tab w:pos="3874"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programarea/solicitarea acestor surse in cadrul programelor/proiectelor partenerilor de dezvoltare si formularea unor solicitari exprese argumentate. Atentionam ca excluderea acestei actiuni risca sa afecteze intregul lant al actorilor care in activitatea lor</w:t>
              <w:tab/>
              <w:t>de</w:t>
              <w:tab/>
              <w:t>selectie</w:t>
              <w:tab/>
              <w:t>a</w:t>
              <w:tab/>
              <w:t>unor</w:t>
              <w:tab/>
              <w:t>noi</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angajati/colaboratori urmeaza sa aplice testul la poligraf.</w:t>
            </w:r>
          </w:p>
        </w:tc>
      </w:tr>
      <w:tr>
        <w:trPr>
          <w:trHeight w:val="111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Actiunea nr. 9 din Pilonul III Justitia si autoritatile anticoruptie, Prioritatea III.2 Eficienta justifiei si a autoritatilor anticoruptie, urmeaza a fi exclusa, dat fiind faptul ca resursele bugetare se aloca conform cadrului normativ in vigoare, in conformitate cu prioritatile stabilite;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111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actiunea nr. 22 din Pilonul III Justitia si autoritatile anticoruptie, Prioritatea III.3 Consolidarea masurilor educative si de prevenire a coruptiei, se informeaza ca in bugetul Autoritatii Nationale de Integritate pentru anul 2021 nu au fost prevazute alocatii bugetare pentru lansarea platformelor on-line de promovare a integritatii;</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partial. </w:t>
            </w:r>
            <w:r>
              <w:rPr>
                <w:color w:val="000000"/>
                <w:spacing w:val="0"/>
                <w:w w:val="100"/>
                <w:position w:val="0"/>
                <w:sz w:val="24"/>
                <w:szCs w:val="24"/>
                <w:shd w:val="clear" w:color="auto" w:fill="auto"/>
                <w:lang w:val="en-US" w:eastAsia="en-US" w:bidi="en-US"/>
              </w:rPr>
              <w:t>Textul a fost modificat.</w:t>
            </w:r>
          </w:p>
        </w:tc>
      </w:tr>
      <w:tr>
        <w:trPr>
          <w:trHeight w:val="277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tabs>
                <w:tab w:pos="4450"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La actiunea nr. 6 din Pilonul VII Sectorul privat, Prioritatea VII.2 Sporirea integritatii in activitatea intreprinderilor cu cota de capital integrala sau majoritara de stat/municipala, la coloana ,,Institutia responsabila”, sintagma ,,MF” urmeaza a fi inlocuita cu sintagma ,,IF”. Dat fiind abordarea per ansamblu in SNIA a modului de stabilire a institutiilor responsabile (la nivel de autoritate/institutie publica din subordine, si nu APC), se impune necesitatea concretizarii entitatii responsabile pentru realizarea actiunii mentionate, si anume Inspectia Financiara, reiesind din misiunea acestei autoritati stabilita in pct. 4 din Regulamentul privind organizarea si functionarea Inspectiei Financiare din subordinea Ministerului Finantelor, aprobat prin Hotararea Guvernului nr. </w:t>
            </w:r>
            <w:r>
              <w:rPr>
                <w:color w:val="000000"/>
                <w:spacing w:val="0"/>
                <w:w w:val="100"/>
                <w:position w:val="0"/>
                <w:sz w:val="24"/>
                <w:szCs w:val="24"/>
                <w:shd w:val="clear" w:color="auto" w:fill="auto"/>
                <w:lang w:val="ru-RU" w:eastAsia="ru-RU" w:bidi="ru-RU"/>
              </w:rPr>
              <w:t>1026/2010.</w:t>
              <w:tab/>
            </w:r>
            <w:r>
              <w:rPr>
                <w:color w:val="000000"/>
                <w:spacing w:val="0"/>
                <w:w w:val="100"/>
                <w:position w:val="0"/>
                <w:sz w:val="24"/>
                <w:szCs w:val="24"/>
                <w:shd w:val="clear" w:color="auto" w:fill="auto"/>
                <w:lang w:val="en-US" w:eastAsia="en-US" w:bidi="en-US"/>
              </w:rPr>
              <w:t>’</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835"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80"/>
              <w:jc w:val="left"/>
            </w:pPr>
            <w:r>
              <w:rPr>
                <w:color w:val="000000"/>
                <w:spacing w:val="0"/>
                <w:w w:val="100"/>
                <w:position w:val="0"/>
                <w:sz w:val="24"/>
                <w:szCs w:val="24"/>
                <w:shd w:val="clear" w:color="auto" w:fill="auto"/>
                <w:lang w:val="en-US" w:eastAsia="en-US" w:bidi="en-US"/>
              </w:rPr>
              <w:t>10</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xml:space="preserve">. </w:t>
            </w:r>
            <w:r>
              <w:rPr>
                <w:b/>
                <w:bCs/>
                <w:color w:val="000000"/>
                <w:spacing w:val="0"/>
                <w:w w:val="100"/>
                <w:position w:val="0"/>
                <w:sz w:val="24"/>
                <w:szCs w:val="24"/>
                <w:shd w:val="clear" w:color="auto" w:fill="auto"/>
                <w:lang w:val="en-US" w:eastAsia="en-US" w:bidi="en-US"/>
              </w:rPr>
              <w:t>Autoritatea</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Nationala de Integritate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actiunea nr. 22, Prioritatea III.3, Pilonul III, se propune a fi exclusa din motivul neidentificarii mijloacelor financiare pentru dezvoltarea platformei prenotate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partial. </w:t>
            </w:r>
            <w:r>
              <w:rPr>
                <w:color w:val="000000"/>
                <w:spacing w:val="0"/>
                <w:w w:val="100"/>
                <w:position w:val="0"/>
                <w:sz w:val="24"/>
                <w:szCs w:val="24"/>
                <w:shd w:val="clear" w:color="auto" w:fill="auto"/>
                <w:lang w:val="en-US" w:eastAsia="en-US" w:bidi="en-US"/>
              </w:rPr>
              <w:t>Textul a fost modificat si poate fi realizat din resurse bugetare.</w:t>
            </w:r>
          </w:p>
        </w:tc>
      </w:tr>
      <w:tr>
        <w:trPr>
          <w:trHeight w:val="562" w:hRule="exact"/>
        </w:trPr>
        <w:tc>
          <w:tcPr>
            <w:tcBorders>
              <w:top w:val="single" w:sz="4"/>
              <w:left w:val="single" w:sz="4"/>
            </w:tcBorders>
            <w:shd w:val="clear" w:color="auto" w:fill="FFFFFF"/>
            <w:vAlign w:val="center"/>
          </w:tcPr>
          <w:p>
            <w:pPr>
              <w:pStyle w:val="Style32"/>
              <w:keepNext w:val="0"/>
              <w:keepLines w:val="0"/>
              <w:widowControl w:val="0"/>
              <w:shd w:val="clear" w:color="auto" w:fill="auto"/>
              <w:bidi w:val="0"/>
              <w:spacing w:before="0" w:after="0" w:line="240" w:lineRule="auto"/>
              <w:ind w:left="0" w:right="0" w:firstLine="480"/>
              <w:jc w:val="left"/>
            </w:pPr>
            <w:r>
              <w:rPr>
                <w:color w:val="000000"/>
                <w:spacing w:val="0"/>
                <w:w w:val="100"/>
                <w:position w:val="0"/>
                <w:sz w:val="24"/>
                <w:szCs w:val="24"/>
                <w:shd w:val="clear" w:color="auto" w:fill="auto"/>
                <w:lang w:val="en-US" w:eastAsia="en-US" w:bidi="en-US"/>
              </w:rPr>
              <w:t>11</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Agentia Servicii Publice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actiunea nr. 20, pilonul II, de concretizat termenul de realizare</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566"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La actiunea nr. 4 Pilonul III, se propune substituirea sintagmei </w:t>
            </w:r>
            <w:r>
              <w:rPr>
                <w:i/>
                <w:iCs/>
                <w:color w:val="000000"/>
                <w:spacing w:val="0"/>
                <w:w w:val="100"/>
                <w:position w:val="0"/>
                <w:sz w:val="24"/>
                <w:szCs w:val="24"/>
                <w:shd w:val="clear" w:color="auto" w:fill="auto"/>
                <w:lang w:val="en-US" w:eastAsia="en-US" w:bidi="en-US"/>
              </w:rPr>
              <w:t xml:space="preserve">instruirea subdiviziunilor </w:t>
            </w:r>
            <w:r>
              <w:rPr>
                <w:color w:val="000000"/>
                <w:spacing w:val="0"/>
                <w:w w:val="100"/>
                <w:position w:val="0"/>
                <w:sz w:val="24"/>
                <w:szCs w:val="24"/>
                <w:shd w:val="clear" w:color="auto" w:fill="auto"/>
                <w:lang w:val="en-US" w:eastAsia="en-US" w:bidi="en-US"/>
              </w:rPr>
              <w:t xml:space="preserve">cu </w:t>
            </w:r>
            <w:r>
              <w:rPr>
                <w:i/>
                <w:iCs/>
                <w:color w:val="000000"/>
                <w:spacing w:val="0"/>
                <w:w w:val="100"/>
                <w:position w:val="0"/>
                <w:sz w:val="24"/>
                <w:szCs w:val="24"/>
                <w:shd w:val="clear" w:color="auto" w:fill="auto"/>
                <w:lang w:val="en-US" w:eastAsia="en-US" w:bidi="en-US"/>
              </w:rPr>
              <w:t>instruirea angajatilor din subdiviziune</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8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actiunea nr. 1 Prioritatea VIII.1 se propune de exclus cuvintele ale actionarilor caci potrivit prevederilor art. 33 alin (1) din Legea nr. 220/2007 privind inregistrarea de stat</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Nu se accepta. </w:t>
            </w:r>
            <w:r>
              <w:rPr>
                <w:color w:val="000000"/>
                <w:spacing w:val="0"/>
                <w:w w:val="100"/>
                <w:position w:val="0"/>
                <w:sz w:val="24"/>
                <w:szCs w:val="24"/>
                <w:shd w:val="clear" w:color="auto" w:fill="auto"/>
                <w:lang w:val="en-US" w:eastAsia="en-US" w:bidi="en-US"/>
              </w:rPr>
              <w:t>Vizualizarea si accesarea datelor indicate din Registrul de stat se efectueaza gratuit. Informatia plasata pe</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9677"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al persoanelor juridice si a intreprinzatorilor individuali, Registrul de Stat al persoanelor juridice nu contin date privind actionarii societatii pe actiuni.</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Conform art. </w:t>
            </w:r>
            <w:r>
              <w:rPr>
                <w:color w:val="000000"/>
                <w:spacing w:val="0"/>
                <w:w w:val="100"/>
                <w:position w:val="0"/>
                <w:sz w:val="24"/>
                <w:szCs w:val="24"/>
                <w:shd w:val="clear" w:color="auto" w:fill="auto"/>
                <w:lang w:val="ru-RU" w:eastAsia="ru-RU" w:bidi="ru-RU"/>
              </w:rPr>
              <w:t xml:space="preserve">12 </w:t>
            </w:r>
            <w:r>
              <w:rPr>
                <w:color w:val="000000"/>
                <w:spacing w:val="0"/>
                <w:w w:val="100"/>
                <w:position w:val="0"/>
                <w:sz w:val="24"/>
                <w:szCs w:val="24"/>
                <w:shd w:val="clear" w:color="auto" w:fill="auto"/>
                <w:lang w:val="en-US" w:eastAsia="en-US" w:bidi="en-US"/>
              </w:rPr>
              <w:t xml:space="preserve">alin </w:t>
            </w:r>
            <w:r>
              <w:rPr>
                <w:color w:val="000000"/>
                <w:spacing w:val="0"/>
                <w:w w:val="100"/>
                <w:position w:val="0"/>
                <w:sz w:val="24"/>
                <w:szCs w:val="24"/>
                <w:shd w:val="clear" w:color="auto" w:fill="auto"/>
                <w:lang w:val="ru-RU" w:eastAsia="ru-RU" w:bidi="ru-RU"/>
              </w:rPr>
              <w:t xml:space="preserve">(3) </w:t>
            </w:r>
            <w:r>
              <w:rPr>
                <w:color w:val="000000"/>
                <w:spacing w:val="0"/>
                <w:w w:val="100"/>
                <w:position w:val="0"/>
                <w:sz w:val="24"/>
                <w:szCs w:val="24"/>
                <w:shd w:val="clear" w:color="auto" w:fill="auto"/>
                <w:lang w:val="en-US" w:eastAsia="en-US" w:bidi="en-US"/>
              </w:rPr>
              <w:t xml:space="preserve">din Legea nr. </w:t>
            </w:r>
            <w:r>
              <w:rPr>
                <w:color w:val="000000"/>
                <w:spacing w:val="0"/>
                <w:w w:val="100"/>
                <w:position w:val="0"/>
                <w:sz w:val="24"/>
                <w:szCs w:val="24"/>
                <w:shd w:val="clear" w:color="auto" w:fill="auto"/>
                <w:lang w:val="ru-RU" w:eastAsia="ru-RU" w:bidi="ru-RU"/>
              </w:rPr>
              <w:t xml:space="preserve">1134/1997 </w:t>
            </w:r>
            <w:r>
              <w:rPr>
                <w:color w:val="000000"/>
                <w:spacing w:val="0"/>
                <w:w w:val="100"/>
                <w:position w:val="0"/>
                <w:sz w:val="24"/>
                <w:szCs w:val="24"/>
                <w:shd w:val="clear" w:color="auto" w:fill="auto"/>
                <w:lang w:val="en-US" w:eastAsia="en-US" w:bidi="en-US"/>
              </w:rPr>
              <w:t xml:space="preserve">privind societatile pe actiuni, valoarea mobiliara ale societatii se inregistreaza obligatoriu in Registrul emitentilor de valori imobiliare tinut de CNPF si se inscriu in conturile deschise la Depozitarul central unic al valorilor mobiliare instituit in conditiile Legii nr. </w:t>
            </w:r>
            <w:r>
              <w:rPr>
                <w:color w:val="000000"/>
                <w:spacing w:val="0"/>
                <w:w w:val="100"/>
                <w:position w:val="0"/>
                <w:sz w:val="24"/>
                <w:szCs w:val="24"/>
                <w:shd w:val="clear" w:color="auto" w:fill="auto"/>
                <w:lang w:val="ru-RU" w:eastAsia="ru-RU" w:bidi="ru-RU"/>
              </w:rPr>
              <w:t>234/2016</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tabs>
                <w:tab w:pos="1536" w:val="left"/>
                <w:tab w:pos="2184" w:val="left"/>
                <w:tab w:pos="2918" w:val="left"/>
                <w:tab w:pos="3566"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pagina web a organului inregistrarii de stat se considera informatie oficiala, iar organul inregistrarii</w:t>
              <w:tab/>
              <w:t>de</w:t>
              <w:tab/>
              <w:t>stat</w:t>
              <w:tab/>
              <w:t>i§i</w:t>
              <w:tab/>
              <w:t>asuma</w:t>
            </w:r>
          </w:p>
          <w:p>
            <w:pPr>
              <w:pStyle w:val="Style32"/>
              <w:keepNext w:val="0"/>
              <w:keepLines w:val="0"/>
              <w:widowControl w:val="0"/>
              <w:shd w:val="clear" w:color="auto" w:fill="auto"/>
              <w:tabs>
                <w:tab w:pos="2069" w:val="left"/>
                <w:tab w:pos="3154"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responsabilitatea</w:t>
              <w:tab/>
              <w:t>pentru</w:t>
              <w:tab/>
              <w:t>exactitatea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informatiei plasate.</w:t>
            </w:r>
          </w:p>
          <w:p>
            <w:pPr>
              <w:pStyle w:val="Style32"/>
              <w:keepNext w:val="0"/>
              <w:keepLines w:val="0"/>
              <w:widowControl w:val="0"/>
              <w:shd w:val="clear" w:color="auto" w:fill="auto"/>
              <w:tabs>
                <w:tab w:pos="1488" w:val="left"/>
                <w:tab w:pos="4171" w:val="righ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Pornind de la prevederile legislatiei in vigoare, Registrul de stat al persoanelor juridice nu contine date cu privire la actionari, motiv care face imposibila accesarea publica a informatiei respective pe pagina web a organului inregistrarii de stat. Potrivit art. 17 alin.(3) din Legea nr.1134/1997 privind societatile pe actiuni, Registrul detinatorilor valorilor mobiliare (registrul actionarilor, registrul detinatorilor de obligatiuni sau registrul detinatorilor altor valori mobiliare) poate fi tinut atat de societate, cat si de societatea de registru sau de depozitarul central in temeiul contractului cu privire la tinerea registrului. Urmeaza a fi mentionat ca, in temeiul art.14 alin.(1) al Legii nr.308/2017 cu privire la prevenirea si combaterea spalarii banilor si finantarii terorismului, incepand din 23.08.2018 organul inregistrarii de stat, conform</w:t>
              <w:tab/>
              <w:t>procedurilor</w:t>
              <w:tab/>
              <w:t>stabilite,</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inregistreaza, tine evidenta si actualizeaza datele cu privire la beneficiarii efectivi ai persoanelor juridice si ai intreprinzatorilor individuali la inregistrarea acestora, la inregistrarea modificarilor in actele de constituire ale persoanelor juridice, la inregistrarea de stat a persoanelor supuse reorganizarii si la radierea acestora din Registrul de stat.</w:t>
            </w:r>
          </w:p>
        </w:tc>
      </w:tr>
      <w:tr>
        <w:trPr>
          <w:trHeight w:val="571"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La actiunea nr. 9 Prioritatea VII.3 se propune de substituit ISO 37001:2016 „Sisteme de management anticoruptie. Cerinte si recomandari de implementare” cu SM ISO</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bidi w:val="0"/>
              <w:spacing w:before="0" w:after="0" w:line="233" w:lineRule="auto"/>
              <w:ind w:left="0" w:right="0" w:firstLine="0"/>
              <w:jc w:val="both"/>
            </w:pPr>
            <w:r>
              <w:rPr>
                <w:b/>
                <w:bCs/>
                <w:color w:val="000000"/>
                <w:spacing w:val="0"/>
                <w:w w:val="100"/>
                <w:position w:val="0"/>
                <w:sz w:val="24"/>
                <w:szCs w:val="24"/>
                <w:shd w:val="clear" w:color="auto" w:fill="auto"/>
                <w:lang w:val="en-US" w:eastAsia="en-US" w:bidi="en-US"/>
              </w:rPr>
              <w:t xml:space="preserve">Se accepta partial. </w:t>
            </w:r>
            <w:r>
              <w:rPr>
                <w:color w:val="000000"/>
                <w:spacing w:val="0"/>
                <w:w w:val="100"/>
                <w:position w:val="0"/>
                <w:sz w:val="24"/>
                <w:szCs w:val="24"/>
                <w:shd w:val="clear" w:color="auto" w:fill="auto"/>
                <w:lang w:val="en-US" w:eastAsia="en-US" w:bidi="en-US"/>
              </w:rPr>
              <w:t>Textul este modificat conform propunerii.</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566"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37001:2016 „Sisteme de management anti- mita. Cerinte si cu ghid de utilizare”. Standardul international este adoptat in calitate de standard national</w:t>
            </w:r>
          </w:p>
        </w:tc>
        <w:tc>
          <w:tcPr>
            <w:tcBorders>
              <w:top w:val="single" w:sz="4"/>
              <w:left w:val="single" w:sz="4"/>
              <w:right w:val="single" w:sz="4"/>
            </w:tcBorders>
            <w:shd w:val="clear" w:color="auto" w:fill="FFFFFF"/>
            <w:vAlign w:val="top"/>
          </w:tcPr>
          <w:p>
            <w:pPr>
              <w:widowControl w:val="0"/>
              <w:rPr>
                <w:sz w:val="10"/>
                <w:szCs w:val="10"/>
              </w:rPr>
            </w:pPr>
          </w:p>
        </w:tc>
      </w:tr>
      <w:tr>
        <w:trPr>
          <w:trHeight w:val="139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80"/>
              <w:jc w:val="left"/>
            </w:pPr>
            <w:r>
              <w:rPr>
                <w:color w:val="000000"/>
                <w:spacing w:val="0"/>
                <w:w w:val="100"/>
                <w:position w:val="0"/>
                <w:sz w:val="24"/>
                <w:szCs w:val="24"/>
                <w:shd w:val="clear" w:color="auto" w:fill="auto"/>
                <w:lang w:val="en-US" w:eastAsia="en-US" w:bidi="en-US"/>
              </w:rPr>
              <w:t>12</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 xml:space="preserve">. </w:t>
            </w:r>
            <w:r>
              <w:rPr>
                <w:b/>
                <w:bCs/>
                <w:color w:val="000000"/>
                <w:spacing w:val="0"/>
                <w:w w:val="100"/>
                <w:position w:val="0"/>
                <w:sz w:val="24"/>
                <w:szCs w:val="24"/>
                <w:shd w:val="clear" w:color="auto" w:fill="auto"/>
                <w:lang w:val="en-US" w:eastAsia="en-US" w:bidi="en-US"/>
              </w:rPr>
              <w:t>Ministerul Agriculturii Dezvoltarii</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Regionale si Mediu</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La lista de abrevieri utilizate in Planurile de actiuni solicitam excluderea abrevierilor </w:t>
            </w:r>
            <w:r>
              <w:rPr>
                <w:i/>
                <w:iCs/>
                <w:color w:val="000000"/>
                <w:spacing w:val="0"/>
                <w:w w:val="100"/>
                <w:position w:val="0"/>
                <w:sz w:val="24"/>
                <w:szCs w:val="24"/>
                <w:shd w:val="clear" w:color="auto" w:fill="auto"/>
                <w:lang w:val="en-US" w:eastAsia="en-US" w:bidi="en-US"/>
              </w:rPr>
              <w:t>MAIA</w:t>
            </w:r>
            <w:r>
              <w:rPr>
                <w:color w:val="000000"/>
                <w:spacing w:val="0"/>
                <w:w w:val="100"/>
                <w:position w:val="0"/>
                <w:sz w:val="24"/>
                <w:szCs w:val="24"/>
                <w:shd w:val="clear" w:color="auto" w:fill="auto"/>
                <w:lang w:val="en-US" w:eastAsia="en-US" w:bidi="en-US"/>
              </w:rPr>
              <w:t xml:space="preserve"> si </w:t>
            </w:r>
            <w:r>
              <w:rPr>
                <w:i/>
                <w:iCs/>
                <w:color w:val="000000"/>
                <w:spacing w:val="0"/>
                <w:w w:val="100"/>
                <w:position w:val="0"/>
                <w:sz w:val="24"/>
                <w:szCs w:val="24"/>
                <w:shd w:val="clear" w:color="auto" w:fill="auto"/>
                <w:lang w:val="en-US" w:eastAsia="en-US" w:bidi="en-US"/>
              </w:rPr>
              <w:t>MM</w:t>
            </w:r>
            <w:r>
              <w:rPr>
                <w:color w:val="000000"/>
                <w:spacing w:val="0"/>
                <w:w w:val="100"/>
                <w:position w:val="0"/>
                <w:sz w:val="24"/>
                <w:szCs w:val="24"/>
                <w:shd w:val="clear" w:color="auto" w:fill="auto"/>
                <w:lang w:val="en-US" w:eastAsia="en-US" w:bidi="en-US"/>
              </w:rPr>
              <w:t xml:space="preserve">, iar abrevierea </w:t>
            </w:r>
            <w:r>
              <w:rPr>
                <w:i/>
                <w:iCs/>
                <w:color w:val="000000"/>
                <w:spacing w:val="0"/>
                <w:w w:val="100"/>
                <w:position w:val="0"/>
                <w:sz w:val="24"/>
                <w:szCs w:val="24"/>
                <w:shd w:val="clear" w:color="auto" w:fill="auto"/>
                <w:lang w:val="en-US" w:eastAsia="en-US" w:bidi="en-US"/>
              </w:rPr>
              <w:t>MADRC</w:t>
            </w:r>
            <w:r>
              <w:rPr>
                <w:color w:val="000000"/>
                <w:spacing w:val="0"/>
                <w:w w:val="100"/>
                <w:position w:val="0"/>
                <w:sz w:val="24"/>
                <w:szCs w:val="24"/>
                <w:shd w:val="clear" w:color="auto" w:fill="auto"/>
                <w:lang w:val="en-US" w:eastAsia="en-US" w:bidi="en-US"/>
              </w:rPr>
              <w:t xml:space="preserve"> sa fie substituita cu </w:t>
            </w:r>
            <w:r>
              <w:rPr>
                <w:i/>
                <w:iCs/>
                <w:color w:val="000000"/>
                <w:spacing w:val="0"/>
                <w:w w:val="100"/>
                <w:position w:val="0"/>
                <w:sz w:val="24"/>
                <w:szCs w:val="24"/>
                <w:shd w:val="clear" w:color="auto" w:fill="auto"/>
                <w:lang w:val="en-US" w:eastAsia="en-US" w:bidi="en-US"/>
              </w:rPr>
              <w:t>MADRM</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7459"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80"/>
              <w:jc w:val="left"/>
            </w:pPr>
            <w:r>
              <w:rPr>
                <w:color w:val="000000"/>
                <w:spacing w:val="0"/>
                <w:w w:val="100"/>
                <w:position w:val="0"/>
                <w:sz w:val="24"/>
                <w:szCs w:val="24"/>
                <w:shd w:val="clear" w:color="auto" w:fill="auto"/>
                <w:lang w:val="en-US" w:eastAsia="en-US" w:bidi="en-US"/>
              </w:rPr>
              <w:t>13</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 </w:t>
            </w:r>
            <w:r>
              <w:rPr>
                <w:b/>
                <w:bCs/>
                <w:color w:val="000000"/>
                <w:spacing w:val="0"/>
                <w:w w:val="100"/>
                <w:position w:val="0"/>
                <w:sz w:val="24"/>
                <w:szCs w:val="24"/>
                <w:shd w:val="clear" w:color="auto" w:fill="auto"/>
                <w:lang w:val="en-US" w:eastAsia="en-US" w:bidi="en-US"/>
              </w:rPr>
              <w:t>Ministerul</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Economiei si</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Infrastructurii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Pilonul II, actiunea 13, consideram relevant excluderea acestei actiuni, urmare imposibilitatii si lipsei de parghii legale de a detine informatii si a raporta situatia reala pe marginea acestora (agentul public nu intotdeauna comunica despre ulterioara angajare/ nu cunoaste unde se va angaja/ se angajeaza dupa o perioada indelungata de timp). Mai mult ca atat, dupa incetarea raportului de munca angajatorul este in imposibilitatea de a initia intentarea anchetei de serviciu si a aplica sanctiuni disciplinare.</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tabs>
                <w:tab w:pos="2016" w:val="left"/>
                <w:tab w:pos="4147" w:val="right"/>
              </w:tabs>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Nu se accepta</w:t>
            </w:r>
            <w:r>
              <w:rPr>
                <w:color w:val="000000"/>
                <w:spacing w:val="0"/>
                <w:w w:val="100"/>
                <w:position w:val="0"/>
                <w:sz w:val="24"/>
                <w:szCs w:val="24"/>
                <w:shd w:val="clear" w:color="auto" w:fill="auto"/>
                <w:lang w:val="en-US" w:eastAsia="en-US" w:bidi="en-US"/>
              </w:rPr>
              <w:t>. Legea integritarii nr. 82/2017, care reglementeaza domeniul integritatii in sectorul public la nivel politic, institutional</w:t>
              <w:tab/>
              <w:t>si</w:t>
              <w:tab/>
              <w:t>profesional,</w:t>
            </w:r>
          </w:p>
          <w:p>
            <w:pPr>
              <w:pStyle w:val="Style32"/>
              <w:keepNext w:val="0"/>
              <w:keepLines w:val="0"/>
              <w:widowControl w:val="0"/>
              <w:shd w:val="clear" w:color="auto" w:fill="auto"/>
              <w:tabs>
                <w:tab w:pos="1656"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responsabilitatile entitatilor publice, ale autoritatilor anticoruptie si ale altor autoritati competente pentru cultivarea, consolidarea si controlul integritatii in sectorul public, domeniile importante pentru cultivarea integritatii in sectorul privat in procesul de interactiune cu sectorul public si pentru sanctionarea lipsei de integritate in sectoarele public si privat, prevede expres masurile de asigurare a integritatii institutionale, printre care se regaseste si regimul de restrictii si limitari in legatura cu incetarea mandatului, a raporturilor de munca sau de serviciu si cu migrarea agentilor publici in sectorul privat (pantuflajul). Totodata, conform art. 45, alin. 3), incalcarea regimului juridic al restrictiilor si limitarilor in legatura cu incetarea mandatului, a raporturilor de munca sau de serviciu si cu migrarea agentilor publici in sectorul privat (pantuflajul),</w:t>
              <w:tab/>
              <w:t>este calificata drept</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contraventie.</w:t>
            </w:r>
          </w:p>
        </w:tc>
      </w:tr>
      <w:tr>
        <w:trPr>
          <w:trHeight w:val="571"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La Pilonul VII, actiunea 5, reiesind din faptul, ca actiunea in cauza nu tine de guvernanta corporativa, ci de asigurarea drepturilor omului, consideram judicios indicarea</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partial. </w:t>
            </w:r>
            <w:r>
              <w:rPr>
                <w:color w:val="000000"/>
                <w:spacing w:val="0"/>
                <w:w w:val="100"/>
                <w:position w:val="0"/>
                <w:sz w:val="24"/>
                <w:szCs w:val="24"/>
                <w:shd w:val="clear" w:color="auto" w:fill="auto"/>
                <w:lang w:val="en-US" w:eastAsia="en-US" w:bidi="en-US"/>
              </w:rPr>
              <w:t>Textul a fost modificat</w:t>
            </w: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566"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Ministerului Justitiei in calitate de responsabil pentru realizarea acesteia si excluderea Ministerului Economiei si Infrastructurii.</w:t>
            </w:r>
          </w:p>
        </w:tc>
        <w:tc>
          <w:tcPr>
            <w:tcBorders>
              <w:top w:val="single" w:sz="4"/>
              <w:left w:val="single" w:sz="4"/>
              <w:right w:val="single" w:sz="4"/>
            </w:tcBorders>
            <w:shd w:val="clear" w:color="auto" w:fill="FFFFFF"/>
            <w:vAlign w:val="top"/>
          </w:tcPr>
          <w:p>
            <w:pPr>
              <w:widowControl w:val="0"/>
              <w:rPr>
                <w:sz w:val="10"/>
                <w:szCs w:val="10"/>
              </w:rPr>
            </w:pPr>
          </w:p>
        </w:tc>
      </w:tr>
      <w:tr>
        <w:trPr>
          <w:trHeight w:val="221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La Lista de abrevieri, in vederea expunerii corecte si uniforme a denumirii si abrevierii Ministerului Economiei si Infrastructurii, cuvintele „Ministerului Economiei” se vor substitui cu cuvintele „Ministerului Economiei si Infrastructurii”, iar „ME” - cu „MEI”. Modificare relevanta si pentru continutul proiectului Planului de actiuni la Pilonul II, actiunea 22 si Pilonul VII actiunile 2, 4, 7 si 9. Subsecvent, este judicioasa corelarea denumirilor si celorlalte autoritati publice centrale de specialitate la Lista ministerelor, aprobata prin Hotararea Parlamentului nr.189/2017 si Hotararea Guvernului nr.594/2017 cu privire la restructurarea administratiei publice centrale de specialitate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propunerii</w:t>
            </w:r>
          </w:p>
        </w:tc>
      </w:tr>
      <w:tr>
        <w:trPr>
          <w:trHeight w:val="56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14</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Cancelaria de Stat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56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15</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Ministerul Apararii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111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16</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340" w:right="0" w:hanging="340"/>
              <w:jc w:val="both"/>
            </w:pPr>
            <w:r>
              <w:rPr>
                <w:color w:val="000000"/>
                <w:spacing w:val="0"/>
                <w:w w:val="100"/>
                <w:position w:val="0"/>
                <w:sz w:val="24"/>
                <w:szCs w:val="24"/>
                <w:shd w:val="clear" w:color="auto" w:fill="auto"/>
                <w:lang w:val="en-US" w:eastAsia="en-US" w:bidi="en-US"/>
              </w:rPr>
              <w:t xml:space="preserve">. </w:t>
            </w:r>
            <w:r>
              <w:rPr>
                <w:b/>
                <w:bCs/>
                <w:color w:val="000000"/>
                <w:spacing w:val="0"/>
                <w:w w:val="100"/>
                <w:position w:val="0"/>
                <w:sz w:val="24"/>
                <w:szCs w:val="24"/>
                <w:shd w:val="clear" w:color="auto" w:fill="auto"/>
                <w:lang w:val="en-US" w:eastAsia="en-US" w:bidi="en-US"/>
              </w:rPr>
              <w:t>Ministerul Educatiei, Culturii si Cercetarii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139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17</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340" w:right="0" w:hanging="340"/>
              <w:jc w:val="both"/>
            </w:pPr>
            <w:r>
              <w:rPr>
                <w:color w:val="000000"/>
                <w:spacing w:val="0"/>
                <w:w w:val="100"/>
                <w:position w:val="0"/>
                <w:sz w:val="24"/>
                <w:szCs w:val="24"/>
                <w:shd w:val="clear" w:color="auto" w:fill="auto"/>
                <w:lang w:val="en-US" w:eastAsia="en-US" w:bidi="en-US"/>
              </w:rPr>
              <w:t xml:space="preserve">. </w:t>
            </w:r>
            <w:r>
              <w:rPr>
                <w:b/>
                <w:bCs/>
                <w:color w:val="000000"/>
                <w:spacing w:val="0"/>
                <w:w w:val="100"/>
                <w:position w:val="0"/>
                <w:sz w:val="24"/>
                <w:szCs w:val="24"/>
                <w:shd w:val="clear" w:color="auto" w:fill="auto"/>
                <w:lang w:val="en-US" w:eastAsia="en-US" w:bidi="en-US"/>
              </w:rPr>
              <w:t>Ministerul Afacerilor Externe si Integrarii Europene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562" w:hRule="exact"/>
        </w:trPr>
        <w:tc>
          <w:tcPr>
            <w:tcBorders>
              <w:top w:val="single" w:sz="4"/>
              <w:left w:val="single" w:sz="4"/>
            </w:tcBorders>
            <w:shd w:val="clear" w:color="auto" w:fill="FFFFFF"/>
            <w:vAlign w:val="center"/>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18</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Curtea de Conturi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840"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19</w:t>
            </w:r>
          </w:p>
        </w:tc>
        <w:tc>
          <w:tcPr>
            <w:tcBorders>
              <w:top w:val="single" w:sz="4"/>
              <w:left w:val="single" w:sz="4"/>
            </w:tcBorders>
            <w:shd w:val="clear" w:color="auto" w:fill="FFFFFF"/>
            <w:vAlign w:val="bottom"/>
          </w:tcPr>
          <w:p>
            <w:pPr>
              <w:pStyle w:val="Style32"/>
              <w:keepNext w:val="0"/>
              <w:keepLines w:val="0"/>
              <w:widowControl w:val="0"/>
              <w:shd w:val="clear" w:color="auto" w:fill="auto"/>
              <w:tabs>
                <w:tab w:pos="446" w:val="left"/>
              </w:tabs>
              <w:bidi w:val="0"/>
              <w:spacing w:before="0" w:after="0" w:line="233" w:lineRule="auto"/>
              <w:ind w:left="0" w:right="0" w:firstLine="0"/>
              <w:jc w:val="left"/>
            </w:pPr>
            <w:r>
              <w:rPr>
                <w:color w:val="000000"/>
                <w:spacing w:val="0"/>
                <w:w w:val="100"/>
                <w:position w:val="0"/>
                <w:sz w:val="24"/>
                <w:szCs w:val="24"/>
                <w:shd w:val="clear" w:color="auto" w:fill="auto"/>
                <w:lang w:val="en-US" w:eastAsia="en-US" w:bidi="en-US"/>
              </w:rPr>
              <w:t>.</w:t>
              <w:tab/>
            </w:r>
            <w:r>
              <w:rPr>
                <w:b/>
                <w:bCs/>
                <w:color w:val="000000"/>
                <w:spacing w:val="0"/>
                <w:w w:val="100"/>
                <w:position w:val="0"/>
                <w:sz w:val="24"/>
                <w:szCs w:val="24"/>
                <w:shd w:val="clear" w:color="auto" w:fill="auto"/>
                <w:lang w:val="en-US" w:eastAsia="en-US" w:bidi="en-US"/>
              </w:rPr>
              <w:t>Consiliul</w:t>
            </w:r>
          </w:p>
          <w:p>
            <w:pPr>
              <w:pStyle w:val="Style32"/>
              <w:keepNext w:val="0"/>
              <w:keepLines w:val="0"/>
              <w:widowControl w:val="0"/>
              <w:shd w:val="clear" w:color="auto" w:fill="auto"/>
              <w:bidi w:val="0"/>
              <w:spacing w:before="0" w:after="0" w:line="233" w:lineRule="auto"/>
              <w:ind w:left="0" w:right="0" w:firstLine="0"/>
              <w:jc w:val="center"/>
            </w:pPr>
            <w:r>
              <w:rPr>
                <w:b/>
                <w:bCs/>
                <w:color w:val="000000"/>
                <w:spacing w:val="0"/>
                <w:w w:val="100"/>
                <w:position w:val="0"/>
                <w:sz w:val="24"/>
                <w:szCs w:val="24"/>
                <w:shd w:val="clear" w:color="auto" w:fill="auto"/>
                <w:lang w:val="en-US" w:eastAsia="en-US" w:bidi="en-US"/>
              </w:rPr>
              <w:t>Superior al Magistraturii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835"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20</w:t>
            </w:r>
          </w:p>
        </w:tc>
        <w:tc>
          <w:tcPr>
            <w:tcBorders>
              <w:top w:val="single" w:sz="4"/>
              <w:left w:val="single" w:sz="4"/>
            </w:tcBorders>
            <w:shd w:val="clear" w:color="auto" w:fill="FFFFFF"/>
            <w:vAlign w:val="bottom"/>
          </w:tcPr>
          <w:p>
            <w:pPr>
              <w:pStyle w:val="Style32"/>
              <w:keepNext w:val="0"/>
              <w:keepLines w:val="0"/>
              <w:widowControl w:val="0"/>
              <w:shd w:val="clear" w:color="auto" w:fill="auto"/>
              <w:tabs>
                <w:tab w:pos="547" w:val="left"/>
              </w:tabs>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w:t>
              <w:tab/>
            </w:r>
            <w:r>
              <w:rPr>
                <w:b/>
                <w:bCs/>
                <w:color w:val="000000"/>
                <w:spacing w:val="0"/>
                <w:w w:val="100"/>
                <w:position w:val="0"/>
                <w:sz w:val="24"/>
                <w:szCs w:val="24"/>
                <w:shd w:val="clear" w:color="auto" w:fill="auto"/>
                <w:lang w:val="en-US" w:eastAsia="en-US" w:bidi="en-US"/>
              </w:rPr>
              <w:t>Curtea</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Suprema de Justitie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840"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21</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 </w:t>
            </w:r>
            <w:r>
              <w:rPr>
                <w:b/>
                <w:bCs/>
                <w:color w:val="000000"/>
                <w:spacing w:val="0"/>
                <w:w w:val="100"/>
                <w:position w:val="0"/>
                <w:sz w:val="24"/>
                <w:szCs w:val="24"/>
                <w:shd w:val="clear" w:color="auto" w:fill="auto"/>
                <w:lang w:val="en-US" w:eastAsia="en-US" w:bidi="en-US"/>
              </w:rPr>
              <w:t>Serviciul de Informatii si Securitate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571" w:hRule="exact"/>
        </w:trPr>
        <w:tc>
          <w:tcPr>
            <w:tcBorders>
              <w:top w:val="single" w:sz="4"/>
              <w:left w:val="single" w:sz="4"/>
              <w:bottom w:val="single" w:sz="4"/>
            </w:tcBorders>
            <w:shd w:val="clear" w:color="auto" w:fill="FFFFFF"/>
            <w:vAlign w:val="center"/>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22</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Consiliul National</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1397"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pentru</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Asistenta Juridica Garantata de Stat</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835"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23</w:t>
            </w:r>
          </w:p>
        </w:tc>
        <w:tc>
          <w:tcPr>
            <w:tcBorders>
              <w:top w:val="single" w:sz="4"/>
              <w:left w:val="single" w:sz="4"/>
            </w:tcBorders>
            <w:shd w:val="clear" w:color="auto" w:fill="FFFFFF"/>
            <w:vAlign w:val="bottom"/>
          </w:tcPr>
          <w:p>
            <w:pPr>
              <w:pStyle w:val="Style32"/>
              <w:keepNext w:val="0"/>
              <w:keepLines w:val="0"/>
              <w:widowControl w:val="0"/>
              <w:shd w:val="clear" w:color="auto" w:fill="auto"/>
              <w:tabs>
                <w:tab w:pos="494" w:val="left"/>
              </w:tabs>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w:t>
              <w:tab/>
            </w:r>
            <w:r>
              <w:rPr>
                <w:b/>
                <w:bCs/>
                <w:color w:val="000000"/>
                <w:spacing w:val="0"/>
                <w:w w:val="100"/>
                <w:position w:val="0"/>
                <w:sz w:val="24"/>
                <w:szCs w:val="24"/>
                <w:shd w:val="clear" w:color="auto" w:fill="auto"/>
                <w:lang w:val="en-US" w:eastAsia="en-US" w:bidi="en-US"/>
              </w:rPr>
              <w:t>Agentia</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Proprietatii Publice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840"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24</w:t>
            </w:r>
          </w:p>
        </w:tc>
        <w:tc>
          <w:tcPr>
            <w:tcBorders>
              <w:top w:val="single" w:sz="4"/>
              <w:left w:val="single" w:sz="4"/>
            </w:tcBorders>
            <w:shd w:val="clear" w:color="auto" w:fill="FFFFFF"/>
            <w:vAlign w:val="bottom"/>
          </w:tcPr>
          <w:p>
            <w:pPr>
              <w:pStyle w:val="Style32"/>
              <w:keepNext w:val="0"/>
              <w:keepLines w:val="0"/>
              <w:widowControl w:val="0"/>
              <w:shd w:val="clear" w:color="auto" w:fill="auto"/>
              <w:tabs>
                <w:tab w:pos="494" w:val="left"/>
              </w:tabs>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w:t>
              <w:tab/>
            </w:r>
            <w:r>
              <w:rPr>
                <w:b/>
                <w:bCs/>
                <w:color w:val="000000"/>
                <w:spacing w:val="0"/>
                <w:w w:val="100"/>
                <w:position w:val="0"/>
                <w:sz w:val="24"/>
                <w:szCs w:val="24"/>
                <w:shd w:val="clear" w:color="auto" w:fill="auto"/>
                <w:lang w:val="en-US" w:eastAsia="en-US" w:bidi="en-US"/>
              </w:rPr>
              <w:t>Agentia</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Achizitii Publice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835"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25</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 xml:space="preserve">. </w:t>
            </w:r>
            <w:r>
              <w:rPr>
                <w:b/>
                <w:bCs/>
                <w:color w:val="000000"/>
                <w:spacing w:val="0"/>
                <w:w w:val="100"/>
                <w:position w:val="0"/>
                <w:sz w:val="24"/>
                <w:szCs w:val="24"/>
                <w:shd w:val="clear" w:color="auto" w:fill="auto"/>
                <w:lang w:val="en-US" w:eastAsia="en-US" w:bidi="en-US"/>
              </w:rPr>
              <w:t>Casa Nationala de Asigurari Sociale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139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26</w:t>
            </w:r>
          </w:p>
        </w:tc>
        <w:tc>
          <w:tcPr>
            <w:tcBorders>
              <w:top w:val="single" w:sz="4"/>
              <w:left w:val="single" w:sz="4"/>
            </w:tcBorders>
            <w:shd w:val="clear" w:color="auto" w:fill="FFFFFF"/>
            <w:vAlign w:val="bottom"/>
          </w:tcPr>
          <w:p>
            <w:pPr>
              <w:pStyle w:val="Style32"/>
              <w:keepNext w:val="0"/>
              <w:keepLines w:val="0"/>
              <w:widowControl w:val="0"/>
              <w:shd w:val="clear" w:color="auto" w:fill="auto"/>
              <w:tabs>
                <w:tab w:pos="494" w:val="left"/>
              </w:tabs>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w:t>
              <w:tab/>
            </w:r>
            <w:r>
              <w:rPr>
                <w:b/>
                <w:bCs/>
                <w:color w:val="000000"/>
                <w:spacing w:val="0"/>
                <w:w w:val="100"/>
                <w:position w:val="0"/>
                <w:sz w:val="24"/>
                <w:szCs w:val="24"/>
                <w:shd w:val="clear" w:color="auto" w:fill="auto"/>
                <w:lang w:val="en-US" w:eastAsia="en-US" w:bidi="en-US"/>
              </w:rPr>
              <w:t>Agentia</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Nationala pentru Solutionarea Contestatiilor</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56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27</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Serviciul Fiscal de Stat</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840"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28</w:t>
            </w:r>
          </w:p>
        </w:tc>
        <w:tc>
          <w:tcPr>
            <w:tcBorders>
              <w:top w:val="single" w:sz="4"/>
              <w:left w:val="single" w:sz="4"/>
            </w:tcBorders>
            <w:shd w:val="clear" w:color="auto" w:fill="FFFFFF"/>
            <w:vAlign w:val="bottom"/>
          </w:tcPr>
          <w:p>
            <w:pPr>
              <w:pStyle w:val="Style32"/>
              <w:keepNext w:val="0"/>
              <w:keepLines w:val="0"/>
              <w:widowControl w:val="0"/>
              <w:shd w:val="clear" w:color="auto" w:fill="auto"/>
              <w:tabs>
                <w:tab w:pos="547" w:val="left"/>
              </w:tabs>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w:t>
              <w:tab/>
            </w:r>
            <w:r>
              <w:rPr>
                <w:b/>
                <w:bCs/>
                <w:color w:val="000000"/>
                <w:spacing w:val="0"/>
                <w:w w:val="100"/>
                <w:position w:val="0"/>
                <w:sz w:val="24"/>
                <w:szCs w:val="24"/>
                <w:shd w:val="clear" w:color="auto" w:fill="auto"/>
                <w:lang w:val="en-US" w:eastAsia="en-US" w:bidi="en-US"/>
              </w:rPr>
              <w:t>Curtea</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Suprema de Justitie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1387"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29</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 xml:space="preserve">. </w:t>
            </w:r>
            <w:r>
              <w:rPr>
                <w:b/>
                <w:bCs/>
                <w:color w:val="000000"/>
                <w:spacing w:val="0"/>
                <w:w w:val="100"/>
                <w:position w:val="0"/>
                <w:sz w:val="24"/>
                <w:szCs w:val="24"/>
                <w:shd w:val="clear" w:color="auto" w:fill="auto"/>
                <w:lang w:val="en-US" w:eastAsia="en-US" w:bidi="en-US"/>
              </w:rPr>
              <w:t>Centrul de Instruire Continua in Domeniul Electoral</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139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30</w:t>
            </w:r>
          </w:p>
        </w:tc>
        <w:tc>
          <w:tcPr>
            <w:tcBorders>
              <w:top w:val="single" w:sz="4"/>
              <w:left w:val="single" w:sz="4"/>
            </w:tcBorders>
            <w:shd w:val="clear" w:color="auto" w:fill="FFFFFF"/>
            <w:vAlign w:val="bottom"/>
          </w:tcPr>
          <w:p>
            <w:pPr>
              <w:pStyle w:val="Style32"/>
              <w:keepNext w:val="0"/>
              <w:keepLines w:val="0"/>
              <w:widowControl w:val="0"/>
              <w:shd w:val="clear" w:color="auto" w:fill="auto"/>
              <w:tabs>
                <w:tab w:pos="494" w:val="left"/>
              </w:tabs>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w:t>
              <w:tab/>
            </w:r>
            <w:r>
              <w:rPr>
                <w:b/>
                <w:bCs/>
                <w:color w:val="000000"/>
                <w:spacing w:val="0"/>
                <w:w w:val="100"/>
                <w:position w:val="0"/>
                <w:sz w:val="24"/>
                <w:szCs w:val="24"/>
                <w:shd w:val="clear" w:color="auto" w:fill="auto"/>
                <w:lang w:val="en-US" w:eastAsia="en-US" w:bidi="en-US"/>
              </w:rPr>
              <w:t>Agentia</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Nationala pentru Siguranta Alimentelor</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571"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31</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Biroul National de Statistica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715"/>
        <w:gridCol w:w="1843"/>
        <w:gridCol w:w="8645"/>
        <w:gridCol w:w="4402"/>
      </w:tblGrid>
      <w:tr>
        <w:trPr>
          <w:trHeight w:val="1397"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32</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Institufia publica Compania „Teleradio- Moldova”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111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33</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 xml:space="preserve">. </w:t>
            </w:r>
            <w:r>
              <w:rPr>
                <w:b/>
                <w:bCs/>
                <w:color w:val="000000"/>
                <w:spacing w:val="0"/>
                <w:w w:val="100"/>
                <w:position w:val="0"/>
                <w:sz w:val="24"/>
                <w:szCs w:val="24"/>
                <w:shd w:val="clear" w:color="auto" w:fill="auto"/>
                <w:lang w:val="en-US" w:eastAsia="en-US" w:bidi="en-US"/>
              </w:rPr>
              <w:t>Agentia de Stat pentru</w:t>
            </w:r>
          </w:p>
          <w:p>
            <w:pPr>
              <w:pStyle w:val="Style32"/>
              <w:keepNext w:val="0"/>
              <w:keepLines w:val="0"/>
              <w:widowControl w:val="0"/>
              <w:shd w:val="clear" w:color="auto" w:fill="auto"/>
              <w:bidi w:val="0"/>
              <w:spacing w:before="0" w:after="0" w:line="240" w:lineRule="auto"/>
              <w:ind w:left="0" w:right="0" w:firstLine="240"/>
              <w:jc w:val="left"/>
            </w:pPr>
            <w:r>
              <w:rPr>
                <w:b/>
                <w:bCs/>
                <w:color w:val="000000"/>
                <w:spacing w:val="0"/>
                <w:w w:val="100"/>
                <w:position w:val="0"/>
                <w:sz w:val="24"/>
                <w:szCs w:val="24"/>
                <w:shd w:val="clear" w:color="auto" w:fill="auto"/>
                <w:lang w:val="en-US" w:eastAsia="en-US" w:bidi="en-US"/>
              </w:rPr>
              <w:t>Proprietatea</w:t>
            </w:r>
          </w:p>
          <w:p>
            <w:pPr>
              <w:pStyle w:val="Style32"/>
              <w:keepNext w:val="0"/>
              <w:keepLines w:val="0"/>
              <w:widowControl w:val="0"/>
              <w:shd w:val="clear" w:color="auto" w:fill="auto"/>
              <w:bidi w:val="0"/>
              <w:spacing w:before="0" w:after="0" w:line="240" w:lineRule="auto"/>
              <w:ind w:left="0" w:right="0" w:firstLine="240"/>
              <w:jc w:val="left"/>
            </w:pPr>
            <w:r>
              <w:rPr>
                <w:b/>
                <w:bCs/>
                <w:color w:val="000000"/>
                <w:spacing w:val="0"/>
                <w:w w:val="100"/>
                <w:position w:val="0"/>
                <w:sz w:val="24"/>
                <w:szCs w:val="24"/>
                <w:shd w:val="clear" w:color="auto" w:fill="auto"/>
                <w:lang w:val="en-US" w:eastAsia="en-US" w:bidi="en-US"/>
              </w:rPr>
              <w:t>Intelectuala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56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34</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Agenda de Investitii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1387"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35</w:t>
            </w:r>
          </w:p>
        </w:tc>
        <w:tc>
          <w:tcPr>
            <w:tcBorders>
              <w:top w:val="single" w:sz="4"/>
              <w:left w:val="single" w:sz="4"/>
            </w:tcBorders>
            <w:shd w:val="clear" w:color="auto" w:fill="FFFFFF"/>
            <w:vAlign w:val="bottom"/>
          </w:tcPr>
          <w:p>
            <w:pPr>
              <w:pStyle w:val="Style32"/>
              <w:keepNext w:val="0"/>
              <w:keepLines w:val="0"/>
              <w:widowControl w:val="0"/>
              <w:shd w:val="clear" w:color="auto" w:fill="auto"/>
              <w:tabs>
                <w:tab w:pos="494" w:val="left"/>
              </w:tabs>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w:t>
              <w:tab/>
            </w:r>
            <w:r>
              <w:rPr>
                <w:b/>
                <w:bCs/>
                <w:color w:val="000000"/>
                <w:spacing w:val="0"/>
                <w:w w:val="100"/>
                <w:position w:val="0"/>
                <w:sz w:val="24"/>
                <w:szCs w:val="24"/>
                <w:shd w:val="clear" w:color="auto" w:fill="auto"/>
                <w:lang w:val="en-US" w:eastAsia="en-US" w:bidi="en-US"/>
              </w:rPr>
              <w:t>Agentia</w:t>
            </w:r>
          </w:p>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Medicamentulu</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i S'</w:t>
            </w:r>
          </w:p>
          <w:p>
            <w:pPr>
              <w:pStyle w:val="Style32"/>
              <w:keepNext w:val="0"/>
              <w:keepLines w:val="0"/>
              <w:widowControl w:val="0"/>
              <w:shd w:val="clear" w:color="auto" w:fill="auto"/>
              <w:bidi w:val="0"/>
              <w:spacing w:before="0" w:after="0" w:line="204" w:lineRule="auto"/>
              <w:ind w:left="0" w:right="0" w:firstLine="0"/>
              <w:jc w:val="center"/>
            </w:pPr>
            <w:r>
              <w:rPr>
                <w:b/>
                <w:bCs/>
                <w:color w:val="000000"/>
                <w:spacing w:val="0"/>
                <w:w w:val="100"/>
                <w:position w:val="0"/>
                <w:sz w:val="24"/>
                <w:szCs w:val="24"/>
                <w:shd w:val="clear" w:color="auto" w:fill="auto"/>
                <w:lang w:val="en-US" w:eastAsia="en-US" w:bidi="en-US"/>
              </w:rPr>
              <w:t>Dispozitivelor</w:t>
            </w:r>
          </w:p>
          <w:p>
            <w:pPr>
              <w:pStyle w:val="Style32"/>
              <w:keepNext w:val="0"/>
              <w:keepLines w:val="0"/>
              <w:widowControl w:val="0"/>
              <w:shd w:val="clear" w:color="auto" w:fill="auto"/>
              <w:bidi w:val="0"/>
              <w:spacing w:before="0" w:after="0" w:line="240" w:lineRule="auto"/>
              <w:ind w:left="0" w:right="0" w:firstLine="400"/>
              <w:jc w:val="left"/>
            </w:pPr>
            <w:r>
              <w:rPr>
                <w:b/>
                <w:bCs/>
                <w:color w:val="000000"/>
                <w:spacing w:val="0"/>
                <w:w w:val="100"/>
                <w:position w:val="0"/>
                <w:sz w:val="24"/>
                <w:szCs w:val="24"/>
                <w:shd w:val="clear" w:color="auto" w:fill="auto"/>
                <w:lang w:val="en-US" w:eastAsia="en-US" w:bidi="en-US"/>
              </w:rPr>
              <w:t>Medicale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Fara obiecfii si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56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36</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Ministerul Justitiei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Nu au parvenit careva obiecdi sau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139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37</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en-US" w:eastAsia="en-US" w:bidi="en-US"/>
              </w:rPr>
              <w:t xml:space="preserve">. </w:t>
            </w:r>
            <w:r>
              <w:rPr>
                <w:b/>
                <w:bCs/>
                <w:color w:val="000000"/>
                <w:spacing w:val="0"/>
                <w:w w:val="100"/>
                <w:position w:val="0"/>
                <w:sz w:val="24"/>
                <w:szCs w:val="24"/>
                <w:shd w:val="clear" w:color="auto" w:fill="auto"/>
                <w:lang w:val="en-US" w:eastAsia="en-US" w:bidi="en-US"/>
              </w:rPr>
              <w:t>Ministerul Sanatatii, Muncii si Protectiei Sociale</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Nu au parvenit careva obiectii sau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1392"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38</w:t>
            </w:r>
          </w:p>
        </w:tc>
        <w:tc>
          <w:tcPr>
            <w:tcBorders>
              <w:top w:val="single" w:sz="4"/>
              <w:left w:val="single" w:sz="4"/>
            </w:tcBorders>
            <w:shd w:val="clear" w:color="auto" w:fill="FFFFFF"/>
            <w:vAlign w:val="bottom"/>
          </w:tcPr>
          <w:p>
            <w:pPr>
              <w:pStyle w:val="Style32"/>
              <w:keepNext w:val="0"/>
              <w:keepLines w:val="0"/>
              <w:widowControl w:val="0"/>
              <w:shd w:val="clear" w:color="auto" w:fill="auto"/>
              <w:tabs>
                <w:tab w:pos="494" w:val="left"/>
              </w:tabs>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w:t>
              <w:tab/>
            </w:r>
            <w:r>
              <w:rPr>
                <w:b/>
                <w:bCs/>
                <w:color w:val="000000"/>
                <w:spacing w:val="0"/>
                <w:w w:val="100"/>
                <w:position w:val="0"/>
                <w:sz w:val="24"/>
                <w:szCs w:val="24"/>
                <w:shd w:val="clear" w:color="auto" w:fill="auto"/>
                <w:lang w:val="en-US" w:eastAsia="en-US" w:bidi="en-US"/>
              </w:rPr>
              <w:t>Agentia</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Nationala pentru Sanatate Publica</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Nu au parvenit careva obiectii sau propuneri</w:t>
            </w:r>
          </w:p>
        </w:tc>
        <w:tc>
          <w:tcPr>
            <w:tcBorders>
              <w:top w:val="single" w:sz="4"/>
              <w:left w:val="single" w:sz="4"/>
              <w:right w:val="single" w:sz="4"/>
            </w:tcBorders>
            <w:shd w:val="clear" w:color="auto" w:fill="FFFFFF"/>
            <w:vAlign w:val="top"/>
          </w:tcPr>
          <w:p>
            <w:pPr>
              <w:widowControl w:val="0"/>
              <w:rPr>
                <w:sz w:val="10"/>
                <w:szCs w:val="10"/>
              </w:rPr>
            </w:pPr>
          </w:p>
        </w:tc>
      </w:tr>
      <w:tr>
        <w:trPr>
          <w:trHeight w:val="1123"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39</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 </w:t>
            </w:r>
            <w:r>
              <w:rPr>
                <w:b/>
                <w:bCs/>
                <w:color w:val="000000"/>
                <w:spacing w:val="0"/>
                <w:w w:val="100"/>
                <w:position w:val="0"/>
                <w:sz w:val="24"/>
                <w:szCs w:val="24"/>
                <w:shd w:val="clear" w:color="auto" w:fill="auto"/>
                <w:lang w:val="en-US" w:eastAsia="en-US" w:bidi="en-US"/>
              </w:rPr>
              <w:t>Compania Nationala de Asigurari in Medicina</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Nu au parvenit careva obiectii sau propuneri</w:t>
            </w: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sectPr>
          <w:headerReference w:type="default" r:id="rId12"/>
          <w:footerReference w:type="default" r:id="rId13"/>
          <w:footnotePr>
            <w:pos w:val="pageBottom"/>
            <w:numFmt w:val="decimal"/>
            <w:numRestart w:val="continuous"/>
          </w:footnotePr>
          <w:pgSz w:w="16840" w:h="11900" w:orient="landscape"/>
          <w:pgMar w:top="345" w:left="544" w:right="687" w:bottom="1044" w:header="0" w:footer="3" w:gutter="0"/>
          <w:pgNumType w:start="1"/>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SINTEZA</w:t>
      </w: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obiecfiilor si propunerilor (recomandarilor)</w:t>
      </w:r>
    </w:p>
    <w:p>
      <w:pPr>
        <w:pStyle w:val="Style12"/>
        <w:keepNext w:val="0"/>
        <w:keepLines w:val="0"/>
        <w:widowControl w:val="0"/>
        <w:shd w:val="clear" w:color="auto" w:fill="auto"/>
        <w:bidi w:val="0"/>
        <w:spacing w:before="0" w:after="540" w:line="240" w:lineRule="auto"/>
        <w:ind w:left="0" w:right="0" w:firstLine="0"/>
        <w:jc w:val="center"/>
      </w:pPr>
      <w:r>
        <w:rPr>
          <w:b/>
          <w:bCs/>
          <w:color w:val="000000"/>
          <w:spacing w:val="0"/>
          <w:w w:val="100"/>
          <w:position w:val="0"/>
          <w:sz w:val="24"/>
          <w:szCs w:val="24"/>
          <w:shd w:val="clear" w:color="auto" w:fill="auto"/>
          <w:lang w:val="en-US" w:eastAsia="en-US" w:bidi="en-US"/>
        </w:rPr>
        <w:t>la proiectul Hotararii de Parlament privind modificarea Hotararii Parlamentului nr. 56 din 30 martie 2017 pentru aprobarea Strategiei</w:t>
        <w:br/>
        <w:t>Nationale de Integritate si Anticoruptie pentru anii 2017-2020, parvenite de la organizatiile necomerciale</w:t>
      </w:r>
    </w:p>
    <w:tbl>
      <w:tblPr>
        <w:tblOverlap w:val="never"/>
        <w:jc w:val="center"/>
        <w:tblLayout w:type="fixed"/>
      </w:tblPr>
      <w:tblGrid>
        <w:gridCol w:w="715"/>
        <w:gridCol w:w="1843"/>
        <w:gridCol w:w="9638"/>
        <w:gridCol w:w="3413"/>
      </w:tblGrid>
      <w:tr>
        <w:trPr>
          <w:trHeight w:val="1397"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Nr.</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Participantul la avizare (expertizare)/co nsultare public:!</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Confinutul obiecfiei/propunerii (recomandarii)</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Argumentarea autorului proiectului</w:t>
            </w:r>
          </w:p>
        </w:tc>
      </w:tr>
      <w:tr>
        <w:trPr>
          <w:trHeight w:val="4699"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460"/>
              <w:jc w:val="left"/>
            </w:pPr>
            <w:r>
              <w:rPr>
                <w:b/>
                <w:bCs/>
                <w:color w:val="000000"/>
                <w:spacing w:val="0"/>
                <w:w w:val="100"/>
                <w:position w:val="0"/>
                <w:sz w:val="24"/>
                <w:szCs w:val="24"/>
                <w:shd w:val="clear" w:color="auto" w:fill="auto"/>
                <w:lang w:val="en-US" w:eastAsia="en-US" w:bidi="en-US"/>
              </w:rPr>
              <w:t>1.</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Centrul de Resurse pentru</w:t>
            </w:r>
          </w:p>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Drepturile Omului</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i/>
                <w:iCs/>
                <w:color w:val="000000"/>
                <w:spacing w:val="0"/>
                <w:w w:val="100"/>
                <w:position w:val="0"/>
                <w:sz w:val="24"/>
                <w:szCs w:val="24"/>
                <w:shd w:val="clear" w:color="auto" w:fill="auto"/>
                <w:lang w:val="en-US" w:eastAsia="en-US" w:bidi="en-US"/>
              </w:rPr>
              <w:t>Recomandari generale: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-Respectarea frecventei si calendarului sedintelor Grupurilor de monitorizare si publicarea Rapoartelor entitatilor implementatoare;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-Implementarea platformei on-line, pentru raportarea progreselor si dificultatilor in implementarea planurilor de actiuni anticoruptie, a concluziilor si recomandarilor;</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-Desemnarea persoanelor responsabile de asigurarea managementului integritatii institutionale si inregistrarea indicatorilor de progres in planul de actiuni anticoruptie pentru institutia ce o reprezinta (consilierii de integritate).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-Consolidarea cooperarii intre entitatile publice implementatoare si societatea civila si incurajarea elaborarii Rapoartelor alternative de monitorizare si evaluare a Strategiei Nationale de Integritate si Anticoruptie, per ansamblu, fie pe anumite domenii de interes si expertiza.</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-Raportarea progreselor per entitate implementatoare in cadrul actiunilor cu mai multe entitati responsabile.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-Evaluarea periodica a impactului instruirilor realizate, fie elaborarea unor platforme on-line de instruire.</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-Identificarea si implementarea unui mecanism eficient de sanctionare a responsabililor pentru nerespectarea termenilor prestabiliti si a raportarii lacunare.</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Recomandarile au fost discutate in cadrul sedintei de consultare publica pe marginea proiectului Hotararii de Parlament privind modificarea Hotararii Parlamentului nr. 56 din 30 martie 2017 pentru aprobarea Strategiei Nationale de Integritate si Anticoruptie pentru anii 2017-2020, organizata la data de 03 februarie 2020.</w:t>
            </w:r>
          </w:p>
        </w:tc>
      </w:tr>
      <w:tr>
        <w:trPr>
          <w:trHeight w:val="2506"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2.</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Transparence International</w:t>
              <w:softHyphen/>
              <w:t>Moldova</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b/>
                <w:bCs/>
                <w:i/>
                <w:iCs/>
                <w:color w:val="000000"/>
                <w:spacing w:val="0"/>
                <w:w w:val="100"/>
                <w:position w:val="0"/>
                <w:sz w:val="24"/>
                <w:szCs w:val="24"/>
                <w:shd w:val="clear" w:color="auto" w:fill="auto"/>
                <w:lang w:val="en-US" w:eastAsia="en-US" w:bidi="en-US"/>
              </w:rPr>
              <w:t>Recomandari</w:t>
            </w:r>
          </w:p>
          <w:p>
            <w:pPr>
              <w:pStyle w:val="Style32"/>
              <w:keepNext w:val="0"/>
              <w:keepLines w:val="0"/>
              <w:widowControl w:val="0"/>
              <w:numPr>
                <w:ilvl w:val="0"/>
                <w:numId w:val="9"/>
              </w:numPr>
              <w:shd w:val="clear" w:color="auto" w:fill="auto"/>
              <w:tabs>
                <w:tab w:pos="144" w:val="left"/>
              </w:tabs>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Introducerea in cadrul legal a unor cerinte exprese de dezvaluire a informatiilor pentru societatile pe ac|iuni, indiferent de faptul daca acestea sunt sau nu entitati de interes public.</w:t>
            </w:r>
          </w:p>
          <w:p>
            <w:pPr>
              <w:pStyle w:val="Style32"/>
              <w:keepNext w:val="0"/>
              <w:keepLines w:val="0"/>
              <w:widowControl w:val="0"/>
              <w:numPr>
                <w:ilvl w:val="0"/>
                <w:numId w:val="9"/>
              </w:numPr>
              <w:shd w:val="clear" w:color="auto" w:fill="auto"/>
              <w:tabs>
                <w:tab w:pos="149" w:val="left"/>
              </w:tabs>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Excluderea inconsistentelor legislative referitoare la natura contractului cu administratorii intreprinderilor de stat </w:t>
            </w:r>
            <w:r>
              <w:rPr>
                <w:i/>
                <w:iCs/>
                <w:color w:val="000000"/>
                <w:spacing w:val="0"/>
                <w:w w:val="100"/>
                <w:position w:val="0"/>
                <w:sz w:val="24"/>
                <w:szCs w:val="24"/>
                <w:shd w:val="clear" w:color="auto" w:fill="auto"/>
                <w:lang w:val="en-US" w:eastAsia="en-US" w:bidi="en-US"/>
              </w:rPr>
              <w:t>(contract de management - contract individual de munca).</w:t>
            </w:r>
          </w:p>
          <w:p>
            <w:pPr>
              <w:pStyle w:val="Style32"/>
              <w:keepNext w:val="0"/>
              <w:keepLines w:val="0"/>
              <w:widowControl w:val="0"/>
              <w:numPr>
                <w:ilvl w:val="0"/>
                <w:numId w:val="9"/>
              </w:numPr>
              <w:shd w:val="clear" w:color="auto" w:fill="auto"/>
              <w:tabs>
                <w:tab w:pos="192"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Examinarea oportunitatii de revizuire/actualizare a prevederilor ce tin de salarizarea in unitatile cu autonomie financiara, inclusiv a conducatorilor/administratorilor intreprinderilor.</w:t>
            </w:r>
          </w:p>
          <w:p>
            <w:pPr>
              <w:pStyle w:val="Style32"/>
              <w:keepNext w:val="0"/>
              <w:keepLines w:val="0"/>
              <w:widowControl w:val="0"/>
              <w:numPr>
                <w:ilvl w:val="0"/>
                <w:numId w:val="9"/>
              </w:numPr>
              <w:shd w:val="clear" w:color="auto" w:fill="auto"/>
              <w:tabs>
                <w:tab w:pos="192"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Prevenirea secretizarii abuzive a informatiilor despre activitatea intreprinderilor administrate de stat, inclusiv prin informarea conducatorilor intreprinderilor si a reprezentantilor fondatorilor despre</w:t>
            </w:r>
          </w:p>
        </w:tc>
        <w:tc>
          <w:tcPr>
            <w:tcBorders>
              <w:top w:val="single" w:sz="4"/>
              <w:left w:val="single" w:sz="4"/>
              <w:bottom w:val="single" w:sz="4"/>
              <w:right w:val="single" w:sz="4"/>
            </w:tcBorders>
            <w:shd w:val="clear" w:color="auto" w:fill="FFFFFF"/>
            <w:vAlign w:val="bottom"/>
          </w:tcPr>
          <w:p>
            <w:pPr>
              <w:pStyle w:val="Style32"/>
              <w:keepNext w:val="0"/>
              <w:keepLines w:val="0"/>
              <w:widowControl w:val="0"/>
              <w:shd w:val="clear" w:color="auto" w:fill="auto"/>
              <w:tabs>
                <w:tab w:pos="1306" w:val="left"/>
                <w:tab w:pos="2962" w:val="left"/>
              </w:tabs>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Se accepta partial. </w:t>
            </w:r>
            <w:r>
              <w:rPr>
                <w:color w:val="000000"/>
                <w:spacing w:val="0"/>
                <w:w w:val="100"/>
                <w:position w:val="0"/>
                <w:sz w:val="24"/>
                <w:szCs w:val="24"/>
                <w:shd w:val="clear" w:color="auto" w:fill="auto"/>
                <w:lang w:val="en-US" w:eastAsia="en-US" w:bidi="en-US"/>
              </w:rPr>
              <w:t>Textul este modificat conform propunerilor. Subsecvent, intrucat Planul de actiuni 2021-2022, prevede asigurarea continuitatii realizarii actiunilor restante, actiunilor cu termen</w:t>
              <w:tab/>
              <w:t>permanent</w:t>
              <w:tab/>
              <w:t>de</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implementare, sau cu includerea unor actiuni noi menite sa</w:t>
            </w:r>
          </w:p>
        </w:tc>
      </w:tr>
    </w:tbl>
    <w:p>
      <w:pPr>
        <w:spacing w:lineRule="exact" w:line="1"/>
        <w:rPr>
          <w:sz w:val="2"/>
          <w:szCs w:val="2"/>
        </w:rPr>
      </w:pPr>
      <w:r>
        <w:br w:type="page"/>
      </w:r>
    </w:p>
    <w:p>
      <w:pPr>
        <w:pStyle w:val="Style1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2640" w:right="0" w:firstLine="0"/>
        <w:jc w:val="both"/>
      </w:pPr>
      <w:r>
        <w:rPr>
          <w:color w:val="000000"/>
          <w:spacing w:val="0"/>
          <w:w w:val="100"/>
          <w:position w:val="0"/>
          <w:sz w:val="24"/>
          <w:szCs w:val="24"/>
          <w:shd w:val="clear" w:color="auto" w:fill="auto"/>
          <w:lang w:val="en-US" w:eastAsia="en-US" w:bidi="en-US"/>
        </w:rPr>
        <w:t>prevederile legale ce tin de accesul la int'ormatii si dezvaluirea informatiilor privind activitatea intreprinderilor.</w:t>
      </w:r>
    </w:p>
    <w:p>
      <w:pPr>
        <w:pStyle w:val="Style12"/>
        <w:keepNext w:val="0"/>
        <w:keepLines w:val="0"/>
        <w:widowControl w:val="0"/>
        <w:numPr>
          <w:ilvl w:val="0"/>
          <w:numId w:val="11"/>
        </w:numPr>
        <w:pBdr>
          <w:top w:val="single" w:sz="4" w:space="0" w:color="auto"/>
          <w:left w:val="single" w:sz="4" w:space="0" w:color="auto"/>
          <w:bottom w:val="single" w:sz="4" w:space="0" w:color="auto"/>
          <w:right w:val="single" w:sz="4" w:space="0" w:color="auto"/>
        </w:pBdr>
        <w:shd w:val="clear" w:color="auto" w:fill="auto"/>
        <w:tabs>
          <w:tab w:pos="2843" w:val="left"/>
        </w:tabs>
        <w:bidi w:val="0"/>
        <w:spacing w:before="0" w:after="0" w:line="240" w:lineRule="auto"/>
        <w:ind w:left="2640" w:right="0" w:firstLine="0"/>
        <w:jc w:val="both"/>
      </w:pPr>
      <w:r>
        <w:rPr>
          <w:color w:val="000000"/>
          <w:spacing w:val="0"/>
          <w:w w:val="100"/>
          <w:position w:val="0"/>
          <w:sz w:val="24"/>
          <w:szCs w:val="24"/>
          <w:shd w:val="clear" w:color="auto" w:fill="auto"/>
          <w:lang w:val="en-US" w:eastAsia="en-US" w:bidi="en-US"/>
        </w:rPr>
        <w:t>Asigurarea de catre fondatori a transparentei in selectarea candidatilor la functia de membru al CA, argumentarea deciziilor de desemnare a membrilor CA in ordinele respective ale autoritatilor publice, plasarea lor pe paginile web a intreprinderilor.</w:t>
      </w:r>
    </w:p>
    <w:p>
      <w:pPr>
        <w:pStyle w:val="Style12"/>
        <w:keepNext w:val="0"/>
        <w:keepLines w:val="0"/>
        <w:widowControl w:val="0"/>
        <w:numPr>
          <w:ilvl w:val="0"/>
          <w:numId w:val="11"/>
        </w:numPr>
        <w:pBdr>
          <w:top w:val="single" w:sz="4" w:space="0" w:color="auto"/>
          <w:left w:val="single" w:sz="4" w:space="0" w:color="auto"/>
          <w:bottom w:val="single" w:sz="4" w:space="0" w:color="auto"/>
          <w:right w:val="single" w:sz="4" w:space="0" w:color="auto"/>
        </w:pBdr>
        <w:shd w:val="clear" w:color="auto" w:fill="auto"/>
        <w:tabs>
          <w:tab w:pos="2843" w:val="left"/>
        </w:tabs>
        <w:bidi w:val="0"/>
        <w:spacing w:before="0" w:after="0" w:line="240" w:lineRule="auto"/>
        <w:ind w:left="2640" w:right="0" w:firstLine="0"/>
        <w:jc w:val="both"/>
      </w:pPr>
      <w:r>
        <w:rPr>
          <w:color w:val="000000"/>
          <w:spacing w:val="0"/>
          <w:w w:val="100"/>
          <w:position w:val="0"/>
          <w:sz w:val="24"/>
          <w:szCs w:val="24"/>
          <w:shd w:val="clear" w:color="auto" w:fill="auto"/>
          <w:lang w:val="en-US" w:eastAsia="en-US" w:bidi="en-US"/>
        </w:rPr>
        <w:t>Transparentizarea rezultatelor activitatii CA, inclusiv prin publicarea darii de seama privind exercitarea functiilor de catre persoanele imputernicite sa reprezinte interesele statului pe pagina web a intreprinderilor.</w:t>
      </w:r>
    </w:p>
    <w:p>
      <w:pPr>
        <w:pStyle w:val="Style12"/>
        <w:keepNext w:val="0"/>
        <w:keepLines w:val="0"/>
        <w:widowControl w:val="0"/>
        <w:numPr>
          <w:ilvl w:val="0"/>
          <w:numId w:val="11"/>
        </w:numPr>
        <w:pBdr>
          <w:top w:val="single" w:sz="4" w:space="0" w:color="auto"/>
          <w:left w:val="single" w:sz="4" w:space="0" w:color="auto"/>
          <w:bottom w:val="single" w:sz="4" w:space="0" w:color="auto"/>
          <w:right w:val="single" w:sz="4" w:space="0" w:color="auto"/>
        </w:pBdr>
        <w:shd w:val="clear" w:color="auto" w:fill="auto"/>
        <w:tabs>
          <w:tab w:pos="2843" w:val="left"/>
        </w:tabs>
        <w:bidi w:val="0"/>
        <w:spacing w:before="0" w:after="0" w:line="240" w:lineRule="auto"/>
        <w:ind w:left="2640" w:right="0" w:firstLine="0"/>
        <w:jc w:val="both"/>
      </w:pPr>
      <w:r>
        <w:rPr>
          <w:color w:val="000000"/>
          <w:spacing w:val="0"/>
          <w:w w:val="100"/>
          <w:position w:val="0"/>
          <w:sz w:val="24"/>
          <w:szCs w:val="24"/>
          <w:shd w:val="clear" w:color="auto" w:fill="auto"/>
          <w:lang w:val="en-US" w:eastAsia="en-US" w:bidi="en-US"/>
        </w:rPr>
        <w:t>Reducerea numarului CA in care poate participa concomitent una si aceeasi persoana, atragerea in componenta consiliilor a specialistilor in economie si in drept din domeniul de activitate al intreprinderilor.</w:t>
      </w:r>
    </w:p>
    <w:p>
      <w:pPr>
        <w:pStyle w:val="Style12"/>
        <w:keepNext w:val="0"/>
        <w:keepLines w:val="0"/>
        <w:widowControl w:val="0"/>
        <w:numPr>
          <w:ilvl w:val="0"/>
          <w:numId w:val="11"/>
        </w:numPr>
        <w:pBdr>
          <w:top w:val="single" w:sz="4" w:space="0" w:color="auto"/>
          <w:left w:val="single" w:sz="4" w:space="0" w:color="auto"/>
          <w:bottom w:val="single" w:sz="4" w:space="0" w:color="auto"/>
          <w:right w:val="single" w:sz="4" w:space="0" w:color="auto"/>
        </w:pBdr>
        <w:shd w:val="clear" w:color="auto" w:fill="auto"/>
        <w:tabs>
          <w:tab w:pos="2843" w:val="left"/>
        </w:tabs>
        <w:bidi w:val="0"/>
        <w:spacing w:before="0" w:after="0" w:line="240" w:lineRule="auto"/>
        <w:ind w:left="2640" w:right="0" w:firstLine="0"/>
        <w:jc w:val="both"/>
      </w:pPr>
      <w:r>
        <w:rPr>
          <w:color w:val="000000"/>
          <w:spacing w:val="0"/>
          <w:w w:val="100"/>
          <w:position w:val="0"/>
          <w:sz w:val="24"/>
          <w:szCs w:val="24"/>
          <w:shd w:val="clear" w:color="auto" w:fill="auto"/>
          <w:lang w:val="en-US" w:eastAsia="en-US" w:bidi="en-US"/>
        </w:rPr>
        <w:t>Organizarea, cu participarea ANI, a instruirilor la tematica completarii si depunerii declarator de avere si interese personale, raportarea si solutionarea conflictelor de interese pentru factorii de decizie a intreprinderilor si membrii CA.</w:t>
      </w:r>
    </w:p>
    <w:p>
      <w:pPr>
        <w:pStyle w:val="Style12"/>
        <w:keepNext w:val="0"/>
        <w:keepLines w:val="0"/>
        <w:widowControl w:val="0"/>
        <w:numPr>
          <w:ilvl w:val="0"/>
          <w:numId w:val="11"/>
        </w:numPr>
        <w:pBdr>
          <w:top w:val="single" w:sz="4" w:space="0" w:color="auto"/>
          <w:left w:val="single" w:sz="4" w:space="0" w:color="auto"/>
          <w:bottom w:val="single" w:sz="4" w:space="0" w:color="auto"/>
          <w:right w:val="single" w:sz="4" w:space="0" w:color="auto"/>
        </w:pBdr>
        <w:shd w:val="clear" w:color="auto" w:fill="auto"/>
        <w:tabs>
          <w:tab w:pos="2843" w:val="left"/>
        </w:tabs>
        <w:bidi w:val="0"/>
        <w:spacing w:before="0" w:after="0" w:line="240" w:lineRule="auto"/>
        <w:ind w:left="2640" w:right="0" w:firstLine="0"/>
        <w:jc w:val="both"/>
      </w:pPr>
      <w:r>
        <w:rPr>
          <w:color w:val="000000"/>
          <w:spacing w:val="0"/>
          <w:w w:val="100"/>
          <w:position w:val="0"/>
          <w:sz w:val="24"/>
          <w:szCs w:val="24"/>
          <w:shd w:val="clear" w:color="auto" w:fill="auto"/>
          <w:lang w:val="en-US" w:eastAsia="en-US" w:bidi="en-US"/>
        </w:rPr>
        <w:t>Verificarea de catre ANI a depunerii in termen a declarator de avere si interese personale, precum si a veridicitatii informatiilor din declarable depuse de administratorii intreprinderilor.</w:t>
      </w:r>
    </w:p>
    <w:p>
      <w:pPr>
        <w:pStyle w:val="Style12"/>
        <w:keepNext w:val="0"/>
        <w:keepLines w:val="0"/>
        <w:widowControl w:val="0"/>
        <w:numPr>
          <w:ilvl w:val="0"/>
          <w:numId w:val="11"/>
        </w:numPr>
        <w:pBdr>
          <w:top w:val="single" w:sz="4" w:space="0" w:color="auto"/>
          <w:left w:val="single" w:sz="4" w:space="0" w:color="auto"/>
          <w:bottom w:val="single" w:sz="4" w:space="0" w:color="auto"/>
          <w:right w:val="single" w:sz="4" w:space="0" w:color="auto"/>
        </w:pBdr>
        <w:shd w:val="clear" w:color="auto" w:fill="auto"/>
        <w:tabs>
          <w:tab w:pos="2843" w:val="left"/>
        </w:tabs>
        <w:bidi w:val="0"/>
        <w:spacing w:before="0" w:after="0" w:line="240" w:lineRule="auto"/>
        <w:ind w:left="2640" w:right="0" w:firstLine="0"/>
        <w:jc w:val="both"/>
      </w:pPr>
      <w:r>
        <w:rPr>
          <w:color w:val="000000"/>
          <w:spacing w:val="0"/>
          <w:w w:val="100"/>
          <w:position w:val="0"/>
          <w:sz w:val="24"/>
          <w:szCs w:val="24"/>
          <w:shd w:val="clear" w:color="auto" w:fill="auto"/>
          <w:lang w:val="en-US" w:eastAsia="en-US" w:bidi="en-US"/>
        </w:rPr>
        <w:t>Plasarea pe pagina web a Inspectiei Financiare a prescriptiilor privind rezultatele inspector efectuate la intreprinderile administrate de stat (sau, cel put, a extraselor din ele), precum si a Normelor metodologice privind organizarea si desfasurarea activitatii de inspectare financiara.</w:t>
      </w:r>
    </w:p>
    <w:p>
      <w:pPr>
        <w:pStyle w:val="Style12"/>
        <w:keepNext w:val="0"/>
        <w:keepLines w:val="0"/>
        <w:widowControl w:val="0"/>
        <w:numPr>
          <w:ilvl w:val="0"/>
          <w:numId w:val="11"/>
        </w:numPr>
        <w:pBdr>
          <w:top w:val="single" w:sz="4" w:space="0" w:color="auto"/>
          <w:left w:val="single" w:sz="4" w:space="0" w:color="auto"/>
          <w:bottom w:val="single" w:sz="4" w:space="0" w:color="auto"/>
          <w:right w:val="single" w:sz="4" w:space="0" w:color="auto"/>
        </w:pBdr>
        <w:shd w:val="clear" w:color="auto" w:fill="auto"/>
        <w:tabs>
          <w:tab w:pos="2843" w:val="left"/>
        </w:tabs>
        <w:bidi w:val="0"/>
        <w:spacing w:before="0" w:after="0" w:line="240" w:lineRule="auto"/>
        <w:ind w:left="2640" w:right="0" w:firstLine="0"/>
        <w:jc w:val="both"/>
      </w:pPr>
      <w:r>
        <w:rPr>
          <w:color w:val="000000"/>
          <w:spacing w:val="0"/>
          <w:w w:val="100"/>
          <w:position w:val="0"/>
          <w:sz w:val="24"/>
          <w:szCs w:val="24"/>
          <w:shd w:val="clear" w:color="auto" w:fill="auto"/>
          <w:lang w:val="en-US" w:eastAsia="en-US" w:bidi="en-US"/>
        </w:rPr>
        <w:t>Organizarea, cu participarea Inspectiei Financiare, a instruirilor/work shop-urilor privitor la neregulile tipice depistate in activitatea intreprinderilor pentru administratorii si contabilii sefi ai acestora si, dupa caz, a reprezentantilor fondatorilor/membrilor CA.</w:t>
      </w:r>
    </w:p>
    <w:p>
      <w:pPr>
        <w:pStyle w:val="Style12"/>
        <w:keepNext w:val="0"/>
        <w:keepLines w:val="0"/>
        <w:widowControl w:val="0"/>
        <w:numPr>
          <w:ilvl w:val="0"/>
          <w:numId w:val="11"/>
        </w:numPr>
        <w:pBdr>
          <w:top w:val="single" w:sz="4" w:space="0" w:color="auto"/>
          <w:left w:val="single" w:sz="4" w:space="0" w:color="auto"/>
          <w:bottom w:val="single" w:sz="4" w:space="0" w:color="auto"/>
          <w:right w:val="single" w:sz="4" w:space="0" w:color="auto"/>
        </w:pBdr>
        <w:shd w:val="clear" w:color="auto" w:fill="auto"/>
        <w:tabs>
          <w:tab w:pos="2843" w:val="left"/>
        </w:tabs>
        <w:bidi w:val="0"/>
        <w:spacing w:before="0" w:after="0" w:line="240" w:lineRule="auto"/>
        <w:ind w:left="2640" w:right="0" w:firstLine="0"/>
        <w:jc w:val="both"/>
      </w:pPr>
      <w:r>
        <w:rPr>
          <w:color w:val="000000"/>
          <w:spacing w:val="0"/>
          <w:w w:val="100"/>
          <w:position w:val="0"/>
          <w:sz w:val="24"/>
          <w:szCs w:val="24"/>
          <w:shd w:val="clear" w:color="auto" w:fill="auto"/>
          <w:lang w:val="en-US" w:eastAsia="en-US" w:bidi="en-US"/>
        </w:rPr>
        <w:t>Sporirea atentiei CA asupra rezultatelor auditurilor/controalelor efectuate la intreprinderi si a masurilor intreprinse in vederea remedierii situatiei.</w:t>
      </w:r>
    </w:p>
    <w:p>
      <w:pPr>
        <w:pStyle w:val="Style12"/>
        <w:keepNext w:val="0"/>
        <w:keepLines w:val="0"/>
        <w:widowControl w:val="0"/>
        <w:numPr>
          <w:ilvl w:val="0"/>
          <w:numId w:val="11"/>
        </w:numPr>
        <w:pBdr>
          <w:top w:val="single" w:sz="4" w:space="0" w:color="auto"/>
          <w:left w:val="single" w:sz="4" w:space="0" w:color="auto"/>
          <w:bottom w:val="single" w:sz="4" w:space="0" w:color="auto"/>
          <w:right w:val="single" w:sz="4" w:space="0" w:color="auto"/>
        </w:pBdr>
        <w:shd w:val="clear" w:color="auto" w:fill="auto"/>
        <w:tabs>
          <w:tab w:pos="2847" w:val="left"/>
        </w:tabs>
        <w:bidi w:val="0"/>
        <w:spacing w:before="0" w:after="0" w:line="240" w:lineRule="auto"/>
        <w:ind w:left="2640" w:right="0" w:firstLine="0"/>
        <w:jc w:val="both"/>
      </w:pPr>
      <w:r>
        <w:rPr>
          <w:color w:val="000000"/>
          <w:spacing w:val="0"/>
          <w:w w:val="100"/>
          <w:position w:val="0"/>
          <w:sz w:val="24"/>
          <w:szCs w:val="24"/>
          <w:shd w:val="clear" w:color="auto" w:fill="auto"/>
          <w:lang w:val="en-US" w:eastAsia="en-US" w:bidi="en-US"/>
        </w:rPr>
        <w:t xml:space="preserve">Dezvoltarea/actualizarea paginilor web ale intreprinderilor, cu eventuala includere a unei rubrici aparte </w:t>
      </w:r>
      <w:r>
        <w:rPr>
          <w:i/>
          <w:iCs/>
          <w:color w:val="000000"/>
          <w:spacing w:val="0"/>
          <w:w w:val="100"/>
          <w:position w:val="0"/>
          <w:sz w:val="24"/>
          <w:szCs w:val="24"/>
          <w:shd w:val="clear" w:color="auto" w:fill="auto"/>
          <w:lang w:val="en-US" w:eastAsia="en-US" w:bidi="en-US"/>
        </w:rPr>
        <w:t>Dezvaluirea mformafiei,</w:t>
      </w:r>
      <w:r>
        <w:rPr>
          <w:color w:val="000000"/>
          <w:spacing w:val="0"/>
          <w:w w:val="100"/>
          <w:position w:val="0"/>
          <w:sz w:val="24"/>
          <w:szCs w:val="24"/>
          <w:shd w:val="clear" w:color="auto" w:fill="auto"/>
          <w:lang w:val="en-US" w:eastAsia="en-US" w:bidi="en-US"/>
        </w:rPr>
        <w:t xml:space="preserve"> vizibila, plasata in meniul de nivelul unu al paginii web, care ar cuprinde, cel put, informatiile obligatorii (statut, regulamente interne, raport anual (complet), raport de audit in varianta integrala, achizitii). In cazul intreprinderilor care nu dispun de pagina web, informatiile trebuie plasate pe paginile web ale fondatorilor.</w:t>
      </w:r>
    </w:p>
    <w:p>
      <w:pPr>
        <w:pStyle w:val="Style12"/>
        <w:keepNext w:val="0"/>
        <w:keepLines w:val="0"/>
        <w:widowControl w:val="0"/>
        <w:numPr>
          <w:ilvl w:val="0"/>
          <w:numId w:val="11"/>
        </w:numPr>
        <w:pBdr>
          <w:top w:val="single" w:sz="4" w:space="0" w:color="auto"/>
          <w:left w:val="single" w:sz="4" w:space="0" w:color="auto"/>
          <w:bottom w:val="single" w:sz="4" w:space="0" w:color="auto"/>
          <w:right w:val="single" w:sz="4" w:space="0" w:color="auto"/>
        </w:pBdr>
        <w:shd w:val="clear" w:color="auto" w:fill="auto"/>
        <w:tabs>
          <w:tab w:pos="2843" w:val="left"/>
        </w:tabs>
        <w:bidi w:val="0"/>
        <w:spacing w:before="0" w:after="0" w:line="240" w:lineRule="auto"/>
        <w:ind w:left="2640" w:right="0" w:firstLine="0"/>
        <w:jc w:val="both"/>
      </w:pPr>
      <w:r>
        <w:rPr>
          <w:color w:val="000000"/>
          <w:spacing w:val="0"/>
          <w:w w:val="100"/>
          <w:position w:val="0"/>
          <w:sz w:val="24"/>
          <w:szCs w:val="24"/>
          <w:shd w:val="clear" w:color="auto" w:fill="auto"/>
          <w:lang w:val="en-US" w:eastAsia="en-US" w:bidi="en-US"/>
        </w:rPr>
        <w:t>Atentionarea de catre CA a administratorilor intreprinderilor si membrilor grupurilor de lucru pentru achizitii asupra necesitatii respectarii prevederilor ce tin de transparenta achizitiilor (publicarea planurilor de achizitii, anunturilor de intentie, asigurarea monitorizarii contractelor de achizitii si a publicarii informatiilor despre executarea acestora). In acest scop ar putea fi dezvoltate subrubricile destinate achizitiilor de pe paginile web ale intreprinderilor, incluzand pe ele, de rand cu alte informatii, si ordinele de creare a grupurilor de lucru pentru achizitii, precum si componenta acestora.</w:t>
      </w:r>
    </w:p>
    <w:p>
      <w:pPr>
        <w:pStyle w:val="Style12"/>
        <w:keepNext w:val="0"/>
        <w:keepLines w:val="0"/>
        <w:widowControl w:val="0"/>
        <w:numPr>
          <w:ilvl w:val="0"/>
          <w:numId w:val="11"/>
        </w:numPr>
        <w:pBdr>
          <w:top w:val="single" w:sz="4" w:space="0" w:color="auto"/>
          <w:left w:val="single" w:sz="4" w:space="0" w:color="auto"/>
          <w:bottom w:val="single" w:sz="4" w:space="0" w:color="auto"/>
          <w:right w:val="single" w:sz="4" w:space="0" w:color="auto"/>
        </w:pBdr>
        <w:shd w:val="clear" w:color="auto" w:fill="auto"/>
        <w:tabs>
          <w:tab w:pos="2843" w:val="left"/>
        </w:tabs>
        <w:bidi w:val="0"/>
        <w:spacing w:before="0" w:after="0" w:line="240" w:lineRule="auto"/>
        <w:ind w:left="2640" w:right="0" w:firstLine="0"/>
        <w:jc w:val="both"/>
      </w:pPr>
      <w:r>
        <mc:AlternateContent>
          <mc:Choice Requires="wps">
            <w:drawing>
              <wp:anchor distT="63500" distB="63500" distL="63500" distR="63500" simplePos="0" relativeHeight="125829380" behindDoc="0" locked="0" layoutInCell="1" allowOverlap="1">
                <wp:simplePos x="0" y="0"/>
                <wp:positionH relativeFrom="page">
                  <wp:posOffset>8138795</wp:posOffset>
                </wp:positionH>
                <wp:positionV relativeFrom="margin">
                  <wp:posOffset>138430</wp:posOffset>
                </wp:positionV>
                <wp:extent cx="2072640" cy="6343015"/>
                <wp:wrapSquare wrapText="left"/>
                <wp:docPr id="13" name="Shape 13"/>
                <a:graphic xmlns:a="http://schemas.openxmlformats.org/drawingml/2006/main">
                  <a:graphicData uri="http://schemas.microsoft.com/office/word/2010/wordprocessingShape">
                    <wps:wsp>
                      <wps:cNvSpPr txBox="1"/>
                      <wps:spPr>
                        <a:xfrm>
                          <a:ext cx="2072640" cy="6343015"/>
                        </a:xfrm>
                        <a:prstGeom prst="rect"/>
                        <a:noFill/>
                      </wps:spPr>
                      <wps:txbx>
                        <w:txbxContent>
                          <w:p>
                            <w:pPr>
                              <w:pStyle w:val="Style12"/>
                              <w:keepNext w:val="0"/>
                              <w:keepLines w:val="0"/>
                              <w:widowControl w:val="0"/>
                              <w:shd w:val="clear" w:color="auto" w:fill="auto"/>
                              <w:tabs>
                                <w:tab w:pos="1968"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contribuie la atingerea indicatorilor expres prevazuti in textul Strategiei, unele propuneri vor sta la baza noului document de politici in domeniul anticoruptie la nivel national. Totodata, intrucat, adesea impactul unor documente de politici nationale nu se materializeaza suficient la nivel sectorial, local si la nivelul contactului cetateanului cu prestatorul de servicii publice, Planul de actiuni anticoruptie al Strategia Nationala de Integritate si Anticoruptie include abordarea sectoriala a fenomenului coruptiei prin coordonarea si asigurarea</w:t>
                              <w:tab/>
                              <w:t>continuitatii</w:t>
                            </w:r>
                          </w:p>
                          <w:p>
                            <w:pPr>
                              <w:pStyle w:val="Style12"/>
                              <w:keepNext w:val="0"/>
                              <w:keepLines w:val="0"/>
                              <w:widowControl w:val="0"/>
                              <w:shd w:val="clear" w:color="auto" w:fill="auto"/>
                              <w:tabs>
                                <w:tab w:pos="2232"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implementarii</w:t>
                              <w:tab/>
                              <w:t>planurilor</w:t>
                            </w:r>
                          </w:p>
                          <w:p>
                            <w:pPr>
                              <w:pStyle w:val="Style12"/>
                              <w:keepNext w:val="0"/>
                              <w:keepLines w:val="0"/>
                              <w:widowControl w:val="0"/>
                              <w:shd w:val="clear" w:color="auto" w:fill="auto"/>
                              <w:tabs>
                                <w:tab w:pos="2400"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sectoriale/locale anticoruptie in domeniile vulnerabile printre care si domeniul administrarii si deetatizarii proprietatii publice. Astfel, Centrul National Anticoruptie va inainta Agentiei Proprietati</w:t>
                              <w:tab/>
                              <w:t>Publice,</w:t>
                            </w:r>
                          </w:p>
                          <w:p>
                            <w:pPr>
                              <w:pStyle w:val="Style12"/>
                              <w:keepNext w:val="0"/>
                              <w:keepLines w:val="0"/>
                              <w:widowControl w:val="0"/>
                              <w:shd w:val="clear" w:color="auto" w:fill="auto"/>
                              <w:tabs>
                                <w:tab w:pos="1306" w:val="left"/>
                                <w:tab w:pos="2923"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recomandarile transmise, intru includerea acestora in Planul sectorial</w:t>
                              <w:tab/>
                              <w:t>anticoruptie</w:t>
                              <w:tab/>
                              <w:t>in</w:t>
                            </w:r>
                          </w:p>
                          <w:p>
                            <w:pPr>
                              <w:pStyle w:val="Style12"/>
                              <w:keepNext w:val="0"/>
                              <w:keepLines w:val="0"/>
                              <w:widowControl w:val="0"/>
                              <w:shd w:val="clear" w:color="auto" w:fill="auto"/>
                              <w:tabs>
                                <w:tab w:pos="1301" w:val="left"/>
                                <w:tab w:pos="2918"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domeniul</w:t>
                              <w:tab/>
                              <w:t>administrarii</w:t>
                              <w:tab/>
                              <w:t>si</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deetatizarii proprietatii publice. Totodata, introducerea acestor propuneri in Planul sectorial de actiuni anticoruptie in domeniul administrarii si deetatizarii</w:t>
                            </w:r>
                          </w:p>
                        </w:txbxContent>
                      </wps:txbx>
                      <wps:bodyPr lIns="0" tIns="0" rIns="0" bIns="0">
                        <a:noAutoFit/>
                      </wps:bodyPr>
                    </wps:wsp>
                  </a:graphicData>
                </a:graphic>
              </wp:anchor>
            </w:drawing>
          </mc:Choice>
          <mc:Fallback>
            <w:pict>
              <v:shape id="_x0000_s1039" type="#_x0000_t202" style="position:absolute;margin-left:640.85000000000002pt;margin-top:10.9pt;width:163.19999999999999pt;height:499.44999999999999pt;z-index:-125829373;mso-wrap-distance-left:5.pt;mso-wrap-distance-top:5.pt;mso-wrap-distance-right:5.pt;mso-wrap-distance-bottom:5.pt;mso-position-horizontal-relative:page;mso-position-vertical-relative:margin" filled="f" stroked="f">
                <v:textbox inset="0,0,0,0">
                  <w:txbxContent>
                    <w:p>
                      <w:pPr>
                        <w:pStyle w:val="Style12"/>
                        <w:keepNext w:val="0"/>
                        <w:keepLines w:val="0"/>
                        <w:widowControl w:val="0"/>
                        <w:shd w:val="clear" w:color="auto" w:fill="auto"/>
                        <w:tabs>
                          <w:tab w:pos="1968"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contribuie la atingerea indicatorilor expres prevazuti in textul Strategiei, unele propuneri vor sta la baza noului document de politici in domeniul anticoruptie la nivel national. Totodata, intrucat, adesea impactul unor documente de politici nationale nu se materializeaza suficient la nivel sectorial, local si la nivelul contactului cetateanului cu prestatorul de servicii publice, Planul de actiuni anticoruptie al Strategia Nationala de Integritate si Anticoruptie include abordarea sectoriala a fenomenului coruptiei prin coordonarea si asigurarea</w:t>
                        <w:tab/>
                        <w:t>continuitatii</w:t>
                      </w:r>
                    </w:p>
                    <w:p>
                      <w:pPr>
                        <w:pStyle w:val="Style12"/>
                        <w:keepNext w:val="0"/>
                        <w:keepLines w:val="0"/>
                        <w:widowControl w:val="0"/>
                        <w:shd w:val="clear" w:color="auto" w:fill="auto"/>
                        <w:tabs>
                          <w:tab w:pos="2232"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implementarii</w:t>
                        <w:tab/>
                        <w:t>planurilor</w:t>
                      </w:r>
                    </w:p>
                    <w:p>
                      <w:pPr>
                        <w:pStyle w:val="Style12"/>
                        <w:keepNext w:val="0"/>
                        <w:keepLines w:val="0"/>
                        <w:widowControl w:val="0"/>
                        <w:shd w:val="clear" w:color="auto" w:fill="auto"/>
                        <w:tabs>
                          <w:tab w:pos="2400"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sectoriale/locale anticoruptie in domeniile vulnerabile printre care si domeniul administrarii si deetatizarii proprietatii publice. Astfel, Centrul National Anticoruptie va inainta Agentiei Proprietati</w:t>
                        <w:tab/>
                        <w:t>Publice,</w:t>
                      </w:r>
                    </w:p>
                    <w:p>
                      <w:pPr>
                        <w:pStyle w:val="Style12"/>
                        <w:keepNext w:val="0"/>
                        <w:keepLines w:val="0"/>
                        <w:widowControl w:val="0"/>
                        <w:shd w:val="clear" w:color="auto" w:fill="auto"/>
                        <w:tabs>
                          <w:tab w:pos="1306" w:val="left"/>
                          <w:tab w:pos="2923"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recomandarile transmise, intru includerea acestora in Planul sectorial</w:t>
                        <w:tab/>
                        <w:t>anticoruptie</w:t>
                        <w:tab/>
                        <w:t>in</w:t>
                      </w:r>
                    </w:p>
                    <w:p>
                      <w:pPr>
                        <w:pStyle w:val="Style12"/>
                        <w:keepNext w:val="0"/>
                        <w:keepLines w:val="0"/>
                        <w:widowControl w:val="0"/>
                        <w:shd w:val="clear" w:color="auto" w:fill="auto"/>
                        <w:tabs>
                          <w:tab w:pos="1301" w:val="left"/>
                          <w:tab w:pos="2918"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domeniul</w:t>
                        <w:tab/>
                        <w:t>administrarii</w:t>
                        <w:tab/>
                        <w:t>si</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deetatizarii proprietatii publice. Totodata, introducerea acestor propuneri in Planul sectorial de actiuni anticoruptie in domeniul administrarii si deetatizarii</w:t>
                      </w:r>
                    </w:p>
                  </w:txbxContent>
                </v:textbox>
                <w10:wrap type="square" side="left" anchorx="page" anchory="margin"/>
              </v:shape>
            </w:pict>
          </mc:Fallback>
        </mc:AlternateContent>
      </w:r>
      <w:r>
        <w:rPr>
          <w:color w:val="000000"/>
          <w:spacing w:val="0"/>
          <w:w w:val="100"/>
          <w:position w:val="0"/>
          <w:sz w:val="24"/>
          <w:szCs w:val="24"/>
          <w:shd w:val="clear" w:color="auto" w:fill="auto"/>
          <w:lang w:val="en-US" w:eastAsia="en-US" w:bidi="en-US"/>
        </w:rPr>
        <w:t>Intarirea capacitatilor APP, eventual prin suplimentarea statelor de personal, pentru a face fata atributiilor in domeniul administrarii intreprinderilor de stat si societatilor comerciale cu cota de stat.</w:t>
      </w:r>
      <w:r>
        <w:br w:type="page"/>
      </w:r>
    </w:p>
    <w:tbl>
      <w:tblPr>
        <w:tblOverlap w:val="never"/>
        <w:jc w:val="center"/>
        <w:tblLayout w:type="fixed"/>
      </w:tblPr>
      <w:tblGrid>
        <w:gridCol w:w="715"/>
        <w:gridCol w:w="1843"/>
        <w:gridCol w:w="9638"/>
        <w:gridCol w:w="3413"/>
      </w:tblGrid>
      <w:tr>
        <w:trPr>
          <w:trHeight w:val="194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2"/>
              <w:keepNext w:val="0"/>
              <w:keepLines w:val="0"/>
              <w:widowControl w:val="0"/>
              <w:numPr>
                <w:ilvl w:val="0"/>
                <w:numId w:val="13"/>
              </w:numPr>
              <w:shd w:val="clear" w:color="auto" w:fill="auto"/>
              <w:tabs>
                <w:tab w:pos="206"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Accelerarea procesului de completare/actualizare a paginii web APP cu int'ormatii referitoare la intreprinderile administrate, asigurarea pastrarii/arhivarii datelor pentru o perioada anumita de timp (de ex., 5 ani), asigurarea functionarii motorului de cautare.</w:t>
            </w:r>
          </w:p>
          <w:p>
            <w:pPr>
              <w:pStyle w:val="Style32"/>
              <w:keepNext w:val="0"/>
              <w:keepLines w:val="0"/>
              <w:widowControl w:val="0"/>
              <w:numPr>
                <w:ilvl w:val="0"/>
                <w:numId w:val="13"/>
              </w:numPr>
              <w:shd w:val="clear" w:color="auto" w:fill="auto"/>
              <w:tabs>
                <w:tab w:pos="192"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Examinarea oportunitatii crearii, eventual cu suportul partenerilor externi, a unui mecanism de colectare si arhivare a datelor despre activitatea intreprinderilor administrate de stat, similar Mecanismului oficial de stocare a informatiilor, ceea ce ar reduce manopera APP si ar facilita cautarea informatiilor de catre parjile interesate (inclusiv ONG si mass-media).</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proprietatii publice va fi monitorizata.</w:t>
            </w:r>
          </w:p>
        </w:tc>
      </w:tr>
      <w:tr>
        <w:trPr>
          <w:trHeight w:val="4709"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3.</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Camera de Comert Americana din Moldova (AmCham)</w:t>
            </w:r>
          </w:p>
        </w:tc>
        <w:tc>
          <w:tcPr>
            <w:tcBorders>
              <w:top w:val="single" w:sz="4"/>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In contextul initierii consultarilor publice pe marginea Strategiei Nationale de Integritate si Anticoruptie (Planul de actiuni) dorim sa ne exprimam disponibilitatea de a contribui la realizarea activitatilor din cadrul Pilonului VII „Sectorul Privat”.</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Actualmente, AmCham Moldova este in proces de traducere a Ghidului „Fortificarea conduitei etice si a integritatii in afaceri”, un suport metodologic privind implementarea proceselor de integritate corporativa, elaborat de Centrul International pentru Antreprenoriat Privat (CIPE), efort ce implica si tiparirea a 100 de exemplare, ce dorim sa le oferim Centrului National Anticoruptie. Consideram ca respectivul parteneriat se pliaza pe actiunea stipulata in proiectul planului de actiuni „Elaborarea si publicarea documentelor suport (model) pentru sectorul privat privind normele si standardele de integritate si etica in afaceri”. Paralel ne exprimam disponibilitatea de a fi antrenati in activitatile propuse de CNA ce tin de „Organizarea de consultari publice periodice intre reprezentantii sectorului public si ai mediului de afaceri cu privire la politicile si angajamentele nationale anticoruptie cu impact asupra activitatii economice”, „Diseminarea in rindul comunitatii de afaceri a standardelor internationale de prevenire a coruptiei in sectorul privat (ISO 37001:2016 „Sisteme de management anticoruptie. Cerinte si recomandari de implementare”) si a codului-model de etica in afaceri si de guvernanta corporativa”, dar si altele in care considerati ca noi in calitate de asociatie de business, sau companiile din cadrul comunitatii AmCham ar putea fi implicate.</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33" w:lineRule="auto"/>
              <w:ind w:left="0" w:right="0" w:firstLine="0"/>
              <w:jc w:val="left"/>
            </w:pPr>
            <w:r>
              <w:rPr>
                <w:b/>
                <w:bCs/>
                <w:color w:val="000000"/>
                <w:spacing w:val="0"/>
                <w:w w:val="100"/>
                <w:position w:val="0"/>
                <w:sz w:val="24"/>
                <w:szCs w:val="24"/>
                <w:shd w:val="clear" w:color="auto" w:fill="auto"/>
                <w:lang w:val="en-US" w:eastAsia="en-US" w:bidi="en-US"/>
              </w:rPr>
              <w:t xml:space="preserve">Se accepta. </w:t>
            </w:r>
            <w:r>
              <w:rPr>
                <w:color w:val="000000"/>
                <w:spacing w:val="0"/>
                <w:w w:val="100"/>
                <w:position w:val="0"/>
                <w:sz w:val="24"/>
                <w:szCs w:val="24"/>
                <w:shd w:val="clear" w:color="auto" w:fill="auto"/>
                <w:lang w:val="en-US" w:eastAsia="en-US" w:bidi="en-US"/>
              </w:rPr>
              <w:t>Textul este modificat conform propunerilor.</w:t>
            </w:r>
          </w:p>
        </w:tc>
      </w:tr>
    </w:tbl>
    <w:sectPr>
      <w:headerReference w:type="default" r:id="rId14"/>
      <w:footerReference w:type="default" r:id="rId15"/>
      <w:footnotePr>
        <w:pos w:val="pageBottom"/>
        <w:numFmt w:val="decimal"/>
        <w:numRestart w:val="continuous"/>
      </w:footnotePr>
      <w:pgSz w:w="16840" w:h="11900" w:orient="landscape"/>
      <w:pgMar w:top="345" w:left="544" w:right="687" w:bottom="1044" w:header="0"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9786620</wp:posOffset>
              </wp:positionH>
              <wp:positionV relativeFrom="page">
                <wp:posOffset>6957060</wp:posOffset>
              </wp:positionV>
              <wp:extent cx="176530" cy="140335"/>
              <wp:wrapNone/>
              <wp:docPr id="11" name="Shape 11"/>
              <a:graphic xmlns:a="http://schemas.openxmlformats.org/drawingml/2006/main">
                <a:graphicData uri="http://schemas.microsoft.com/office/word/2010/wordprocessingShape">
                  <wps:wsp>
                    <wps:cNvSpPr txBox="1"/>
                    <wps:spPr>
                      <a:xfrm>
                        <a:ext cx="176530" cy="140335"/>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770.60000000000002pt;margin-top:547.79999999999995pt;width:13.9pt;height:11.050000000000001pt;z-index:-188744057;mso-wrap-style:none;mso-wrap-distance-left:0;mso-wrap-distance-right:0;mso-position-horizontal-relative:page;mso-position-vertical-relative:page" wrapcoords="0 0" filled="f" stroked="f">
              <v:textbox style="mso-fit-shape-to-text:t" inset="0,0,0,0">
                <w:txbxContent>
                  <w:p>
                    <w:pPr>
                      <w:pStyle w:val="Style44"/>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9964420</wp:posOffset>
              </wp:positionH>
              <wp:positionV relativeFrom="page">
                <wp:posOffset>6957060</wp:posOffset>
              </wp:positionV>
              <wp:extent cx="88265" cy="140335"/>
              <wp:wrapNone/>
              <wp:docPr id="15" name="Shape 15"/>
              <a:graphic xmlns:a="http://schemas.openxmlformats.org/drawingml/2006/main">
                <a:graphicData uri="http://schemas.microsoft.com/office/word/2010/wordprocessingShape">
                  <wps:wsp>
                    <wps:cNvSpPr txBox="1"/>
                    <wps:spPr>
                      <a:xfrm>
                        <a:ext cx="88265" cy="140335"/>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41" type="#_x0000_t202" style="position:absolute;margin-left:784.60000000000002pt;margin-top:547.79999999999995pt;width:6.9500000000000002pt;height:11.050000000000001pt;z-index:-188744055;mso-wrap-style:none;mso-wrap-distance-left:0;mso-wrap-distance-right:0;mso-position-horizontal-relative:page;mso-position-vertical-relative:page" wrapcoords="0 0" filled="f" stroked="f">
              <v:textbox style="mso-fit-shape-to-text:t" inset="0,0,0,0">
                <w:txbxContent>
                  <w:p>
                    <w:pPr>
                      <w:pStyle w:val="Style44"/>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en-US" w:eastAsia="en-US" w:bidi="en-US"/>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4030980</wp:posOffset>
              </wp:positionH>
              <wp:positionV relativeFrom="page">
                <wp:posOffset>318770</wp:posOffset>
              </wp:positionV>
              <wp:extent cx="73025" cy="121920"/>
              <wp:wrapNone/>
              <wp:docPr id="7" name="Shape 7"/>
              <a:graphic xmlns:a="http://schemas.openxmlformats.org/drawingml/2006/main">
                <a:graphicData uri="http://schemas.microsoft.com/office/word/2010/wordprocessingShape">
                  <wps:wsp>
                    <wps:cNvSpPr txBox="1"/>
                    <wps:spPr>
                      <a:xfrm>
                        <a:ext cx="73025" cy="12192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Fonts w:ascii="Calibri" w:eastAsia="Calibri" w:hAnsi="Calibri" w:cs="Calibri"/>
                                <w:color w:val="000000"/>
                                <w:spacing w:val="0"/>
                                <w:w w:val="100"/>
                                <w:position w:val="0"/>
                                <w:sz w:val="22"/>
                                <w:szCs w:val="22"/>
                                <w:shd w:val="clear" w:color="auto" w:fill="auto"/>
                              </w:rPr>
                              <w:t>#</w:t>
                            </w:r>
                          </w:fldSimple>
                        </w:p>
                      </w:txbxContent>
                    </wps:txbx>
                    <wps:bodyPr wrap="none" lIns="0" tIns="0" rIns="0" bIns="0">
                      <a:spAutoFit/>
                    </wps:bodyPr>
                  </wps:wsp>
                </a:graphicData>
              </a:graphic>
            </wp:anchor>
          </w:drawing>
        </mc:Choice>
        <mc:Fallback>
          <w:pict>
            <v:shape id="_x0000_s1033" type="#_x0000_t202" style="position:absolute;margin-left:317.39999999999998pt;margin-top:25.100000000000001pt;width:5.75pt;height:9.5999999999999996pt;z-index:-18874406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Fonts w:ascii="Calibri" w:eastAsia="Calibri" w:hAnsi="Calibri" w:cs="Calibri"/>
                          <w:color w:val="000000"/>
                          <w:spacing w:val="0"/>
                          <w:w w:val="100"/>
                          <w:position w:val="0"/>
                          <w:sz w:val="22"/>
                          <w:szCs w:val="22"/>
                          <w:shd w:val="clear" w:color="auto" w:fill="auto"/>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5223510</wp:posOffset>
              </wp:positionH>
              <wp:positionV relativeFrom="page">
                <wp:posOffset>396240</wp:posOffset>
              </wp:positionV>
              <wp:extent cx="176530" cy="140335"/>
              <wp:wrapNone/>
              <wp:docPr id="9" name="Shape 9"/>
              <a:graphic xmlns:a="http://schemas.openxmlformats.org/drawingml/2006/main">
                <a:graphicData uri="http://schemas.microsoft.com/office/word/2010/wordprocessingShape">
                  <wps:wsp>
                    <wps:cNvSpPr txBox="1"/>
                    <wps:spPr>
                      <a:xfrm>
                        <a:ext cx="176530" cy="14033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rPr>
                              <w:t>#</w:t>
                            </w:r>
                          </w:fldSimple>
                        </w:p>
                      </w:txbxContent>
                    </wps:txbx>
                    <wps:bodyPr wrap="none" lIns="0" tIns="0" rIns="0" bIns="0">
                      <a:spAutoFit/>
                    </wps:bodyPr>
                  </wps:wsp>
                </a:graphicData>
              </a:graphic>
            </wp:anchor>
          </w:drawing>
        </mc:Choice>
        <mc:Fallback>
          <w:pict>
            <v:shape id="_x0000_s1035" type="#_x0000_t202" style="position:absolute;margin-left:411.30000000000001pt;margin-top:31.199999999999999pt;width:13.9pt;height:11.050000000000001pt;z-index:-188744059;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Georgia" w:eastAsia="Georgia" w:hAnsi="Georgia" w:cs="Georgia"/>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lang w:val="en-US" w:eastAsia="en-US" w:bidi="en-US"/>
      </w:rPr>
    </w:lvl>
  </w:abstractNum>
  <w:abstractNum w:abstractNumId="4">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8">
    <w:multiLevelType w:val="multilevel"/>
    <w:lvl w:ilvl="0">
      <w:start w:val="1"/>
      <w:numFmt w:val="bullet"/>
      <w:lvlText w:val="-"/>
      <w:rPr>
        <w:rFonts w:ascii="Calibri" w:eastAsia="Calibri" w:hAnsi="Calibri" w:cs="Calibri"/>
        <w:b/>
        <w:bCs/>
        <w:i w:val="0"/>
        <w:iCs w:val="0"/>
        <w:smallCaps w:val="0"/>
        <w:strike w:val="0"/>
        <w:color w:val="000000"/>
        <w:spacing w:val="0"/>
        <w:w w:val="100"/>
        <w:position w:val="0"/>
        <w:sz w:val="22"/>
        <w:szCs w:val="22"/>
        <w:u w:val="none"/>
        <w:shd w:val="clear" w:color="auto" w:fill="auto"/>
        <w:lang w:val="en-US" w:eastAsia="en-US" w:bidi="en-US"/>
      </w:rPr>
    </w:lvl>
  </w:abstractNum>
  <w:abstractNum w:abstractNumId="10">
    <w:multiLevelType w:val="multilevel"/>
    <w:lvl w:ilvl="0">
      <w:start w:val="1"/>
      <w:numFmt w:val="bullet"/>
      <w:lvlText w:val="-"/>
      <w:rPr>
        <w:rFonts w:ascii="Calibri" w:eastAsia="Calibri" w:hAnsi="Calibri" w:cs="Calibri"/>
        <w:b/>
        <w:bCs/>
        <w:i w:val="0"/>
        <w:iCs w:val="0"/>
        <w:smallCaps w:val="0"/>
        <w:strike w:val="0"/>
        <w:color w:val="000000"/>
        <w:spacing w:val="0"/>
        <w:w w:val="100"/>
        <w:position w:val="0"/>
        <w:sz w:val="22"/>
        <w:szCs w:val="22"/>
        <w:u w:val="none"/>
        <w:shd w:val="clear" w:color="auto" w:fill="auto"/>
        <w:lang w:val="en-US" w:eastAsia="en-US" w:bidi="en-US"/>
      </w:rPr>
    </w:lvl>
  </w:abstractNum>
  <w:abstractNum w:abstractNumId="12">
    <w:multiLevelType w:val="multilevel"/>
    <w:lvl w:ilvl="0">
      <w:start w:val="1"/>
      <w:numFmt w:val="bullet"/>
      <w:lvlText w:val="-"/>
      <w:rPr>
        <w:rFonts w:ascii="Calibri" w:eastAsia="Calibri" w:hAnsi="Calibri" w:cs="Calibri"/>
        <w:b/>
        <w:bCs/>
        <w:i w:val="0"/>
        <w:iCs w:val="0"/>
        <w:smallCaps w:val="0"/>
        <w:strike w:val="0"/>
        <w:color w:val="000000"/>
        <w:spacing w:val="0"/>
        <w:w w:val="100"/>
        <w:position w:val="0"/>
        <w:sz w:val="22"/>
        <w:szCs w:val="22"/>
        <w:u w:val="none"/>
        <w:shd w:val="clear" w:color="auto" w:fill="auto"/>
        <w:lang w:val="en-US" w:eastAsia="en-US" w:bidi="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Picture caption_"/>
    <w:basedOn w:val="DefaultParagraphFont"/>
    <w:link w:val="Style2"/>
    <w:rPr>
      <w:rFonts w:ascii="Times New Roman" w:eastAsia="Times New Roman" w:hAnsi="Times New Roman" w:cs="Times New Roman"/>
      <w:b w:val="0"/>
      <w:bCs w:val="0"/>
      <w:i w:val="0"/>
      <w:iCs w:val="0"/>
      <w:smallCaps w:val="0"/>
      <w:strike w:val="0"/>
      <w:color w:val="303741"/>
      <w:u w:val="none"/>
    </w:rPr>
  </w:style>
  <w:style w:type="character" w:customStyle="1" w:styleId="CharStyle5">
    <w:name w:val="Body text (3)_"/>
    <w:basedOn w:val="DefaultParagraphFont"/>
    <w:link w:val="Style4"/>
    <w:rPr>
      <w:rFonts w:ascii="Georgia" w:eastAsia="Georgia" w:hAnsi="Georgia" w:cs="Georgia"/>
      <w:b w:val="0"/>
      <w:bCs w:val="0"/>
      <w:i w:val="0"/>
      <w:iCs w:val="0"/>
      <w:smallCaps w:val="0"/>
      <w:strike w:val="0"/>
      <w:sz w:val="24"/>
      <w:szCs w:val="24"/>
      <w:u w:val="none"/>
    </w:rPr>
  </w:style>
  <w:style w:type="character" w:customStyle="1" w:styleId="CharStyle8">
    <w:name w:val="Body text (4)_"/>
    <w:basedOn w:val="DefaultParagraphFont"/>
    <w:link w:val="Style7"/>
    <w:rPr>
      <w:rFonts w:ascii="Georgia" w:eastAsia="Georgia" w:hAnsi="Georgia" w:cs="Georgia"/>
      <w:b w:val="0"/>
      <w:bCs w:val="0"/>
      <w:i w:val="0"/>
      <w:iCs w:val="0"/>
      <w:smallCaps w:val="0"/>
      <w:strike w:val="0"/>
      <w:sz w:val="18"/>
      <w:szCs w:val="18"/>
      <w:u w:val="none"/>
    </w:rPr>
  </w:style>
  <w:style w:type="character" w:customStyle="1" w:styleId="CharStyle10">
    <w:name w:val="Heading #1_"/>
    <w:basedOn w:val="DefaultParagraphFont"/>
    <w:link w:val="Style9"/>
    <w:rPr>
      <w:rFonts w:ascii="Georgia" w:eastAsia="Georgia" w:hAnsi="Georgia" w:cs="Georgia"/>
      <w:b/>
      <w:bCs/>
      <w:i w:val="0"/>
      <w:iCs w:val="0"/>
      <w:smallCaps w:val="0"/>
      <w:strike w:val="0"/>
      <w:color w:val="303741"/>
      <w:sz w:val="30"/>
      <w:szCs w:val="30"/>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8">
    <w:name w:val="Header or footer (2)_"/>
    <w:basedOn w:val="DefaultParagraphFont"/>
    <w:link w:val="Style17"/>
    <w:rPr>
      <w:rFonts w:ascii="Times New Roman" w:eastAsia="Times New Roman" w:hAnsi="Times New Roman" w:cs="Times New Roman"/>
      <w:b w:val="0"/>
      <w:bCs w:val="0"/>
      <w:i w:val="0"/>
      <w:iCs w:val="0"/>
      <w:smallCaps w:val="0"/>
      <w:strike w:val="0"/>
      <w:sz w:val="20"/>
      <w:szCs w:val="20"/>
      <w:u w:val="none"/>
      <w:lang w:val="ru-RU" w:eastAsia="ru-RU" w:bidi="ru-RU"/>
    </w:rPr>
  </w:style>
  <w:style w:type="character" w:customStyle="1" w:styleId="CharStyle25">
    <w:name w:val="Body text (2)_"/>
    <w:basedOn w:val="DefaultParagraphFont"/>
    <w:link w:val="Style24"/>
    <w:rPr>
      <w:rFonts w:ascii="Times New Roman" w:eastAsia="Times New Roman" w:hAnsi="Times New Roman" w:cs="Times New Roman"/>
      <w:b w:val="0"/>
      <w:bCs w:val="0"/>
      <w:i w:val="0"/>
      <w:iCs w:val="0"/>
      <w:smallCaps w:val="0"/>
      <w:strike w:val="0"/>
      <w:sz w:val="28"/>
      <w:szCs w:val="28"/>
      <w:u w:val="none"/>
    </w:rPr>
  </w:style>
  <w:style w:type="character" w:customStyle="1" w:styleId="CharStyle28">
    <w:name w:val="Heading #2_"/>
    <w:basedOn w:val="DefaultParagraphFont"/>
    <w:link w:val="Style27"/>
    <w:rPr>
      <w:rFonts w:ascii="Times New Roman" w:eastAsia="Times New Roman" w:hAnsi="Times New Roman" w:cs="Times New Roman"/>
      <w:b w:val="0"/>
      <w:bCs w:val="0"/>
      <w:i w:val="0"/>
      <w:iCs w:val="0"/>
      <w:smallCaps w:val="0"/>
      <w:strike w:val="0"/>
      <w:sz w:val="28"/>
      <w:szCs w:val="28"/>
      <w:u w:val="none"/>
    </w:rPr>
  </w:style>
  <w:style w:type="character" w:customStyle="1" w:styleId="CharStyle30">
    <w:name w:val="Table caption_"/>
    <w:basedOn w:val="DefaultParagraphFont"/>
    <w:link w:val="Style29"/>
    <w:rPr>
      <w:rFonts w:ascii="Times New Roman" w:eastAsia="Times New Roman" w:hAnsi="Times New Roman" w:cs="Times New Roman"/>
      <w:b w:val="0"/>
      <w:bCs w:val="0"/>
      <w:i/>
      <w:iCs/>
      <w:smallCaps w:val="0"/>
      <w:strike w:val="0"/>
      <w:color w:val="EBEBEB"/>
      <w:u w:val="none"/>
    </w:rPr>
  </w:style>
  <w:style w:type="character" w:customStyle="1" w:styleId="CharStyle33">
    <w:name w:val="Other_"/>
    <w:basedOn w:val="DefaultParagraphFont"/>
    <w:link w:val="Style32"/>
    <w:rPr>
      <w:rFonts w:ascii="Times New Roman" w:eastAsia="Times New Roman" w:hAnsi="Times New Roman" w:cs="Times New Roman"/>
      <w:b w:val="0"/>
      <w:bCs w:val="0"/>
      <w:i w:val="0"/>
      <w:iCs w:val="0"/>
      <w:smallCaps w:val="0"/>
      <w:strike w:val="0"/>
      <w:u w:val="none"/>
    </w:rPr>
  </w:style>
  <w:style w:type="character" w:customStyle="1" w:styleId="CharStyle37">
    <w:name w:val="Heading #3_"/>
    <w:basedOn w:val="DefaultParagraphFont"/>
    <w:link w:val="Style36"/>
    <w:rPr>
      <w:rFonts w:ascii="Times New Roman" w:eastAsia="Times New Roman" w:hAnsi="Times New Roman" w:cs="Times New Roman"/>
      <w:b/>
      <w:bCs/>
      <w:i w:val="0"/>
      <w:iCs w:val="0"/>
      <w:smallCaps w:val="0"/>
      <w:strike w:val="0"/>
      <w:u w:val="none"/>
    </w:rPr>
  </w:style>
  <w:style w:type="character" w:customStyle="1" w:styleId="CharStyle45">
    <w:name w:val="Header or footer_"/>
    <w:basedOn w:val="DefaultParagraphFont"/>
    <w:link w:val="Style44"/>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Picture caption"/>
    <w:basedOn w:val="Normal"/>
    <w:link w:val="CharStyle3"/>
    <w:pPr>
      <w:widowControl w:val="0"/>
      <w:shd w:val="clear" w:color="auto" w:fill="FFFFFF"/>
      <w:spacing w:line="216" w:lineRule="auto"/>
    </w:pPr>
    <w:rPr>
      <w:rFonts w:ascii="Times New Roman" w:eastAsia="Times New Roman" w:hAnsi="Times New Roman" w:cs="Times New Roman"/>
      <w:b w:val="0"/>
      <w:bCs w:val="0"/>
      <w:i w:val="0"/>
      <w:iCs w:val="0"/>
      <w:smallCaps w:val="0"/>
      <w:strike w:val="0"/>
      <w:color w:val="303741"/>
      <w:u w:val="none"/>
    </w:rPr>
  </w:style>
  <w:style w:type="paragraph" w:customStyle="1" w:styleId="Style4">
    <w:name w:val="Body text (3)"/>
    <w:basedOn w:val="Normal"/>
    <w:link w:val="CharStyle5"/>
    <w:pPr>
      <w:widowControl w:val="0"/>
      <w:shd w:val="clear" w:color="auto" w:fill="FFFFFF"/>
      <w:ind w:left="1880"/>
    </w:pPr>
    <w:rPr>
      <w:rFonts w:ascii="Georgia" w:eastAsia="Georgia" w:hAnsi="Georgia" w:cs="Georgia"/>
      <w:b w:val="0"/>
      <w:bCs w:val="0"/>
      <w:i w:val="0"/>
      <w:iCs w:val="0"/>
      <w:smallCaps w:val="0"/>
      <w:strike w:val="0"/>
      <w:sz w:val="24"/>
      <w:szCs w:val="24"/>
      <w:u w:val="none"/>
    </w:rPr>
  </w:style>
  <w:style w:type="paragraph" w:customStyle="1" w:styleId="Style7">
    <w:name w:val="Body text (4)"/>
    <w:basedOn w:val="Normal"/>
    <w:link w:val="CharStyle8"/>
    <w:pPr>
      <w:widowControl w:val="0"/>
      <w:shd w:val="clear" w:color="auto" w:fill="FFFFFF"/>
      <w:ind w:firstLine="430"/>
    </w:pPr>
    <w:rPr>
      <w:rFonts w:ascii="Georgia" w:eastAsia="Georgia" w:hAnsi="Georgia" w:cs="Georgia"/>
      <w:b w:val="0"/>
      <w:bCs w:val="0"/>
      <w:i w:val="0"/>
      <w:iCs w:val="0"/>
      <w:smallCaps w:val="0"/>
      <w:strike w:val="0"/>
      <w:sz w:val="18"/>
      <w:szCs w:val="18"/>
      <w:u w:val="none"/>
    </w:rPr>
  </w:style>
  <w:style w:type="paragraph" w:customStyle="1" w:styleId="Style9">
    <w:name w:val="Heading #1"/>
    <w:basedOn w:val="Normal"/>
    <w:link w:val="CharStyle10"/>
    <w:pPr>
      <w:widowControl w:val="0"/>
      <w:shd w:val="clear" w:color="auto" w:fill="FFFFFF"/>
      <w:spacing w:after="280"/>
      <w:ind w:firstLine="860"/>
      <w:outlineLvl w:val="0"/>
    </w:pPr>
    <w:rPr>
      <w:rFonts w:ascii="Georgia" w:eastAsia="Georgia" w:hAnsi="Georgia" w:cs="Georgia"/>
      <w:b/>
      <w:bCs/>
      <w:i w:val="0"/>
      <w:iCs w:val="0"/>
      <w:smallCaps w:val="0"/>
      <w:strike w:val="0"/>
      <w:color w:val="303741"/>
      <w:sz w:val="30"/>
      <w:szCs w:val="30"/>
      <w:u w:val="none"/>
    </w:rPr>
  </w:style>
  <w:style w:type="paragraph" w:styleId="Style12">
    <w:name w:val="Body text"/>
    <w:basedOn w:val="Normal"/>
    <w:link w:val="CharStyle13"/>
    <w:qFormat/>
    <w:pPr>
      <w:widowControl w:val="0"/>
      <w:shd w:val="clear" w:color="auto" w:fill="FFFFFF"/>
    </w:pPr>
    <w:rPr>
      <w:rFonts w:ascii="Times New Roman" w:eastAsia="Times New Roman" w:hAnsi="Times New Roman" w:cs="Times New Roman"/>
      <w:b w:val="0"/>
      <w:bCs w:val="0"/>
      <w:i w:val="0"/>
      <w:iCs w:val="0"/>
      <w:smallCaps w:val="0"/>
      <w:strike w:val="0"/>
      <w:u w:val="none"/>
    </w:rPr>
  </w:style>
  <w:style w:type="paragraph" w:customStyle="1" w:styleId="Style17">
    <w:name w:val="Header or footer (2)"/>
    <w:basedOn w:val="Normal"/>
    <w:link w:val="CharStyle18"/>
    <w:pPr>
      <w:widowControl w:val="0"/>
      <w:shd w:val="clear" w:color="auto" w:fill="FFFFFF"/>
    </w:pPr>
    <w:rPr>
      <w:rFonts w:ascii="Times New Roman" w:eastAsia="Times New Roman" w:hAnsi="Times New Roman" w:cs="Times New Roman"/>
      <w:b w:val="0"/>
      <w:bCs w:val="0"/>
      <w:i w:val="0"/>
      <w:iCs w:val="0"/>
      <w:smallCaps w:val="0"/>
      <w:strike w:val="0"/>
      <w:sz w:val="20"/>
      <w:szCs w:val="20"/>
      <w:u w:val="none"/>
      <w:lang w:val="ru-RU" w:eastAsia="ru-RU" w:bidi="ru-RU"/>
    </w:rPr>
  </w:style>
  <w:style w:type="paragraph" w:customStyle="1" w:styleId="Style24">
    <w:name w:val="Body text (2)"/>
    <w:basedOn w:val="Normal"/>
    <w:link w:val="CharStyle25"/>
    <w:pPr>
      <w:widowControl w:val="0"/>
      <w:shd w:val="clear" w:color="auto" w:fill="FFFFFF"/>
      <w:spacing w:after="220" w:line="360" w:lineRule="auto"/>
      <w:ind w:firstLine="110"/>
    </w:pPr>
    <w:rPr>
      <w:rFonts w:ascii="Times New Roman" w:eastAsia="Times New Roman" w:hAnsi="Times New Roman" w:cs="Times New Roman"/>
      <w:b w:val="0"/>
      <w:bCs w:val="0"/>
      <w:i w:val="0"/>
      <w:iCs w:val="0"/>
      <w:smallCaps w:val="0"/>
      <w:strike w:val="0"/>
      <w:sz w:val="28"/>
      <w:szCs w:val="28"/>
      <w:u w:val="none"/>
    </w:rPr>
  </w:style>
  <w:style w:type="paragraph" w:customStyle="1" w:styleId="Style27">
    <w:name w:val="Heading #2"/>
    <w:basedOn w:val="Normal"/>
    <w:link w:val="CharStyle28"/>
    <w:pPr>
      <w:widowControl w:val="0"/>
      <w:shd w:val="clear" w:color="auto" w:fill="FFFFFF"/>
      <w:spacing w:after="320"/>
      <w:jc w:val="center"/>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29">
    <w:name w:val="Table caption"/>
    <w:basedOn w:val="Normal"/>
    <w:link w:val="CharStyle30"/>
    <w:pPr>
      <w:widowControl w:val="0"/>
      <w:shd w:val="clear" w:color="auto" w:fill="FFFFFF"/>
    </w:pPr>
    <w:rPr>
      <w:rFonts w:ascii="Times New Roman" w:eastAsia="Times New Roman" w:hAnsi="Times New Roman" w:cs="Times New Roman"/>
      <w:b w:val="0"/>
      <w:bCs w:val="0"/>
      <w:i/>
      <w:iCs/>
      <w:smallCaps w:val="0"/>
      <w:strike w:val="0"/>
      <w:color w:val="EBEBEB"/>
      <w:u w:val="none"/>
    </w:rPr>
  </w:style>
  <w:style w:type="paragraph" w:customStyle="1" w:styleId="Style32">
    <w:name w:val="Other"/>
    <w:basedOn w:val="Normal"/>
    <w:link w:val="CharStyle33"/>
    <w:pPr>
      <w:widowControl w:val="0"/>
      <w:shd w:val="clear" w:color="auto" w:fill="FFFFFF"/>
    </w:pPr>
    <w:rPr>
      <w:rFonts w:ascii="Times New Roman" w:eastAsia="Times New Roman" w:hAnsi="Times New Roman" w:cs="Times New Roman"/>
      <w:b w:val="0"/>
      <w:bCs w:val="0"/>
      <w:i w:val="0"/>
      <w:iCs w:val="0"/>
      <w:smallCaps w:val="0"/>
      <w:strike w:val="0"/>
      <w:u w:val="none"/>
    </w:rPr>
  </w:style>
  <w:style w:type="paragraph" w:customStyle="1" w:styleId="Style36">
    <w:name w:val="Heading #3"/>
    <w:basedOn w:val="Normal"/>
    <w:link w:val="CharStyle37"/>
    <w:pPr>
      <w:widowControl w:val="0"/>
      <w:shd w:val="clear" w:color="auto" w:fill="FFFFFF"/>
      <w:spacing w:after="240"/>
      <w:jc w:val="center"/>
      <w:outlineLvl w:val="2"/>
    </w:pPr>
    <w:rPr>
      <w:rFonts w:ascii="Times New Roman" w:eastAsia="Times New Roman" w:hAnsi="Times New Roman" w:cs="Times New Roman"/>
      <w:b/>
      <w:bCs/>
      <w:i w:val="0"/>
      <w:iCs w:val="0"/>
      <w:smallCaps w:val="0"/>
      <w:strike w:val="0"/>
      <w:u w:val="none"/>
    </w:rPr>
  </w:style>
  <w:style w:type="paragraph" w:customStyle="1" w:styleId="Style44">
    <w:name w:val="Header or footer"/>
    <w:basedOn w:val="Normal"/>
    <w:link w:val="CharStyle45"/>
    <w:pPr>
      <w:widowControl w:val="0"/>
      <w:shd w:val="clear" w:color="auto" w:fill="FFFFFF"/>
    </w:pPr>
    <w:rPr>
      <w:rFonts w:ascii="Times New Roman" w:eastAsia="Times New Roman" w:hAnsi="Times New Roman" w:cs="Times New Roman"/>
      <w:b w:val="0"/>
      <w:bCs w:val="0"/>
      <w:i w:val="0"/>
      <w:iCs w:val="0"/>
      <w:smallCaps w:val="0"/>
      <w:strike w:val="0"/>
      <w:sz w:val="28"/>
      <w:szCs w:val="28"/>
      <w:u w:val="none"/>
    </w:rPr>
  </w:style>
</w:styles>
</file>

<file path=word/_rels/document.xml.rels><?xml version="1.0" encoding="UTF-8" standalone="yes"?>
<Relationships xmlns="http://schemas.openxmlformats.org/package/2006/relationships"><Relationship Id="rId8" Type="http://schemas.openxmlformats.org/officeDocument/2006/relationships/image" Target="media/image2.jpeg"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image" Target="media/image2.jpeg"/><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footnotes" Target="footnotes.xml"/><Relationship Id="rId6" Type="http://schemas.openxmlformats.org/officeDocument/2006/relationships/image" Target="media/image1.jpeg" TargetMode="External"/><Relationship Id="rId11" Type="http://schemas.openxmlformats.org/officeDocument/2006/relationships/header" Target="header3.xml"/><Relationship Id="rId5" Type="http://schemas.openxmlformats.org/officeDocument/2006/relationships/image" Target="media/image1.jpeg"/><Relationship Id="rId15" Type="http://schemas.openxmlformats.org/officeDocument/2006/relationships/footer" Target="footer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C9FA523-2414-4339-85D8-C793DE466247}"/>
</file>

<file path=customXml/itemProps2.xml><?xml version="1.0" encoding="utf-8"?>
<ds:datastoreItem xmlns:ds="http://schemas.openxmlformats.org/officeDocument/2006/customXml" ds:itemID="{FB75ABB5-09A6-4E21-9B97-BDB295AE4C7C}"/>
</file>

<file path=customXml/itemProps3.xml><?xml version="1.0" encoding="utf-8"?>
<ds:datastoreItem xmlns:ds="http://schemas.openxmlformats.org/officeDocument/2006/customXml" ds:itemID="{473049E1-E452-4501-AE3F-55013B60A5AB}"/>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147.2021.ro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