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47356F" w14:textId="77777777" w:rsidR="005A36F5" w:rsidRDefault="005A36F5">
      <w:pPr>
        <w:pBdr>
          <w:top w:val="nil"/>
          <w:left w:val="nil"/>
          <w:bottom w:val="nil"/>
          <w:right w:val="nil"/>
          <w:between w:val="nil"/>
        </w:pBdr>
        <w:spacing w:after="560" w:line="252" w:lineRule="auto"/>
        <w:rPr>
          <w:b/>
          <w:color w:val="303741"/>
          <w:sz w:val="30"/>
          <w:szCs w:val="30"/>
        </w:rPr>
      </w:pPr>
    </w:p>
    <w:p w14:paraId="743AFCA4" w14:textId="45456BD9" w:rsidR="00A61D37" w:rsidRDefault="0012125C">
      <w:pPr>
        <w:pBdr>
          <w:top w:val="nil"/>
          <w:left w:val="nil"/>
          <w:bottom w:val="nil"/>
          <w:right w:val="nil"/>
          <w:between w:val="nil"/>
        </w:pBdr>
        <w:spacing w:after="560" w:line="252" w:lineRule="auto"/>
        <w:rPr>
          <w:b/>
          <w:color w:val="303741"/>
          <w:sz w:val="30"/>
          <w:szCs w:val="30"/>
        </w:rPr>
        <w:sectPr w:rsidR="00A61D37">
          <w:headerReference w:type="even" r:id="rId8"/>
          <w:headerReference w:type="default" r:id="rId9"/>
          <w:footerReference w:type="even" r:id="rId10"/>
          <w:footerReference w:type="default" r:id="rId11"/>
          <w:headerReference w:type="first" r:id="rId12"/>
          <w:footerReference w:type="first" r:id="rId13"/>
          <w:pgSz w:w="11906" w:h="16838"/>
          <w:pgMar w:top="2041" w:right="1021" w:bottom="851" w:left="851" w:header="851" w:footer="482" w:gutter="0"/>
          <w:pgNumType w:start="1"/>
          <w:cols w:space="720"/>
          <w:titlePg/>
        </w:sectPr>
      </w:pPr>
      <w:r>
        <w:rPr>
          <w:rFonts w:ascii="Times New Roman" w:eastAsia="Times New Roman" w:hAnsi="Times New Roman" w:cs="Times New Roman"/>
          <w:b/>
          <w:noProof/>
          <w:color w:val="303741"/>
          <w:sz w:val="30"/>
          <w:szCs w:val="30"/>
          <w:lang w:val="ru-RU"/>
        </w:rPr>
        <mc:AlternateContent>
          <mc:Choice Requires="wps">
            <w:drawing>
              <wp:anchor distT="0" distB="0" distL="114300" distR="114300" simplePos="0" relativeHeight="251658240" behindDoc="0" locked="0" layoutInCell="1" hidden="0" allowOverlap="1" wp14:anchorId="7002FD4B" wp14:editId="3DBC1DA5">
                <wp:simplePos x="0" y="0"/>
                <wp:positionH relativeFrom="page">
                  <wp:posOffset>4788218</wp:posOffset>
                </wp:positionH>
                <wp:positionV relativeFrom="page">
                  <wp:posOffset>221242</wp:posOffset>
                </wp:positionV>
                <wp:extent cx="2084070" cy="938530"/>
                <wp:effectExtent l="0" t="0" r="0" b="0"/>
                <wp:wrapNone/>
                <wp:docPr id="77" name="Прямоугольник 77"/>
                <wp:cNvGraphicFramePr/>
                <a:graphic xmlns:a="http://schemas.openxmlformats.org/drawingml/2006/main">
                  <a:graphicData uri="http://schemas.microsoft.com/office/word/2010/wordprocessingShape">
                    <wps:wsp>
                      <wps:cNvSpPr/>
                      <wps:spPr>
                        <a:xfrm>
                          <a:off x="4308728" y="3315498"/>
                          <a:ext cx="2074545" cy="929005"/>
                        </a:xfrm>
                        <a:prstGeom prst="rect">
                          <a:avLst/>
                        </a:prstGeom>
                        <a:noFill/>
                        <a:ln>
                          <a:noFill/>
                        </a:ln>
                      </wps:spPr>
                      <wps:txbx>
                        <w:txbxContent>
                          <w:p w14:paraId="6954A013" w14:textId="77777777" w:rsidR="00A61D37" w:rsidRDefault="0012125C">
                            <w:pPr>
                              <w:spacing w:after="440" w:line="251" w:lineRule="auto"/>
                              <w:ind w:left="0"/>
                              <w:jc w:val="right"/>
                              <w:textDirection w:val="btLr"/>
                            </w:pPr>
                            <w:r>
                              <w:rPr>
                                <w:i/>
                                <w:color w:val="303741"/>
                                <w:sz w:val="18"/>
                              </w:rPr>
                              <w:t xml:space="preserve">  </w:t>
                            </w:r>
                          </w:p>
                          <w:p w14:paraId="6E8DED90" w14:textId="77777777" w:rsidR="00A61D37" w:rsidRDefault="0012125C">
                            <w:pPr>
                              <w:spacing w:after="160" w:line="251" w:lineRule="auto"/>
                              <w:ind w:left="0"/>
                              <w:jc w:val="right"/>
                              <w:textDirection w:val="btLr"/>
                            </w:pPr>
                            <w:r>
                              <w:rPr>
                                <w:color w:val="303741"/>
                              </w:rPr>
                              <w:t xml:space="preserve"> </w:t>
                            </w:r>
                            <w:r>
                              <w:rPr>
                                <w:color w:val="000000"/>
                              </w:rPr>
                              <w:t>AD</w:t>
                            </w:r>
                            <w:r>
                              <w:rPr>
                                <w:color w:val="303741"/>
                              </w:rPr>
                              <w:t xml:space="preserve"> nr. ___ </w:t>
                            </w:r>
                          </w:p>
                          <w:p w14:paraId="55DFA665" w14:textId="77777777" w:rsidR="00A61D37" w:rsidRDefault="0012125C">
                            <w:pPr>
                              <w:spacing w:after="400" w:line="251" w:lineRule="auto"/>
                              <w:ind w:left="0"/>
                              <w:jc w:val="right"/>
                              <w:textDirection w:val="btLr"/>
                            </w:pPr>
                            <w:r>
                              <w:rPr>
                                <w:color w:val="303741"/>
                              </w:rPr>
                              <w:t xml:space="preserve">  </w:t>
                            </w:r>
                            <w:r>
                              <w:rPr>
                                <w:color w:val="000000"/>
                              </w:rPr>
                              <w:t>„19” august</w:t>
                            </w:r>
                            <w:r>
                              <w:rPr>
                                <w:color w:val="303741"/>
                              </w:rPr>
                              <w:t xml:space="preserve"> 2021</w:t>
                            </w:r>
                          </w:p>
                          <w:p w14:paraId="7FFF5EE8" w14:textId="77777777" w:rsidR="00A61D37" w:rsidRDefault="00A61D37">
                            <w:pPr>
                              <w:spacing w:after="400" w:line="251" w:lineRule="auto"/>
                              <w:ind w:left="0"/>
                              <w:jc w:val="right"/>
                              <w:textDirection w:val="btLr"/>
                            </w:pPr>
                          </w:p>
                        </w:txbxContent>
                      </wps:txbx>
                      <wps:bodyPr spcFirstLastPara="1" wrap="square" lIns="0" tIns="0" rIns="0" bIns="0" anchor="b" anchorCtr="0">
                        <a:noAutofit/>
                      </wps:bodyPr>
                    </wps:wsp>
                  </a:graphicData>
                </a:graphic>
              </wp:anchor>
            </w:drawing>
          </mc:Choice>
          <mc:Fallback>
            <w:pict>
              <v:rect w14:anchorId="7002FD4B" id="Прямоугольник 77" o:spid="_x0000_s1026" style="position:absolute;left:0;text-align:left;margin-left:377.05pt;margin-top:17.4pt;width:164.1pt;height:73.9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LOb8QEAAIMDAAAOAAAAZHJzL2Uyb0RvYy54bWysU82O0zAQviPxDpbvNGna0jZqukKsipBW&#10;UGmXB3Acu7GU2MZ2m/SGxBWJR+Ah9oKA3WdI34ixk+7yc0NcnPFk8s0333xZXbR1hQ7MWKFkhsej&#10;GCMmqSqE3GX43c3m2QIj64gsSKUky/CRWXyxfvpk1eiUJapUVcEMAhBp00ZnuHROp1FkaclqYkdK&#10;MwkvuTI1cXA1u6gwpAH0uoqSOH4eNcoU2ijKrIXsZf8SrwM+54y6t5xb5lCVYeDmwmnCmfszWq9I&#10;ujNEl4IONMg/sKiJkND0AeqSOIL2RvwFVQtqlFXcjaiqI8W5oCzMANOM4z+muS6JZmEWEMfqB5ns&#10;/4Olbw5bg0SR4fkcI0lq2FH35fTh9Ln70d2fPna33X33/fSpu+u+dt8QFIFijbYpfHitt2a4WQj9&#10;+C03tX/CYKjN8HQSL+YJWOCY4clkPJsuF73irHWIQkESz6ez6QwjChXLZBnHM18QPSJpY90rpmrk&#10;gwwb2GgQmhyurOtLzyW+sVQbUVWQJ2klf0sAps9EnnxP10euzdthhlwVR9DCaroR0OuKWLclBtww&#10;xqgBh2TYvt8TwzCqXktYgbfTOTDnID8HRNJSgdFyjPrwpQu26zm92DvFReDvWfStB3Kw6aDA4Epv&#10;pV/voerx31n/BAAA//8DAFBLAwQUAAYACAAAACEAfvmPEuIAAAALAQAADwAAAGRycy9kb3ducmV2&#10;LnhtbEyPy07DMBBF90j8gzVI7KjdpLQhxKmqIhagbiiVEDs3HpKo8TjEzqN8Pe4KdjOaozvnZuvJ&#10;NGzAztWWJMxnAhhSYXVNpYTD+/NdAsx5RVo1llDCGR2s8+urTKXajvSGw96XLISQS5WEyvs25dwV&#10;FRrlZrZFCrcv2xnlw9qVXHdqDOGm4ZEQS25UTeFDpVrcVlic9r2RIPrTNz6dxWe8/XlNBvrYPLzs&#10;Rilvb6bNIzCPk/+D4aIf1CEPTkfbk3askbC6X8wDKiFehAoXQCRRDOwYpiRaAs8z/r9D/gsAAP//&#10;AwBQSwECLQAUAAYACAAAACEAtoM4kv4AAADhAQAAEwAAAAAAAAAAAAAAAAAAAAAAW0NvbnRlbnRf&#10;VHlwZXNdLnhtbFBLAQItABQABgAIAAAAIQA4/SH/1gAAAJQBAAALAAAAAAAAAAAAAAAAAC8BAABf&#10;cmVscy8ucmVsc1BLAQItABQABgAIAAAAIQDteLOb8QEAAIMDAAAOAAAAAAAAAAAAAAAAAC4CAABk&#10;cnMvZTJvRG9jLnhtbFBLAQItABQABgAIAAAAIQB++Y8S4gAAAAsBAAAPAAAAAAAAAAAAAAAAAEsE&#10;AABkcnMvZG93bnJldi54bWxQSwUGAAAAAAQABADzAAAAWgUAAAAA&#10;" filled="f" stroked="f">
                <v:textbox inset="0,0,0,0">
                  <w:txbxContent>
                    <w:p w14:paraId="6954A013" w14:textId="77777777" w:rsidR="00A61D37" w:rsidRDefault="0012125C">
                      <w:pPr>
                        <w:spacing w:after="440" w:line="251" w:lineRule="auto"/>
                        <w:ind w:left="0"/>
                        <w:jc w:val="right"/>
                        <w:textDirection w:val="btLr"/>
                      </w:pPr>
                      <w:r>
                        <w:rPr>
                          <w:i/>
                          <w:color w:val="303741"/>
                          <w:sz w:val="18"/>
                        </w:rPr>
                        <w:t xml:space="preserve">  </w:t>
                      </w:r>
                    </w:p>
                    <w:p w14:paraId="6E8DED90" w14:textId="77777777" w:rsidR="00A61D37" w:rsidRDefault="0012125C">
                      <w:pPr>
                        <w:spacing w:after="160" w:line="251" w:lineRule="auto"/>
                        <w:ind w:left="0"/>
                        <w:jc w:val="right"/>
                        <w:textDirection w:val="btLr"/>
                      </w:pPr>
                      <w:r>
                        <w:rPr>
                          <w:color w:val="303741"/>
                        </w:rPr>
                        <w:t xml:space="preserve"> </w:t>
                      </w:r>
                      <w:r>
                        <w:rPr>
                          <w:color w:val="000000"/>
                        </w:rPr>
                        <w:t>AD</w:t>
                      </w:r>
                      <w:r>
                        <w:rPr>
                          <w:color w:val="303741"/>
                        </w:rPr>
                        <w:t xml:space="preserve"> nr. ___ </w:t>
                      </w:r>
                    </w:p>
                    <w:p w14:paraId="55DFA665" w14:textId="77777777" w:rsidR="00A61D37" w:rsidRDefault="0012125C">
                      <w:pPr>
                        <w:spacing w:after="400" w:line="251" w:lineRule="auto"/>
                        <w:ind w:left="0"/>
                        <w:jc w:val="right"/>
                        <w:textDirection w:val="btLr"/>
                      </w:pPr>
                      <w:r>
                        <w:rPr>
                          <w:color w:val="303741"/>
                        </w:rPr>
                        <w:t xml:space="preserve">  </w:t>
                      </w:r>
                      <w:r>
                        <w:rPr>
                          <w:color w:val="000000"/>
                        </w:rPr>
                        <w:t>„19” august</w:t>
                      </w:r>
                      <w:r>
                        <w:rPr>
                          <w:color w:val="303741"/>
                        </w:rPr>
                        <w:t xml:space="preserve"> 2021</w:t>
                      </w:r>
                    </w:p>
                    <w:p w14:paraId="7FFF5EE8" w14:textId="77777777" w:rsidR="00A61D37" w:rsidRDefault="00A61D37">
                      <w:pPr>
                        <w:spacing w:after="400" w:line="251" w:lineRule="auto"/>
                        <w:ind w:left="0"/>
                        <w:jc w:val="right"/>
                        <w:textDirection w:val="btLr"/>
                      </w:pPr>
                    </w:p>
                  </w:txbxContent>
                </v:textbox>
                <w10:wrap anchorx="page" anchory="page"/>
              </v:rect>
            </w:pict>
          </mc:Fallback>
        </mc:AlternateContent>
      </w:r>
      <w:r>
        <w:rPr>
          <w:b/>
          <w:color w:val="303741"/>
          <w:sz w:val="30"/>
          <w:szCs w:val="30"/>
        </w:rPr>
        <w:t>Deputat în Parlamentul</w:t>
      </w:r>
      <w:r>
        <w:rPr>
          <w:b/>
          <w:color w:val="303741"/>
          <w:sz w:val="30"/>
          <w:szCs w:val="30"/>
        </w:rPr>
        <w:br/>
        <w:t>Republicii Moldova</w:t>
      </w:r>
    </w:p>
    <w:p w14:paraId="15FB1418" w14:textId="77777777" w:rsidR="00A61D37" w:rsidRDefault="00A61D37">
      <w:pPr>
        <w:ind w:firstLine="851"/>
        <w:jc w:val="right"/>
        <w:rPr>
          <w:rFonts w:ascii="Times New Roman" w:eastAsia="Times New Roman" w:hAnsi="Times New Roman" w:cs="Times New Roman"/>
          <w:b/>
          <w:sz w:val="28"/>
          <w:szCs w:val="28"/>
        </w:rPr>
      </w:pPr>
    </w:p>
    <w:p w14:paraId="5C3EA194" w14:textId="77777777" w:rsidR="00A61D37" w:rsidRDefault="00A61D37">
      <w:pPr>
        <w:ind w:firstLine="851"/>
        <w:jc w:val="right"/>
        <w:rPr>
          <w:b/>
          <w:sz w:val="28"/>
          <w:szCs w:val="28"/>
        </w:rPr>
      </w:pPr>
    </w:p>
    <w:p w14:paraId="69C981D4" w14:textId="77777777" w:rsidR="00A61D37" w:rsidRDefault="0012125C">
      <w:pPr>
        <w:ind w:firstLine="851"/>
        <w:jc w:val="right"/>
        <w:rPr>
          <w:b/>
          <w:sz w:val="28"/>
          <w:szCs w:val="28"/>
        </w:rPr>
      </w:pPr>
      <w:r>
        <w:rPr>
          <w:b/>
          <w:sz w:val="28"/>
          <w:szCs w:val="28"/>
        </w:rPr>
        <w:t>Biroului Permanent al</w:t>
      </w:r>
      <w:r>
        <w:rPr>
          <w:b/>
          <w:sz w:val="28"/>
          <w:szCs w:val="28"/>
        </w:rPr>
        <w:br/>
        <w:t>Parlamentului Republicii Moldova</w:t>
      </w:r>
    </w:p>
    <w:p w14:paraId="7286A4C3" w14:textId="77777777" w:rsidR="00A61D37" w:rsidRDefault="00A61D37">
      <w:pPr>
        <w:ind w:firstLine="851"/>
        <w:jc w:val="both"/>
        <w:rPr>
          <w:sz w:val="28"/>
          <w:szCs w:val="28"/>
        </w:rPr>
      </w:pPr>
    </w:p>
    <w:p w14:paraId="326BCB9F" w14:textId="77777777" w:rsidR="00A61D37" w:rsidRDefault="00A61D37">
      <w:pPr>
        <w:ind w:firstLine="851"/>
        <w:jc w:val="both"/>
        <w:rPr>
          <w:sz w:val="28"/>
          <w:szCs w:val="28"/>
        </w:rPr>
      </w:pPr>
    </w:p>
    <w:p w14:paraId="6C6F531F" w14:textId="627B0C28" w:rsidR="00A61D37" w:rsidRDefault="0012125C">
      <w:pPr>
        <w:ind w:firstLine="851"/>
        <w:jc w:val="both"/>
        <w:rPr>
          <w:sz w:val="28"/>
          <w:szCs w:val="28"/>
        </w:rPr>
      </w:pPr>
      <w:r>
        <w:rPr>
          <w:sz w:val="28"/>
          <w:szCs w:val="28"/>
        </w:rPr>
        <w:t>În conformitate cu prevederile art. 73 din Constituția Republicii Moldova şi ale art. 47 din Regulamentul Parlamentului, se înaintează, cu titlu de inițiativă legislativă,</w:t>
      </w:r>
      <w:r w:rsidR="005A36F5">
        <w:rPr>
          <w:sz w:val="28"/>
          <w:szCs w:val="28"/>
        </w:rPr>
        <w:t xml:space="preserve"> Proiectul de lege</w:t>
      </w:r>
      <w:r>
        <w:rPr>
          <w:sz w:val="28"/>
          <w:szCs w:val="28"/>
        </w:rPr>
        <w:t xml:space="preserve"> </w:t>
      </w:r>
      <w:r w:rsidR="005A36F5" w:rsidRPr="005A36F5">
        <w:rPr>
          <w:sz w:val="28"/>
          <w:szCs w:val="28"/>
        </w:rPr>
        <w:t>pentru modificarea Legii nr. 1456/1993 cu privire la activitatea farmaceutică</w:t>
      </w:r>
    </w:p>
    <w:p w14:paraId="05D4CD98" w14:textId="77777777" w:rsidR="00A61D37" w:rsidRDefault="0012125C">
      <w:pPr>
        <w:ind w:firstLine="708"/>
        <w:jc w:val="both"/>
        <w:rPr>
          <w:b/>
          <w:sz w:val="28"/>
          <w:szCs w:val="28"/>
        </w:rPr>
      </w:pPr>
      <w:r>
        <w:rPr>
          <w:b/>
          <w:sz w:val="28"/>
          <w:szCs w:val="28"/>
        </w:rPr>
        <w:t>Anexe:</w:t>
      </w:r>
    </w:p>
    <w:p w14:paraId="4FDFE11D" w14:textId="77777777" w:rsidR="00A61D37" w:rsidRDefault="0012125C">
      <w:pPr>
        <w:numPr>
          <w:ilvl w:val="0"/>
          <w:numId w:val="2"/>
        </w:numPr>
        <w:pBdr>
          <w:top w:val="nil"/>
          <w:left w:val="nil"/>
          <w:bottom w:val="nil"/>
          <w:right w:val="nil"/>
          <w:between w:val="nil"/>
        </w:pBdr>
        <w:spacing w:after="0" w:line="240" w:lineRule="auto"/>
        <w:jc w:val="both"/>
        <w:rPr>
          <w:color w:val="000000"/>
          <w:sz w:val="28"/>
          <w:szCs w:val="28"/>
        </w:rPr>
      </w:pPr>
      <w:r>
        <w:rPr>
          <w:color w:val="000000"/>
          <w:sz w:val="28"/>
          <w:szCs w:val="28"/>
        </w:rPr>
        <w:t>Proiectul de lege</w:t>
      </w:r>
    </w:p>
    <w:p w14:paraId="5ACBE568" w14:textId="77777777" w:rsidR="00A61D37" w:rsidRDefault="0012125C">
      <w:pPr>
        <w:numPr>
          <w:ilvl w:val="0"/>
          <w:numId w:val="2"/>
        </w:numPr>
        <w:pBdr>
          <w:top w:val="nil"/>
          <w:left w:val="nil"/>
          <w:bottom w:val="nil"/>
          <w:right w:val="nil"/>
          <w:between w:val="nil"/>
        </w:pBdr>
        <w:spacing w:after="0" w:line="240" w:lineRule="auto"/>
        <w:jc w:val="both"/>
        <w:rPr>
          <w:color w:val="000000"/>
          <w:sz w:val="28"/>
          <w:szCs w:val="28"/>
        </w:rPr>
      </w:pPr>
      <w:r>
        <w:rPr>
          <w:color w:val="000000"/>
          <w:sz w:val="28"/>
          <w:szCs w:val="28"/>
        </w:rPr>
        <w:t>Nota informativă</w:t>
      </w:r>
    </w:p>
    <w:p w14:paraId="5B2CB8BF" w14:textId="77777777" w:rsidR="00A61D37" w:rsidRDefault="00A61D37">
      <w:pPr>
        <w:ind w:firstLine="708"/>
        <w:jc w:val="both"/>
        <w:rPr>
          <w:sz w:val="28"/>
          <w:szCs w:val="28"/>
        </w:rPr>
      </w:pPr>
    </w:p>
    <w:p w14:paraId="5DB85BCA" w14:textId="77777777" w:rsidR="00A61D37" w:rsidRDefault="00A61D37">
      <w:pPr>
        <w:ind w:firstLine="708"/>
        <w:jc w:val="both"/>
        <w:rPr>
          <w:sz w:val="28"/>
          <w:szCs w:val="28"/>
        </w:rPr>
      </w:pPr>
    </w:p>
    <w:p w14:paraId="04A63D83" w14:textId="77777777" w:rsidR="00A61D37" w:rsidRDefault="0012125C">
      <w:pPr>
        <w:ind w:firstLine="708"/>
        <w:jc w:val="right"/>
        <w:rPr>
          <w:b/>
          <w:sz w:val="28"/>
          <w:szCs w:val="28"/>
        </w:rPr>
      </w:pPr>
      <w:r>
        <w:rPr>
          <w:b/>
          <w:sz w:val="28"/>
          <w:szCs w:val="28"/>
        </w:rPr>
        <w:t>Deputat în Parlamentul Republicii Moldova</w:t>
      </w:r>
    </w:p>
    <w:p w14:paraId="789277FE" w14:textId="77777777" w:rsidR="00A61D37" w:rsidRDefault="0012125C">
      <w:pPr>
        <w:spacing w:after="160" w:line="259" w:lineRule="auto"/>
        <w:ind w:left="0"/>
        <w:rPr>
          <w:b/>
          <w:i/>
          <w:sz w:val="28"/>
          <w:szCs w:val="28"/>
        </w:rPr>
      </w:pPr>
      <w:r>
        <w:br w:type="page"/>
      </w:r>
    </w:p>
    <w:p w14:paraId="26124E53" w14:textId="77777777" w:rsidR="00A61D37" w:rsidRDefault="0012125C">
      <w:pPr>
        <w:ind w:firstLine="851"/>
        <w:jc w:val="right"/>
        <w:rPr>
          <w:i/>
          <w:sz w:val="28"/>
          <w:szCs w:val="28"/>
        </w:rPr>
      </w:pPr>
      <w:r>
        <w:rPr>
          <w:i/>
          <w:sz w:val="28"/>
          <w:szCs w:val="28"/>
        </w:rPr>
        <w:lastRenderedPageBreak/>
        <w:t>Proiect</w:t>
      </w:r>
    </w:p>
    <w:p w14:paraId="27539428" w14:textId="77777777" w:rsidR="00A61D37" w:rsidRDefault="0012125C">
      <w:pPr>
        <w:ind w:firstLine="851"/>
        <w:jc w:val="center"/>
        <w:rPr>
          <w:b/>
          <w:sz w:val="28"/>
          <w:szCs w:val="28"/>
        </w:rPr>
      </w:pPr>
      <w:r>
        <w:rPr>
          <w:b/>
          <w:sz w:val="28"/>
          <w:szCs w:val="28"/>
        </w:rPr>
        <w:t>PARLAMETUL REPUBLICII MOLDOVA</w:t>
      </w:r>
    </w:p>
    <w:p w14:paraId="4C677961" w14:textId="77777777" w:rsidR="00A61D37" w:rsidRDefault="00A61D37">
      <w:pPr>
        <w:spacing w:after="0" w:line="240" w:lineRule="auto"/>
        <w:ind w:firstLine="851"/>
        <w:jc w:val="center"/>
        <w:rPr>
          <w:sz w:val="28"/>
          <w:szCs w:val="28"/>
        </w:rPr>
      </w:pPr>
    </w:p>
    <w:p w14:paraId="38A85694" w14:textId="77777777" w:rsidR="00A61D37" w:rsidRDefault="0012125C">
      <w:pPr>
        <w:spacing w:after="0" w:line="240" w:lineRule="auto"/>
        <w:ind w:firstLine="851"/>
        <w:jc w:val="center"/>
        <w:rPr>
          <w:sz w:val="28"/>
          <w:szCs w:val="28"/>
        </w:rPr>
      </w:pPr>
      <w:r>
        <w:rPr>
          <w:sz w:val="28"/>
          <w:szCs w:val="28"/>
        </w:rPr>
        <w:t>LEGE</w:t>
      </w:r>
    </w:p>
    <w:p w14:paraId="2D0E4B87" w14:textId="77777777" w:rsidR="00A61D37" w:rsidRDefault="0012125C">
      <w:pPr>
        <w:spacing w:after="0" w:line="240" w:lineRule="auto"/>
        <w:ind w:firstLine="851"/>
        <w:jc w:val="center"/>
        <w:rPr>
          <w:color w:val="000000"/>
          <w:sz w:val="28"/>
          <w:szCs w:val="28"/>
        </w:rPr>
      </w:pPr>
      <w:r>
        <w:rPr>
          <w:color w:val="000000"/>
          <w:sz w:val="28"/>
          <w:szCs w:val="28"/>
        </w:rPr>
        <w:t>pentru modificarea Legii nr. 1456/1993 cu privire la activitatea farmaceutică</w:t>
      </w:r>
    </w:p>
    <w:p w14:paraId="187432C4" w14:textId="77777777" w:rsidR="00A61D37" w:rsidRDefault="00A61D37">
      <w:pPr>
        <w:spacing w:after="0" w:line="240" w:lineRule="auto"/>
        <w:ind w:firstLine="851"/>
        <w:jc w:val="both"/>
        <w:rPr>
          <w:color w:val="000000"/>
          <w:sz w:val="28"/>
          <w:szCs w:val="28"/>
        </w:rPr>
      </w:pPr>
    </w:p>
    <w:p w14:paraId="3CCC4FF0" w14:textId="77777777" w:rsidR="00A61D37" w:rsidRDefault="00A61D37">
      <w:pPr>
        <w:spacing w:after="0" w:line="240" w:lineRule="auto"/>
        <w:ind w:firstLine="851"/>
        <w:jc w:val="both"/>
        <w:rPr>
          <w:color w:val="000000"/>
          <w:sz w:val="28"/>
          <w:szCs w:val="28"/>
        </w:rPr>
      </w:pPr>
    </w:p>
    <w:p w14:paraId="05236FA6" w14:textId="77777777" w:rsidR="00A61D37" w:rsidRDefault="0012125C">
      <w:pPr>
        <w:spacing w:after="0" w:line="240" w:lineRule="auto"/>
        <w:ind w:firstLine="851"/>
        <w:jc w:val="both"/>
        <w:rPr>
          <w:color w:val="000000"/>
          <w:sz w:val="28"/>
          <w:szCs w:val="28"/>
        </w:rPr>
      </w:pPr>
      <w:r>
        <w:rPr>
          <w:color w:val="000000"/>
          <w:sz w:val="28"/>
          <w:szCs w:val="28"/>
        </w:rPr>
        <w:t>Parlamentul adoptă prezenta lege organică</w:t>
      </w:r>
    </w:p>
    <w:p w14:paraId="3B7EF564" w14:textId="77777777" w:rsidR="00A61D37" w:rsidRDefault="00A61D37">
      <w:pPr>
        <w:spacing w:after="0" w:line="240" w:lineRule="auto"/>
        <w:ind w:firstLine="851"/>
        <w:jc w:val="both"/>
        <w:rPr>
          <w:color w:val="000000"/>
          <w:sz w:val="28"/>
          <w:szCs w:val="28"/>
        </w:rPr>
      </w:pPr>
    </w:p>
    <w:p w14:paraId="1098DF1D" w14:textId="77777777" w:rsidR="00A61D37" w:rsidRDefault="00A61D37">
      <w:pPr>
        <w:spacing w:after="0" w:line="240" w:lineRule="auto"/>
        <w:ind w:firstLine="851"/>
        <w:jc w:val="both"/>
        <w:rPr>
          <w:color w:val="000000"/>
          <w:sz w:val="28"/>
          <w:szCs w:val="28"/>
        </w:rPr>
      </w:pPr>
    </w:p>
    <w:p w14:paraId="53B41095" w14:textId="77777777" w:rsidR="00A61D37" w:rsidRDefault="0012125C">
      <w:pPr>
        <w:spacing w:after="0" w:line="240" w:lineRule="auto"/>
        <w:ind w:firstLine="851"/>
        <w:jc w:val="both"/>
        <w:rPr>
          <w:color w:val="000000"/>
          <w:sz w:val="28"/>
          <w:szCs w:val="28"/>
        </w:rPr>
      </w:pPr>
      <w:r>
        <w:rPr>
          <w:b/>
          <w:color w:val="000000"/>
          <w:sz w:val="28"/>
          <w:szCs w:val="28"/>
        </w:rPr>
        <w:t>Articolul I.</w:t>
      </w:r>
      <w:r>
        <w:rPr>
          <w:color w:val="000000"/>
          <w:sz w:val="28"/>
          <w:szCs w:val="28"/>
        </w:rPr>
        <w:t xml:space="preserve"> – Articolul 11 din Legea nr. 1456/1993 cu cu privire la activitatea farmaceutică, publicată în Monitorul Oficial al Republicii Moldova, 30.07.1993 Nr. 7 art. 210), cu modificările ulterioare, se modifică după cum urmează:</w:t>
      </w:r>
    </w:p>
    <w:p w14:paraId="3DED150C" w14:textId="77777777" w:rsidR="00A61D37" w:rsidRDefault="00A61D37">
      <w:pPr>
        <w:spacing w:after="0" w:line="240" w:lineRule="auto"/>
        <w:ind w:firstLine="851"/>
        <w:jc w:val="both"/>
        <w:rPr>
          <w:b/>
          <w:color w:val="000000"/>
          <w:sz w:val="28"/>
          <w:szCs w:val="28"/>
        </w:rPr>
      </w:pPr>
    </w:p>
    <w:p w14:paraId="4B4D3CEF" w14:textId="77777777" w:rsidR="00A61D37" w:rsidRDefault="0012125C">
      <w:pPr>
        <w:spacing w:after="0" w:line="240" w:lineRule="auto"/>
        <w:ind w:firstLine="851"/>
        <w:jc w:val="both"/>
        <w:rPr>
          <w:color w:val="000000"/>
          <w:sz w:val="28"/>
          <w:szCs w:val="28"/>
        </w:rPr>
      </w:pPr>
      <w:r>
        <w:rPr>
          <w:color w:val="000000"/>
          <w:sz w:val="28"/>
          <w:szCs w:val="28"/>
        </w:rPr>
        <w:t>se completează cu aliniatele (2</w:t>
      </w:r>
      <w:r>
        <w:rPr>
          <w:color w:val="000000"/>
          <w:sz w:val="28"/>
          <w:szCs w:val="28"/>
          <w:vertAlign w:val="superscript"/>
        </w:rPr>
        <w:t>3</w:t>
      </w:r>
      <w:r>
        <w:rPr>
          <w:color w:val="000000"/>
          <w:sz w:val="28"/>
          <w:szCs w:val="28"/>
        </w:rPr>
        <w:t>), (2</w:t>
      </w:r>
      <w:r>
        <w:rPr>
          <w:color w:val="000000"/>
          <w:sz w:val="28"/>
          <w:szCs w:val="28"/>
          <w:vertAlign w:val="superscript"/>
        </w:rPr>
        <w:t>4</w:t>
      </w:r>
      <w:r>
        <w:rPr>
          <w:color w:val="000000"/>
          <w:sz w:val="28"/>
          <w:szCs w:val="28"/>
        </w:rPr>
        <w:t>) cu următorul cuprins:</w:t>
      </w:r>
    </w:p>
    <w:p w14:paraId="6D2772EA" w14:textId="77777777" w:rsidR="00A61D37" w:rsidRDefault="00A61D37">
      <w:pPr>
        <w:spacing w:after="0" w:line="240" w:lineRule="auto"/>
        <w:ind w:firstLine="851"/>
        <w:jc w:val="both"/>
        <w:rPr>
          <w:color w:val="000000"/>
          <w:sz w:val="28"/>
          <w:szCs w:val="28"/>
        </w:rPr>
      </w:pPr>
    </w:p>
    <w:p w14:paraId="1D706FE6" w14:textId="77777777" w:rsidR="00A61D37" w:rsidRDefault="0012125C">
      <w:pPr>
        <w:spacing w:after="0" w:line="240" w:lineRule="auto"/>
        <w:ind w:firstLine="851"/>
        <w:jc w:val="both"/>
        <w:rPr>
          <w:color w:val="000000"/>
          <w:sz w:val="28"/>
          <w:szCs w:val="28"/>
        </w:rPr>
      </w:pPr>
      <w:r>
        <w:rPr>
          <w:color w:val="000000"/>
          <w:sz w:val="28"/>
          <w:szCs w:val="28"/>
        </w:rPr>
        <w:t>(</w:t>
      </w:r>
      <w:r>
        <w:rPr>
          <w:sz w:val="28"/>
          <w:szCs w:val="28"/>
        </w:rPr>
        <w:t>2</w:t>
      </w:r>
      <w:r>
        <w:rPr>
          <w:sz w:val="28"/>
          <w:szCs w:val="28"/>
          <w:vertAlign w:val="superscript"/>
        </w:rPr>
        <w:t>3</w:t>
      </w:r>
      <w:r>
        <w:rPr>
          <w:color w:val="000000"/>
          <w:sz w:val="28"/>
          <w:szCs w:val="28"/>
        </w:rPr>
        <w:t>) Se califică ca fiind conforme cerințelor naționale, sub aspectul de siguranță, eficacitate și calitate, în vederea înregistrarii medicamentului şi înscrierii a acestuia în Nomenclatorul de stat al medicamentelor, medicamentele autorizate de către Agenția Europeană a Medicamentului, Food and Drug Administration al Statele Unite ale Americii, Ministerul Sănătății din Federația Rusă și Agenția Națională a Medicamentului și a Dispozitivelor Medicale din România, în acest sens nefiind necesară efectuarea expertizei.</w:t>
      </w:r>
    </w:p>
    <w:p w14:paraId="7D818BD0" w14:textId="77777777" w:rsidR="00A61D37" w:rsidRDefault="00A61D37">
      <w:pPr>
        <w:spacing w:after="0" w:line="240" w:lineRule="auto"/>
        <w:ind w:firstLine="851"/>
        <w:jc w:val="both"/>
        <w:rPr>
          <w:color w:val="000000"/>
          <w:sz w:val="28"/>
          <w:szCs w:val="28"/>
        </w:rPr>
      </w:pPr>
    </w:p>
    <w:p w14:paraId="6DDDB2C8" w14:textId="77777777" w:rsidR="00A61D37" w:rsidRDefault="0012125C">
      <w:pPr>
        <w:spacing w:after="0" w:line="240" w:lineRule="auto"/>
        <w:ind w:firstLine="851"/>
        <w:jc w:val="both"/>
        <w:rPr>
          <w:color w:val="000000"/>
          <w:sz w:val="28"/>
          <w:szCs w:val="28"/>
        </w:rPr>
      </w:pPr>
      <w:r>
        <w:rPr>
          <w:color w:val="000000"/>
          <w:sz w:val="28"/>
          <w:szCs w:val="28"/>
        </w:rPr>
        <w:t>(2</w:t>
      </w:r>
      <w:r>
        <w:rPr>
          <w:color w:val="000000"/>
          <w:sz w:val="28"/>
          <w:szCs w:val="28"/>
          <w:vertAlign w:val="superscript"/>
        </w:rPr>
        <w:t>4</w:t>
      </w:r>
      <w:r>
        <w:rPr>
          <w:color w:val="000000"/>
          <w:sz w:val="28"/>
          <w:szCs w:val="28"/>
        </w:rPr>
        <w:t>) Prin derogare de la aliniatul (2) pentru înregistrarea de stat a medicamentelor autorizate de autoritățile străine menționate la alineatul (2</w:t>
      </w:r>
      <w:r>
        <w:rPr>
          <w:color w:val="000000"/>
          <w:sz w:val="28"/>
          <w:szCs w:val="28"/>
          <w:vertAlign w:val="superscript"/>
        </w:rPr>
        <w:t>3</w:t>
      </w:r>
      <w:r>
        <w:rPr>
          <w:color w:val="000000"/>
          <w:sz w:val="28"/>
          <w:szCs w:val="28"/>
        </w:rPr>
        <w:t>), solicitantul depune la Agenţia Medicamentului şi Dispozitivelor Medicale o cerere de autorizare a medicamentului prin recunoaștere a autorizat de către una din autoritățiele străine menționate la aliniatul (2</w:t>
      </w:r>
      <w:r>
        <w:rPr>
          <w:color w:val="000000"/>
          <w:sz w:val="28"/>
          <w:szCs w:val="28"/>
          <w:vertAlign w:val="superscript"/>
        </w:rPr>
        <w:t>3</w:t>
      </w:r>
      <w:r>
        <w:rPr>
          <w:color w:val="000000"/>
          <w:sz w:val="28"/>
          <w:szCs w:val="28"/>
        </w:rPr>
        <w:t>). La cerere se anexează următoarele documente:</w:t>
      </w:r>
    </w:p>
    <w:p w14:paraId="6D20852F" w14:textId="77777777" w:rsidR="00A61D37" w:rsidRDefault="0012125C">
      <w:pPr>
        <w:numPr>
          <w:ilvl w:val="0"/>
          <w:numId w:val="1"/>
        </w:numPr>
        <w:pBdr>
          <w:top w:val="nil"/>
          <w:left w:val="nil"/>
          <w:bottom w:val="nil"/>
          <w:right w:val="nil"/>
          <w:between w:val="nil"/>
        </w:pBdr>
        <w:spacing w:after="0" w:line="240" w:lineRule="auto"/>
        <w:jc w:val="both"/>
        <w:rPr>
          <w:color w:val="000000"/>
          <w:sz w:val="28"/>
          <w:szCs w:val="28"/>
        </w:rPr>
      </w:pPr>
      <w:r>
        <w:rPr>
          <w:color w:val="000000"/>
          <w:sz w:val="28"/>
          <w:szCs w:val="28"/>
        </w:rPr>
        <w:t>confirmarea înregistrării medicamentului de către una din autoritățile străine menționate la alineatul (2</w:t>
      </w:r>
      <w:r>
        <w:rPr>
          <w:color w:val="000000"/>
          <w:sz w:val="28"/>
          <w:szCs w:val="28"/>
          <w:vertAlign w:val="superscript"/>
        </w:rPr>
        <w:t>3</w:t>
      </w:r>
      <w:r>
        <w:rPr>
          <w:color w:val="000000"/>
          <w:sz w:val="28"/>
          <w:szCs w:val="28"/>
        </w:rPr>
        <w:t>) valabilă la ziua depunerii cererii;</w:t>
      </w:r>
    </w:p>
    <w:p w14:paraId="13A256E2" w14:textId="6B543AE4" w:rsidR="00A61D37" w:rsidRPr="00C30736" w:rsidRDefault="00256754">
      <w:pPr>
        <w:numPr>
          <w:ilvl w:val="0"/>
          <w:numId w:val="1"/>
        </w:numPr>
        <w:pBdr>
          <w:top w:val="nil"/>
          <w:left w:val="nil"/>
          <w:bottom w:val="nil"/>
          <w:right w:val="nil"/>
          <w:between w:val="nil"/>
        </w:pBdr>
        <w:spacing w:after="0" w:line="240" w:lineRule="auto"/>
        <w:jc w:val="both"/>
        <w:rPr>
          <w:sz w:val="28"/>
          <w:szCs w:val="28"/>
        </w:rPr>
      </w:pPr>
      <w:r w:rsidRPr="00C30736">
        <w:rPr>
          <w:sz w:val="28"/>
          <w:szCs w:val="28"/>
        </w:rPr>
        <w:t>rezumatul caracteristici</w:t>
      </w:r>
      <w:r w:rsidR="007C7B0F" w:rsidRPr="00C30736">
        <w:rPr>
          <w:sz w:val="28"/>
          <w:szCs w:val="28"/>
        </w:rPr>
        <w:t>lor</w:t>
      </w:r>
      <w:r w:rsidRPr="00C30736">
        <w:rPr>
          <w:sz w:val="28"/>
          <w:szCs w:val="28"/>
        </w:rPr>
        <w:t xml:space="preserve"> produsului sau prospect</w:t>
      </w:r>
      <w:r w:rsidR="00C30736" w:rsidRPr="00C30736">
        <w:rPr>
          <w:sz w:val="28"/>
          <w:szCs w:val="28"/>
        </w:rPr>
        <w:t xml:space="preserve">, </w:t>
      </w:r>
      <w:r w:rsidR="00831039" w:rsidRPr="00C30736">
        <w:rPr>
          <w:sz w:val="28"/>
          <w:szCs w:val="28"/>
        </w:rPr>
        <w:t>informatii</w:t>
      </w:r>
      <w:r w:rsidRPr="00C30736">
        <w:rPr>
          <w:sz w:val="28"/>
          <w:szCs w:val="28"/>
        </w:rPr>
        <w:t xml:space="preserve"> pentru pacient sau </w:t>
      </w:r>
      <w:r w:rsidR="0012125C" w:rsidRPr="00C30736">
        <w:rPr>
          <w:sz w:val="28"/>
          <w:szCs w:val="28"/>
        </w:rPr>
        <w:t>instrucțiunea de utilizare în original şi traducerea ei în limba de stat și în limba rusă;</w:t>
      </w:r>
    </w:p>
    <w:p w14:paraId="55EBEADA" w14:textId="719F599E" w:rsidR="00A61D37" w:rsidRPr="00C30736" w:rsidRDefault="0012125C">
      <w:pPr>
        <w:numPr>
          <w:ilvl w:val="0"/>
          <w:numId w:val="1"/>
        </w:numPr>
        <w:pBdr>
          <w:top w:val="nil"/>
          <w:left w:val="nil"/>
          <w:bottom w:val="nil"/>
          <w:right w:val="nil"/>
          <w:between w:val="nil"/>
        </w:pBdr>
        <w:spacing w:after="0" w:line="240" w:lineRule="auto"/>
        <w:jc w:val="both"/>
        <w:rPr>
          <w:sz w:val="28"/>
          <w:szCs w:val="28"/>
        </w:rPr>
      </w:pPr>
      <w:r w:rsidRPr="00C30736">
        <w:rPr>
          <w:sz w:val="28"/>
          <w:szCs w:val="28"/>
        </w:rPr>
        <w:t>macheta grafică coloră a ambalajului primar şi secundar</w:t>
      </w:r>
      <w:r w:rsidR="00256754" w:rsidRPr="00C30736">
        <w:rPr>
          <w:sz w:val="28"/>
          <w:szCs w:val="28"/>
        </w:rPr>
        <w:t xml:space="preserve"> care va fi livrat in Republica Moldova.</w:t>
      </w:r>
      <w:r w:rsidRPr="00C30736">
        <w:rPr>
          <w:sz w:val="28"/>
          <w:szCs w:val="28"/>
        </w:rPr>
        <w:t xml:space="preserve"> </w:t>
      </w:r>
    </w:p>
    <w:p w14:paraId="569D835D" w14:textId="77777777" w:rsidR="00A61D37" w:rsidRDefault="0012125C">
      <w:pPr>
        <w:spacing w:after="0" w:line="240" w:lineRule="auto"/>
        <w:ind w:firstLine="851"/>
        <w:jc w:val="both"/>
        <w:rPr>
          <w:color w:val="000000"/>
          <w:sz w:val="28"/>
          <w:szCs w:val="28"/>
        </w:rPr>
      </w:pPr>
      <w:r>
        <w:rPr>
          <w:color w:val="000000"/>
          <w:sz w:val="28"/>
          <w:szCs w:val="28"/>
        </w:rPr>
        <w:t>Prevederile alininiatelor (2</w:t>
      </w:r>
      <w:r>
        <w:rPr>
          <w:color w:val="000000"/>
          <w:sz w:val="28"/>
          <w:szCs w:val="28"/>
          <w:vertAlign w:val="superscript"/>
        </w:rPr>
        <w:t>1</w:t>
      </w:r>
      <w:sdt>
        <w:sdtPr>
          <w:tag w:val="goog_rdk_0"/>
          <w:id w:val="7884794"/>
        </w:sdtPr>
        <w:sdtEndPr/>
        <w:sdtContent>
          <w:r>
            <w:rPr>
              <w:rFonts w:ascii="Times New Roman" w:eastAsia="Times New Roman" w:hAnsi="Times New Roman" w:cs="Times New Roman"/>
              <w:color w:val="000000"/>
              <w:sz w:val="28"/>
              <w:szCs w:val="28"/>
            </w:rPr>
            <w:t>) și (2</w:t>
          </w:r>
        </w:sdtContent>
      </w:sdt>
      <w:r>
        <w:rPr>
          <w:color w:val="000000"/>
          <w:sz w:val="28"/>
          <w:szCs w:val="28"/>
          <w:vertAlign w:val="superscript"/>
        </w:rPr>
        <w:t>2</w:t>
      </w:r>
      <w:r>
        <w:rPr>
          <w:color w:val="000000"/>
          <w:sz w:val="28"/>
          <w:szCs w:val="28"/>
        </w:rPr>
        <w:t>) se aplică corespunzător.</w:t>
      </w:r>
    </w:p>
    <w:p w14:paraId="73C55C47" w14:textId="77777777" w:rsidR="00A61D37" w:rsidRDefault="00A61D37">
      <w:pPr>
        <w:spacing w:after="0" w:line="240" w:lineRule="auto"/>
        <w:ind w:firstLine="851"/>
        <w:jc w:val="both"/>
        <w:rPr>
          <w:color w:val="000000"/>
          <w:sz w:val="28"/>
          <w:szCs w:val="28"/>
        </w:rPr>
      </w:pPr>
    </w:p>
    <w:p w14:paraId="7571F34B" w14:textId="77777777" w:rsidR="00A61D37" w:rsidRDefault="0012125C">
      <w:pPr>
        <w:spacing w:after="0" w:line="240" w:lineRule="auto"/>
        <w:ind w:firstLine="851"/>
        <w:jc w:val="both"/>
        <w:rPr>
          <w:color w:val="000000"/>
          <w:sz w:val="28"/>
          <w:szCs w:val="28"/>
        </w:rPr>
      </w:pPr>
      <w:r>
        <w:rPr>
          <w:color w:val="000000"/>
          <w:sz w:val="28"/>
          <w:szCs w:val="28"/>
        </w:rPr>
        <w:lastRenderedPageBreak/>
        <w:t>aliniatul (4) se completeză cu următoarea propoziție „Cerere de autorizare a medicamentului prin recunoaștere, menționată la aliniatul (2</w:t>
      </w:r>
      <w:r>
        <w:rPr>
          <w:color w:val="000000"/>
          <w:sz w:val="28"/>
          <w:szCs w:val="28"/>
          <w:vertAlign w:val="superscript"/>
        </w:rPr>
        <w:t>4</w:t>
      </w:r>
      <w:r>
        <w:rPr>
          <w:color w:val="000000"/>
          <w:sz w:val="28"/>
          <w:szCs w:val="28"/>
        </w:rPr>
        <w:t>), se examinează în termen de 10 zile lucrătoare.”</w:t>
      </w:r>
    </w:p>
    <w:p w14:paraId="2F8F8CD7" w14:textId="77777777" w:rsidR="00A61D37" w:rsidRDefault="00A61D37">
      <w:pPr>
        <w:spacing w:after="0" w:line="240" w:lineRule="auto"/>
        <w:ind w:firstLine="851"/>
        <w:jc w:val="both"/>
        <w:rPr>
          <w:b/>
          <w:color w:val="000000"/>
          <w:sz w:val="28"/>
          <w:szCs w:val="28"/>
        </w:rPr>
      </w:pPr>
    </w:p>
    <w:p w14:paraId="311AF30A" w14:textId="77777777" w:rsidR="00A61D37" w:rsidRDefault="0012125C">
      <w:pPr>
        <w:ind w:firstLine="851"/>
        <w:jc w:val="both"/>
        <w:rPr>
          <w:sz w:val="28"/>
          <w:szCs w:val="28"/>
        </w:rPr>
      </w:pPr>
      <w:r>
        <w:rPr>
          <w:b/>
          <w:sz w:val="28"/>
          <w:szCs w:val="28"/>
        </w:rPr>
        <w:t>Articolul II</w:t>
      </w:r>
      <w:r>
        <w:rPr>
          <w:sz w:val="28"/>
          <w:szCs w:val="28"/>
        </w:rPr>
        <w:t>. – Guvernul va ajusta actele necesare timp de 30 zile de la data intrării în vigoare a prezentei legi.</w:t>
      </w:r>
    </w:p>
    <w:p w14:paraId="71EAA5CA" w14:textId="77777777" w:rsidR="00A61D37" w:rsidRDefault="0012125C">
      <w:pPr>
        <w:ind w:firstLine="851"/>
        <w:jc w:val="both"/>
        <w:rPr>
          <w:sz w:val="28"/>
          <w:szCs w:val="28"/>
        </w:rPr>
      </w:pPr>
      <w:r>
        <w:rPr>
          <w:b/>
          <w:sz w:val="28"/>
          <w:szCs w:val="28"/>
        </w:rPr>
        <w:t>Articolul III.</w:t>
      </w:r>
      <w:r>
        <w:rPr>
          <w:sz w:val="28"/>
          <w:szCs w:val="28"/>
        </w:rPr>
        <w:t xml:space="preserve"> – Prezenta lege intră în vigoare la data publicării.</w:t>
      </w:r>
    </w:p>
    <w:p w14:paraId="51E72A72" w14:textId="77777777" w:rsidR="00A61D37" w:rsidRDefault="00A61D37">
      <w:pPr>
        <w:ind w:firstLine="851"/>
        <w:jc w:val="both"/>
        <w:rPr>
          <w:sz w:val="28"/>
          <w:szCs w:val="28"/>
        </w:rPr>
      </w:pPr>
    </w:p>
    <w:p w14:paraId="2C543F31" w14:textId="77777777" w:rsidR="00A61D37" w:rsidRDefault="0012125C">
      <w:pPr>
        <w:ind w:firstLine="851"/>
        <w:jc w:val="center"/>
        <w:rPr>
          <w:sz w:val="28"/>
          <w:szCs w:val="28"/>
        </w:rPr>
      </w:pPr>
      <w:r>
        <w:rPr>
          <w:b/>
          <w:sz w:val="28"/>
          <w:szCs w:val="28"/>
        </w:rPr>
        <w:t>PREŞEDINTELE PARLAMENTULUI</w:t>
      </w:r>
      <w:r>
        <w:br w:type="page"/>
      </w:r>
    </w:p>
    <w:p w14:paraId="3709043B" w14:textId="77777777" w:rsidR="00A61D37" w:rsidRDefault="0012125C">
      <w:pPr>
        <w:spacing w:after="0"/>
        <w:ind w:firstLine="851"/>
        <w:jc w:val="center"/>
        <w:rPr>
          <w:b/>
          <w:sz w:val="28"/>
          <w:szCs w:val="28"/>
        </w:rPr>
      </w:pPr>
      <w:r>
        <w:rPr>
          <w:b/>
          <w:sz w:val="28"/>
          <w:szCs w:val="28"/>
        </w:rPr>
        <w:lastRenderedPageBreak/>
        <w:t>NOTĂ INFORMATIVĂ</w:t>
      </w:r>
    </w:p>
    <w:p w14:paraId="6FF42592" w14:textId="77777777" w:rsidR="00A61D37" w:rsidRDefault="0012125C">
      <w:pPr>
        <w:spacing w:after="0"/>
        <w:ind w:firstLine="851"/>
        <w:jc w:val="center"/>
        <w:rPr>
          <w:color w:val="000000"/>
          <w:sz w:val="28"/>
          <w:szCs w:val="28"/>
        </w:rPr>
      </w:pPr>
      <w:r>
        <w:rPr>
          <w:sz w:val="28"/>
          <w:szCs w:val="28"/>
        </w:rPr>
        <w:t xml:space="preserve">la proiectul de Lege </w:t>
      </w:r>
      <w:r>
        <w:rPr>
          <w:color w:val="000000"/>
          <w:sz w:val="28"/>
          <w:szCs w:val="28"/>
        </w:rPr>
        <w:t>pentru modificarea Legii nr. 1456/1993 cu privire la activitatea farmaceutică</w:t>
      </w:r>
    </w:p>
    <w:p w14:paraId="04523F97" w14:textId="77777777" w:rsidR="00A61D37" w:rsidRDefault="00A61D37">
      <w:pPr>
        <w:spacing w:after="0"/>
        <w:ind w:firstLine="851"/>
        <w:jc w:val="both"/>
        <w:rPr>
          <w:sz w:val="28"/>
          <w:szCs w:val="28"/>
        </w:rPr>
      </w:pPr>
    </w:p>
    <w:p w14:paraId="625E268C" w14:textId="77777777" w:rsidR="00A61D37" w:rsidRDefault="00A61D37">
      <w:pPr>
        <w:spacing w:after="0"/>
        <w:ind w:firstLine="851"/>
        <w:jc w:val="both"/>
        <w:rPr>
          <w:sz w:val="28"/>
          <w:szCs w:val="28"/>
        </w:rPr>
      </w:pPr>
    </w:p>
    <w:p w14:paraId="50F9A685" w14:textId="77777777" w:rsidR="00A61D37" w:rsidRDefault="0012125C">
      <w:pPr>
        <w:spacing w:after="0"/>
        <w:ind w:firstLine="851"/>
        <w:jc w:val="both"/>
        <w:rPr>
          <w:sz w:val="28"/>
          <w:szCs w:val="28"/>
        </w:rPr>
      </w:pPr>
      <w:r>
        <w:rPr>
          <w:sz w:val="28"/>
          <w:szCs w:val="28"/>
        </w:rPr>
        <w:t xml:space="preserve">În contextul actual, cît și luînd în cosiderare faptul ca în ultimii ani scade dramatic numărul de medicamente noi autorizate în Republica Moldova prezentul proiect de lege vine să reglementeze clar activitate </w:t>
      </w:r>
      <w:r>
        <w:rPr>
          <w:color w:val="000000"/>
          <w:sz w:val="28"/>
          <w:szCs w:val="28"/>
        </w:rPr>
        <w:t>Agenţiei Medicamentului şi Dispozitivelor Medicale</w:t>
      </w:r>
      <w:r>
        <w:rPr>
          <w:sz w:val="28"/>
          <w:szCs w:val="28"/>
        </w:rPr>
        <w:t xml:space="preserve"> în privința procedurilor cît și a termenilor aplicabili în cazul în care se solicită înregistrarea unor medicamente care anterior au fost înregistrate de către autorități străine din domeniu.</w:t>
      </w:r>
    </w:p>
    <w:p w14:paraId="1476181B" w14:textId="77777777" w:rsidR="00A61D37" w:rsidRDefault="0012125C">
      <w:pPr>
        <w:spacing w:after="0"/>
        <w:ind w:firstLine="851"/>
        <w:jc w:val="both"/>
        <w:rPr>
          <w:sz w:val="28"/>
          <w:szCs w:val="28"/>
        </w:rPr>
      </w:pPr>
      <w:r>
        <w:rPr>
          <w:sz w:val="28"/>
          <w:szCs w:val="28"/>
        </w:rPr>
        <w:t>Din datele prezentate mai jos se observă clar că începînd cu anul 2017 numărul de medicamente autorizate în Republica Moldova scade an de an, iar în 2020 a ajuns la cel mai jos nivel începînd cu 2013. Totodată proiectul de lege propus spre examinare și adoptare, va permite ca procedurile să decurgă mai repede, ceea ce va reduce încărcătura cu sarcini a AMDM și va permite o fluidizare a procesului. Mai mult ca atît specialiștii din cadrul AMDM vor avea suficient timp pentru verificarea dosarelor care vin din alte jurisdicții, pentru care nu se aplică proiectul de lege sus menționat.</w:t>
      </w:r>
    </w:p>
    <w:p w14:paraId="11878AD8" w14:textId="77777777" w:rsidR="00A61D37" w:rsidRDefault="0012125C">
      <w:pPr>
        <w:spacing w:after="0"/>
        <w:ind w:firstLine="851"/>
        <w:jc w:val="both"/>
        <w:rPr>
          <w:sz w:val="28"/>
          <w:szCs w:val="28"/>
        </w:rPr>
      </w:pPr>
      <w:r>
        <w:rPr>
          <w:sz w:val="28"/>
          <w:szCs w:val="28"/>
        </w:rPr>
        <w:t>După cum se observă din tabelele de mai jos, cele mai multe medicamente spre autorizare vin din Uniunea Europeana, ceea ce înseamnă că majoritatea dintre ele sunt venite din zonele care cad sub reglementarea EMA. În același context de idei , Republica Moldova a ratificat Acordul de Asociere cu Uniunea Europeana ceea ce încă odată confirmă necesarul modificării cadrului normativ prezent, în scopul simplificării procedurilor și îmbunătățirii relațiilor economice cu Statele membre.</w:t>
      </w:r>
    </w:p>
    <w:p w14:paraId="17E63B71" w14:textId="77777777" w:rsidR="00A61D37" w:rsidRDefault="00A61D37">
      <w:pPr>
        <w:spacing w:after="0"/>
        <w:ind w:firstLine="851"/>
        <w:jc w:val="both"/>
        <w:rPr>
          <w:sz w:val="28"/>
          <w:szCs w:val="28"/>
        </w:rPr>
      </w:pPr>
    </w:p>
    <w:p w14:paraId="76830FA6" w14:textId="77777777" w:rsidR="00A61D37" w:rsidRDefault="0012125C">
      <w:pPr>
        <w:spacing w:after="0"/>
        <w:ind w:firstLine="851"/>
        <w:jc w:val="right"/>
        <w:rPr>
          <w:b/>
        </w:rPr>
      </w:pPr>
      <w:r>
        <w:rPr>
          <w:b/>
          <w:sz w:val="28"/>
          <w:szCs w:val="28"/>
        </w:rPr>
        <w:t>Deputat</w:t>
      </w:r>
    </w:p>
    <w:p w14:paraId="1CFC5CF3" w14:textId="77777777" w:rsidR="00A61D37" w:rsidRDefault="00A61D37">
      <w:pPr>
        <w:spacing w:after="0"/>
        <w:ind w:firstLine="851"/>
        <w:jc w:val="both"/>
        <w:rPr>
          <w:sz w:val="28"/>
          <w:szCs w:val="28"/>
        </w:rPr>
      </w:pPr>
    </w:p>
    <w:p w14:paraId="1886A3AE" w14:textId="77777777" w:rsidR="00A61D37" w:rsidRDefault="00A61D37">
      <w:pPr>
        <w:spacing w:after="0"/>
        <w:ind w:firstLine="851"/>
        <w:jc w:val="both"/>
        <w:rPr>
          <w:sz w:val="28"/>
          <w:szCs w:val="28"/>
        </w:rPr>
      </w:pPr>
    </w:p>
    <w:p w14:paraId="0042160B" w14:textId="77777777" w:rsidR="00A61D37" w:rsidRDefault="0012125C">
      <w:pPr>
        <w:spacing w:after="0"/>
        <w:ind w:firstLine="851"/>
        <w:jc w:val="right"/>
        <w:rPr>
          <w:i/>
          <w:sz w:val="28"/>
          <w:szCs w:val="28"/>
        </w:rPr>
      </w:pPr>
      <w:r>
        <w:rPr>
          <w:i/>
          <w:sz w:val="28"/>
          <w:szCs w:val="28"/>
        </w:rPr>
        <w:t>Anexă la Nota informativă</w:t>
      </w:r>
    </w:p>
    <w:p w14:paraId="02545095" w14:textId="77777777" w:rsidR="00A61D37" w:rsidRDefault="0012125C">
      <w:pPr>
        <w:spacing w:after="0"/>
        <w:ind w:firstLine="851"/>
        <w:jc w:val="both"/>
        <w:rPr>
          <w:sz w:val="28"/>
          <w:szCs w:val="28"/>
        </w:rPr>
      </w:pPr>
      <w:r>
        <w:rPr>
          <w:noProof/>
          <w:sz w:val="28"/>
          <w:szCs w:val="28"/>
          <w:lang w:val="ru-RU"/>
        </w:rPr>
        <w:drawing>
          <wp:inline distT="0" distB="0" distL="0" distR="0" wp14:anchorId="74CA1AAE" wp14:editId="086E79F4">
            <wp:extent cx="3180893" cy="2911422"/>
            <wp:effectExtent l="0" t="0" r="0" b="0"/>
            <wp:docPr id="7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3180893" cy="2911422"/>
                    </a:xfrm>
                    <a:prstGeom prst="rect">
                      <a:avLst/>
                    </a:prstGeom>
                    <a:ln/>
                  </pic:spPr>
                </pic:pic>
              </a:graphicData>
            </a:graphic>
          </wp:inline>
        </w:drawing>
      </w:r>
    </w:p>
    <w:p w14:paraId="77A41A86" w14:textId="77777777" w:rsidR="00A61D37" w:rsidRDefault="0012125C">
      <w:pPr>
        <w:spacing w:after="0"/>
        <w:ind w:firstLine="851"/>
        <w:jc w:val="both"/>
        <w:rPr>
          <w:sz w:val="28"/>
          <w:szCs w:val="28"/>
        </w:rPr>
      </w:pPr>
      <w:r>
        <w:rPr>
          <w:noProof/>
          <w:sz w:val="28"/>
          <w:szCs w:val="28"/>
          <w:lang w:val="ru-RU"/>
        </w:rPr>
        <w:drawing>
          <wp:inline distT="0" distB="0" distL="0" distR="0" wp14:anchorId="1149391F" wp14:editId="41210592">
            <wp:extent cx="5014241" cy="2923286"/>
            <wp:effectExtent l="0" t="0" r="0" b="0"/>
            <wp:docPr id="8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014241" cy="2923286"/>
                    </a:xfrm>
                    <a:prstGeom prst="rect">
                      <a:avLst/>
                    </a:prstGeom>
                    <a:ln/>
                  </pic:spPr>
                </pic:pic>
              </a:graphicData>
            </a:graphic>
          </wp:inline>
        </w:drawing>
      </w:r>
    </w:p>
    <w:p w14:paraId="6D9A904F" w14:textId="77777777" w:rsidR="00A61D37" w:rsidRDefault="0012125C">
      <w:pPr>
        <w:spacing w:after="0"/>
        <w:ind w:firstLine="851"/>
        <w:jc w:val="both"/>
        <w:rPr>
          <w:color w:val="000000"/>
          <w:sz w:val="16"/>
          <w:szCs w:val="16"/>
        </w:rPr>
        <w:sectPr w:rsidR="00A61D37">
          <w:type w:val="continuous"/>
          <w:pgSz w:w="11906" w:h="16838"/>
          <w:pgMar w:top="851" w:right="1021" w:bottom="851" w:left="851" w:header="851" w:footer="455" w:gutter="0"/>
          <w:cols w:space="720"/>
          <w:titlePg/>
        </w:sectPr>
      </w:pPr>
      <w:r>
        <w:rPr>
          <w:noProof/>
          <w:lang w:val="ru-RU"/>
        </w:rPr>
        <w:lastRenderedPageBreak/>
        <w:drawing>
          <wp:inline distT="0" distB="0" distL="0" distR="0" wp14:anchorId="2ADF8B6E" wp14:editId="5CF4C92F">
            <wp:extent cx="4940172" cy="3181936"/>
            <wp:effectExtent l="0" t="0" r="0" b="0"/>
            <wp:docPr id="7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4940172" cy="3181936"/>
                    </a:xfrm>
                    <a:prstGeom prst="rect">
                      <a:avLst/>
                    </a:prstGeom>
                    <a:ln/>
                  </pic:spPr>
                </pic:pic>
              </a:graphicData>
            </a:graphic>
          </wp:inline>
        </w:drawing>
      </w:r>
    </w:p>
    <w:p w14:paraId="5D9F1A9D" w14:textId="77777777" w:rsidR="00A61D37" w:rsidRDefault="00A61D37">
      <w:pPr>
        <w:spacing w:after="0"/>
        <w:ind w:firstLine="851"/>
        <w:jc w:val="both"/>
        <w:rPr>
          <w:color w:val="000000"/>
        </w:rPr>
      </w:pPr>
    </w:p>
    <w:p w14:paraId="3BCCD2E0" w14:textId="77777777" w:rsidR="00A61D37" w:rsidRDefault="00A61D37">
      <w:pPr>
        <w:spacing w:after="0"/>
        <w:ind w:firstLine="851"/>
        <w:jc w:val="both"/>
        <w:rPr>
          <w:color w:val="000000"/>
          <w:sz w:val="20"/>
          <w:szCs w:val="20"/>
        </w:rPr>
      </w:pPr>
    </w:p>
    <w:p w14:paraId="3BC2AD0C" w14:textId="77777777" w:rsidR="00A61D37" w:rsidRDefault="0012125C">
      <w:pPr>
        <w:spacing w:after="0" w:line="240" w:lineRule="auto"/>
        <w:ind w:left="0"/>
        <w:rPr>
          <w:color w:val="000000"/>
          <w:sz w:val="20"/>
          <w:szCs w:val="20"/>
        </w:rPr>
      </w:pPr>
      <w:r>
        <w:rPr>
          <w:color w:val="000000"/>
          <w:sz w:val="20"/>
          <w:szCs w:val="20"/>
        </w:rPr>
        <w:t>Evolutia consumului de medicamente Rx in farmacii, 2020 vs.2011</w:t>
      </w:r>
    </w:p>
    <w:tbl>
      <w:tblPr>
        <w:tblStyle w:val="a"/>
        <w:tblW w:w="14183" w:type="dxa"/>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344"/>
        <w:gridCol w:w="1530"/>
        <w:gridCol w:w="1350"/>
        <w:gridCol w:w="1260"/>
        <w:gridCol w:w="1350"/>
        <w:gridCol w:w="1170"/>
        <w:gridCol w:w="1170"/>
        <w:gridCol w:w="1260"/>
        <w:gridCol w:w="1170"/>
        <w:gridCol w:w="1496"/>
        <w:gridCol w:w="1083"/>
      </w:tblGrid>
      <w:tr w:rsidR="00A61D37" w14:paraId="553866D1" w14:textId="77777777" w:rsidTr="00A61D37">
        <w:trPr>
          <w:cnfStyle w:val="100000000000" w:firstRow="1" w:lastRow="0" w:firstColumn="0" w:lastColumn="0" w:oddVBand="0" w:evenVBand="0" w:oddHBand="0"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345" w:type="dxa"/>
            <w:vAlign w:val="center"/>
          </w:tcPr>
          <w:p w14:paraId="36757EC0" w14:textId="77777777" w:rsidR="00A61D37" w:rsidRDefault="0012125C">
            <w:pPr>
              <w:ind w:left="0"/>
              <w:jc w:val="center"/>
              <w:rPr>
                <w:color w:val="000000"/>
                <w:sz w:val="20"/>
                <w:szCs w:val="20"/>
              </w:rPr>
            </w:pPr>
            <w:r>
              <w:rPr>
                <w:color w:val="000000"/>
                <w:sz w:val="20"/>
                <w:szCs w:val="20"/>
              </w:rPr>
              <w:t>Imp./Aut.</w:t>
            </w:r>
          </w:p>
        </w:tc>
        <w:tc>
          <w:tcPr>
            <w:tcW w:w="1530" w:type="dxa"/>
            <w:vAlign w:val="center"/>
          </w:tcPr>
          <w:p w14:paraId="548C59F9"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Valoare vanzari, kEUR</w:t>
            </w:r>
          </w:p>
        </w:tc>
        <w:tc>
          <w:tcPr>
            <w:tcW w:w="1350" w:type="dxa"/>
            <w:vAlign w:val="center"/>
          </w:tcPr>
          <w:p w14:paraId="27649793"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Rata de crestere valoare vanzari, %</w:t>
            </w:r>
          </w:p>
        </w:tc>
        <w:tc>
          <w:tcPr>
            <w:tcW w:w="1260" w:type="dxa"/>
            <w:vAlign w:val="center"/>
          </w:tcPr>
          <w:p w14:paraId="5917AE61"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Cota de piata valoare vanzari, %</w:t>
            </w:r>
          </w:p>
        </w:tc>
        <w:tc>
          <w:tcPr>
            <w:tcW w:w="1350" w:type="dxa"/>
            <w:vAlign w:val="center"/>
          </w:tcPr>
          <w:p w14:paraId="7C89A01E"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Rata de crestere a cotei de piata valoare vanzari,%</w:t>
            </w:r>
          </w:p>
        </w:tc>
        <w:tc>
          <w:tcPr>
            <w:tcW w:w="1170" w:type="dxa"/>
            <w:vAlign w:val="center"/>
          </w:tcPr>
          <w:p w14:paraId="46D099C8"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Volume vanzari, kcutii</w:t>
            </w:r>
          </w:p>
        </w:tc>
        <w:tc>
          <w:tcPr>
            <w:tcW w:w="1170" w:type="dxa"/>
            <w:vAlign w:val="center"/>
          </w:tcPr>
          <w:p w14:paraId="4BA8634D"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Rata de cretere volume vanzari,%</w:t>
            </w:r>
          </w:p>
        </w:tc>
        <w:tc>
          <w:tcPr>
            <w:tcW w:w="1260" w:type="dxa"/>
            <w:vAlign w:val="center"/>
          </w:tcPr>
          <w:p w14:paraId="15F64C0E"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Cota de piata volume vanzari, %</w:t>
            </w:r>
          </w:p>
        </w:tc>
        <w:tc>
          <w:tcPr>
            <w:tcW w:w="1170" w:type="dxa"/>
            <w:vAlign w:val="center"/>
          </w:tcPr>
          <w:p w14:paraId="24D068B7"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Rata de crestere a cotei de piata volume vanzari,%</w:t>
            </w:r>
          </w:p>
        </w:tc>
        <w:tc>
          <w:tcPr>
            <w:tcW w:w="1496" w:type="dxa"/>
            <w:vAlign w:val="center"/>
          </w:tcPr>
          <w:p w14:paraId="6A4DEDB9"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Pretul  mediu raportat la volumul vanzari, EUR</w:t>
            </w:r>
          </w:p>
        </w:tc>
        <w:tc>
          <w:tcPr>
            <w:tcW w:w="1083" w:type="dxa"/>
            <w:vAlign w:val="center"/>
          </w:tcPr>
          <w:p w14:paraId="4AA5C9B8"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Rata de crestere a pretului mediu,%</w:t>
            </w:r>
          </w:p>
        </w:tc>
      </w:tr>
      <w:tr w:rsidR="00A61D37" w14:paraId="412A07A7" w14:textId="77777777" w:rsidTr="00A61D37">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345" w:type="dxa"/>
          </w:tcPr>
          <w:p w14:paraId="6FCD4AFF" w14:textId="77777777" w:rsidR="00A61D37" w:rsidRDefault="0012125C">
            <w:pPr>
              <w:ind w:left="0"/>
              <w:rPr>
                <w:color w:val="000000"/>
                <w:sz w:val="20"/>
                <w:szCs w:val="20"/>
              </w:rPr>
            </w:pPr>
            <w:r>
              <w:rPr>
                <w:color w:val="000000"/>
                <w:sz w:val="20"/>
                <w:szCs w:val="20"/>
              </w:rPr>
              <w:t>Total</w:t>
            </w:r>
          </w:p>
        </w:tc>
        <w:tc>
          <w:tcPr>
            <w:tcW w:w="1530" w:type="dxa"/>
          </w:tcPr>
          <w:p w14:paraId="31C30822"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73,359.42</w:t>
            </w:r>
          </w:p>
        </w:tc>
        <w:tc>
          <w:tcPr>
            <w:tcW w:w="1350" w:type="dxa"/>
          </w:tcPr>
          <w:p w14:paraId="221BBE9E"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-33.99%</w:t>
            </w:r>
          </w:p>
        </w:tc>
        <w:tc>
          <w:tcPr>
            <w:tcW w:w="1260" w:type="dxa"/>
          </w:tcPr>
          <w:p w14:paraId="1D6C8B11"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100.00%</w:t>
            </w:r>
          </w:p>
        </w:tc>
        <w:tc>
          <w:tcPr>
            <w:tcW w:w="1350" w:type="dxa"/>
          </w:tcPr>
          <w:p w14:paraId="681FD295" w14:textId="77777777" w:rsidR="00A61D37" w:rsidRDefault="0012125C">
            <w:pPr>
              <w:ind w:left="0"/>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 </w:t>
            </w:r>
          </w:p>
        </w:tc>
        <w:tc>
          <w:tcPr>
            <w:tcW w:w="1170" w:type="dxa"/>
          </w:tcPr>
          <w:p w14:paraId="27DE7BF1"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23,821.59</w:t>
            </w:r>
          </w:p>
        </w:tc>
        <w:tc>
          <w:tcPr>
            <w:tcW w:w="1170" w:type="dxa"/>
          </w:tcPr>
          <w:p w14:paraId="1D458FEA"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-32.93%</w:t>
            </w:r>
          </w:p>
        </w:tc>
        <w:tc>
          <w:tcPr>
            <w:tcW w:w="1260" w:type="dxa"/>
          </w:tcPr>
          <w:p w14:paraId="10AEC2CD"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100.00%</w:t>
            </w:r>
          </w:p>
        </w:tc>
        <w:tc>
          <w:tcPr>
            <w:tcW w:w="1170" w:type="dxa"/>
          </w:tcPr>
          <w:p w14:paraId="1B73EE31" w14:textId="77777777" w:rsidR="00A61D37" w:rsidRDefault="0012125C">
            <w:pPr>
              <w:ind w:left="0"/>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 </w:t>
            </w:r>
          </w:p>
        </w:tc>
        <w:tc>
          <w:tcPr>
            <w:tcW w:w="1496" w:type="dxa"/>
          </w:tcPr>
          <w:p w14:paraId="49859EB9"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3.08</w:t>
            </w:r>
          </w:p>
        </w:tc>
        <w:tc>
          <w:tcPr>
            <w:tcW w:w="1083" w:type="dxa"/>
          </w:tcPr>
          <w:p w14:paraId="2626FFA4"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-1.59%</w:t>
            </w:r>
          </w:p>
        </w:tc>
      </w:tr>
      <w:tr w:rsidR="00A61D37" w14:paraId="1FAE2DD0" w14:textId="77777777" w:rsidTr="00A61D37">
        <w:trPr>
          <w:trHeight w:val="264"/>
        </w:trPr>
        <w:tc>
          <w:tcPr>
            <w:cnfStyle w:val="001000000000" w:firstRow="0" w:lastRow="0" w:firstColumn="1" w:lastColumn="0" w:oddVBand="0" w:evenVBand="0" w:oddHBand="0" w:evenHBand="0" w:firstRowFirstColumn="0" w:firstRowLastColumn="0" w:lastRowFirstColumn="0" w:lastRowLastColumn="0"/>
            <w:tcW w:w="1345" w:type="dxa"/>
          </w:tcPr>
          <w:p w14:paraId="047459AE" w14:textId="77777777" w:rsidR="00A61D37" w:rsidRDefault="0012125C">
            <w:pPr>
              <w:ind w:left="0"/>
              <w:rPr>
                <w:color w:val="000000"/>
                <w:sz w:val="20"/>
                <w:szCs w:val="20"/>
              </w:rPr>
            </w:pPr>
            <w:r>
              <w:rPr>
                <w:color w:val="000000"/>
                <w:sz w:val="20"/>
                <w:szCs w:val="20"/>
              </w:rPr>
              <w:t>Autohtone</w:t>
            </w:r>
          </w:p>
        </w:tc>
        <w:tc>
          <w:tcPr>
            <w:tcW w:w="1530" w:type="dxa"/>
          </w:tcPr>
          <w:p w14:paraId="7EA10AAD"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3,225.21</w:t>
            </w:r>
          </w:p>
        </w:tc>
        <w:tc>
          <w:tcPr>
            <w:tcW w:w="1350" w:type="dxa"/>
          </w:tcPr>
          <w:p w14:paraId="03237DF8"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-28.47%</w:t>
            </w:r>
          </w:p>
        </w:tc>
        <w:tc>
          <w:tcPr>
            <w:tcW w:w="1260" w:type="dxa"/>
          </w:tcPr>
          <w:p w14:paraId="03A454F6"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4.40%</w:t>
            </w:r>
          </w:p>
        </w:tc>
        <w:tc>
          <w:tcPr>
            <w:tcW w:w="1350" w:type="dxa"/>
          </w:tcPr>
          <w:p w14:paraId="525C07E2"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8.37%</w:t>
            </w:r>
          </w:p>
        </w:tc>
        <w:tc>
          <w:tcPr>
            <w:tcW w:w="1170" w:type="dxa"/>
          </w:tcPr>
          <w:p w14:paraId="2FA74182"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1,784.23</w:t>
            </w:r>
          </w:p>
        </w:tc>
        <w:tc>
          <w:tcPr>
            <w:tcW w:w="1170" w:type="dxa"/>
          </w:tcPr>
          <w:p w14:paraId="3E88EFAB"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-37.41%</w:t>
            </w:r>
          </w:p>
        </w:tc>
        <w:tc>
          <w:tcPr>
            <w:tcW w:w="1260" w:type="dxa"/>
          </w:tcPr>
          <w:p w14:paraId="265F4BFD"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7.49%</w:t>
            </w:r>
          </w:p>
        </w:tc>
        <w:tc>
          <w:tcPr>
            <w:tcW w:w="1170" w:type="dxa"/>
          </w:tcPr>
          <w:p w14:paraId="30F2ECB9"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-6.68%</w:t>
            </w:r>
          </w:p>
        </w:tc>
        <w:tc>
          <w:tcPr>
            <w:tcW w:w="1496" w:type="dxa"/>
          </w:tcPr>
          <w:p w14:paraId="72703771"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1.81</w:t>
            </w:r>
          </w:p>
        </w:tc>
        <w:tc>
          <w:tcPr>
            <w:tcW w:w="1083" w:type="dxa"/>
          </w:tcPr>
          <w:p w14:paraId="560BD9C5"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14.29%</w:t>
            </w:r>
          </w:p>
        </w:tc>
      </w:tr>
      <w:tr w:rsidR="00A61D37" w14:paraId="6B58E47C" w14:textId="77777777" w:rsidTr="00A61D37">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345" w:type="dxa"/>
          </w:tcPr>
          <w:p w14:paraId="782056D5" w14:textId="77777777" w:rsidR="00A61D37" w:rsidRDefault="0012125C">
            <w:pPr>
              <w:ind w:left="0"/>
              <w:rPr>
                <w:color w:val="000000"/>
                <w:sz w:val="20"/>
                <w:szCs w:val="20"/>
              </w:rPr>
            </w:pPr>
            <w:r>
              <w:rPr>
                <w:color w:val="000000"/>
                <w:sz w:val="20"/>
                <w:szCs w:val="20"/>
              </w:rPr>
              <w:t>Import total</w:t>
            </w:r>
          </w:p>
        </w:tc>
        <w:tc>
          <w:tcPr>
            <w:tcW w:w="1530" w:type="dxa"/>
          </w:tcPr>
          <w:p w14:paraId="0BB01428"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70,134.21</w:t>
            </w:r>
          </w:p>
        </w:tc>
        <w:tc>
          <w:tcPr>
            <w:tcW w:w="1350" w:type="dxa"/>
          </w:tcPr>
          <w:p w14:paraId="7D01EFDC"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-34.22%</w:t>
            </w:r>
          </w:p>
        </w:tc>
        <w:tc>
          <w:tcPr>
            <w:tcW w:w="1260" w:type="dxa"/>
          </w:tcPr>
          <w:p w14:paraId="4E5BC701"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95.60%</w:t>
            </w:r>
          </w:p>
        </w:tc>
        <w:tc>
          <w:tcPr>
            <w:tcW w:w="1350" w:type="dxa"/>
          </w:tcPr>
          <w:p w14:paraId="31EE4369"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-0.35%</w:t>
            </w:r>
          </w:p>
        </w:tc>
        <w:tc>
          <w:tcPr>
            <w:tcW w:w="1170" w:type="dxa"/>
          </w:tcPr>
          <w:p w14:paraId="1C9CE904"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22,037.36</w:t>
            </w:r>
          </w:p>
        </w:tc>
        <w:tc>
          <w:tcPr>
            <w:tcW w:w="1170" w:type="dxa"/>
          </w:tcPr>
          <w:p w14:paraId="4AA3F813"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-32.54%</w:t>
            </w:r>
          </w:p>
        </w:tc>
        <w:tc>
          <w:tcPr>
            <w:tcW w:w="1260" w:type="dxa"/>
          </w:tcPr>
          <w:p w14:paraId="0F70BE88"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92.51%</w:t>
            </w:r>
          </w:p>
        </w:tc>
        <w:tc>
          <w:tcPr>
            <w:tcW w:w="1170" w:type="dxa"/>
          </w:tcPr>
          <w:p w14:paraId="734A21C6"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0.58%</w:t>
            </w:r>
          </w:p>
        </w:tc>
        <w:tc>
          <w:tcPr>
            <w:tcW w:w="1496" w:type="dxa"/>
          </w:tcPr>
          <w:p w14:paraId="7DFE95DF"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3.18</w:t>
            </w:r>
          </w:p>
        </w:tc>
        <w:tc>
          <w:tcPr>
            <w:tcW w:w="1083" w:type="dxa"/>
          </w:tcPr>
          <w:p w14:paraId="2AC89069"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-2.50%</w:t>
            </w:r>
          </w:p>
        </w:tc>
      </w:tr>
      <w:tr w:rsidR="00A61D37" w14:paraId="6FC9C80C" w14:textId="77777777" w:rsidTr="00A61D37">
        <w:trPr>
          <w:trHeight w:val="264"/>
        </w:trPr>
        <w:tc>
          <w:tcPr>
            <w:cnfStyle w:val="001000000000" w:firstRow="0" w:lastRow="0" w:firstColumn="1" w:lastColumn="0" w:oddVBand="0" w:evenVBand="0" w:oddHBand="0" w:evenHBand="0" w:firstRowFirstColumn="0" w:firstRowLastColumn="0" w:lastRowFirstColumn="0" w:lastRowLastColumn="0"/>
            <w:tcW w:w="1345" w:type="dxa"/>
          </w:tcPr>
          <w:p w14:paraId="4C4248CE" w14:textId="77777777" w:rsidR="00A61D37" w:rsidRDefault="0012125C">
            <w:pPr>
              <w:ind w:left="0"/>
              <w:rPr>
                <w:color w:val="000000"/>
                <w:sz w:val="20"/>
                <w:szCs w:val="20"/>
              </w:rPr>
            </w:pPr>
            <w:r>
              <w:rPr>
                <w:color w:val="000000"/>
                <w:sz w:val="20"/>
                <w:szCs w:val="20"/>
              </w:rPr>
              <w:t>Inclusiv Import UE*</w:t>
            </w:r>
          </w:p>
        </w:tc>
        <w:tc>
          <w:tcPr>
            <w:tcW w:w="1530" w:type="dxa"/>
          </w:tcPr>
          <w:p w14:paraId="25EFE612"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b/>
                <w:color w:val="000000"/>
                <w:sz w:val="20"/>
                <w:szCs w:val="20"/>
              </w:rPr>
              <w:t>56,982.82</w:t>
            </w:r>
          </w:p>
        </w:tc>
        <w:tc>
          <w:tcPr>
            <w:tcW w:w="1350" w:type="dxa"/>
          </w:tcPr>
          <w:p w14:paraId="7F5A1534"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b/>
                <w:color w:val="000000"/>
                <w:sz w:val="20"/>
                <w:szCs w:val="20"/>
              </w:rPr>
              <w:t>-32.60%</w:t>
            </w:r>
          </w:p>
        </w:tc>
        <w:tc>
          <w:tcPr>
            <w:tcW w:w="1260" w:type="dxa"/>
          </w:tcPr>
          <w:p w14:paraId="3DEC75D6"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b/>
                <w:color w:val="000000"/>
                <w:sz w:val="20"/>
                <w:szCs w:val="20"/>
              </w:rPr>
              <w:t>77.67%</w:t>
            </w:r>
          </w:p>
        </w:tc>
        <w:tc>
          <w:tcPr>
            <w:tcW w:w="1350" w:type="dxa"/>
          </w:tcPr>
          <w:p w14:paraId="337155A7"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b/>
                <w:color w:val="000000"/>
                <w:sz w:val="20"/>
                <w:szCs w:val="20"/>
              </w:rPr>
              <w:t> </w:t>
            </w:r>
          </w:p>
        </w:tc>
        <w:tc>
          <w:tcPr>
            <w:tcW w:w="1170" w:type="dxa"/>
          </w:tcPr>
          <w:p w14:paraId="1DEFC960"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b/>
                <w:color w:val="000000"/>
                <w:sz w:val="20"/>
                <w:szCs w:val="20"/>
              </w:rPr>
              <w:t>15,301.02</w:t>
            </w:r>
          </w:p>
        </w:tc>
        <w:tc>
          <w:tcPr>
            <w:tcW w:w="1170" w:type="dxa"/>
          </w:tcPr>
          <w:p w14:paraId="130D3C52"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b/>
                <w:color w:val="000000"/>
                <w:sz w:val="20"/>
                <w:szCs w:val="20"/>
              </w:rPr>
              <w:t>-25.42%</w:t>
            </w:r>
          </w:p>
        </w:tc>
        <w:tc>
          <w:tcPr>
            <w:tcW w:w="1260" w:type="dxa"/>
          </w:tcPr>
          <w:p w14:paraId="7DCFE476"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b/>
                <w:color w:val="000000"/>
                <w:sz w:val="20"/>
                <w:szCs w:val="20"/>
              </w:rPr>
              <w:t>64.23%</w:t>
            </w:r>
          </w:p>
        </w:tc>
        <w:tc>
          <w:tcPr>
            <w:tcW w:w="1170" w:type="dxa"/>
          </w:tcPr>
          <w:p w14:paraId="2B7C786E"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b/>
                <w:color w:val="000000"/>
                <w:sz w:val="20"/>
                <w:szCs w:val="20"/>
              </w:rPr>
              <w:t> </w:t>
            </w:r>
          </w:p>
        </w:tc>
        <w:tc>
          <w:tcPr>
            <w:tcW w:w="1496" w:type="dxa"/>
          </w:tcPr>
          <w:p w14:paraId="6124EDA6"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b/>
                <w:color w:val="000000"/>
                <w:sz w:val="20"/>
                <w:szCs w:val="20"/>
              </w:rPr>
              <w:t>3.72</w:t>
            </w:r>
          </w:p>
        </w:tc>
        <w:tc>
          <w:tcPr>
            <w:tcW w:w="1083" w:type="dxa"/>
          </w:tcPr>
          <w:p w14:paraId="60BDE367"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b/>
                <w:color w:val="000000"/>
                <w:sz w:val="20"/>
                <w:szCs w:val="20"/>
              </w:rPr>
              <w:t>-9.63%</w:t>
            </w:r>
          </w:p>
        </w:tc>
      </w:tr>
    </w:tbl>
    <w:p w14:paraId="2B0C6833" w14:textId="77777777" w:rsidR="00A61D37" w:rsidRDefault="0012125C">
      <w:pPr>
        <w:spacing w:after="0" w:line="240" w:lineRule="auto"/>
        <w:ind w:left="0"/>
        <w:rPr>
          <w:color w:val="000000"/>
          <w:sz w:val="20"/>
          <w:szCs w:val="20"/>
        </w:rPr>
      </w:pPr>
      <w:r>
        <w:rPr>
          <w:color w:val="000000"/>
          <w:sz w:val="20"/>
          <w:szCs w:val="20"/>
        </w:rPr>
        <w:t>Nota: *- Cota de piata se estimeaza din Total piata in valoare si in volume corespunzator.</w:t>
      </w:r>
    </w:p>
    <w:p w14:paraId="16063F7A" w14:textId="77777777" w:rsidR="00A61D37" w:rsidRDefault="00A61D37">
      <w:pPr>
        <w:spacing w:after="0" w:line="240" w:lineRule="auto"/>
        <w:ind w:left="0"/>
        <w:rPr>
          <w:color w:val="000000"/>
          <w:sz w:val="20"/>
          <w:szCs w:val="20"/>
        </w:rPr>
      </w:pPr>
    </w:p>
    <w:p w14:paraId="08BDE1B9" w14:textId="77777777" w:rsidR="00A61D37" w:rsidRDefault="00A61D37">
      <w:pPr>
        <w:spacing w:after="0" w:line="240" w:lineRule="auto"/>
        <w:ind w:left="0"/>
        <w:rPr>
          <w:color w:val="000000"/>
          <w:sz w:val="20"/>
          <w:szCs w:val="20"/>
        </w:rPr>
      </w:pPr>
    </w:p>
    <w:p w14:paraId="778924BC" w14:textId="77777777" w:rsidR="00A61D37" w:rsidRDefault="00A61D37">
      <w:pPr>
        <w:spacing w:after="0" w:line="240" w:lineRule="auto"/>
        <w:ind w:left="0"/>
        <w:rPr>
          <w:color w:val="000000"/>
          <w:sz w:val="20"/>
          <w:szCs w:val="20"/>
        </w:rPr>
      </w:pPr>
    </w:p>
    <w:p w14:paraId="635338C8" w14:textId="77777777" w:rsidR="00A61D37" w:rsidRDefault="00A61D37">
      <w:pPr>
        <w:spacing w:after="0" w:line="240" w:lineRule="auto"/>
        <w:ind w:left="0"/>
        <w:rPr>
          <w:color w:val="000000"/>
          <w:sz w:val="20"/>
          <w:szCs w:val="20"/>
        </w:rPr>
      </w:pPr>
      <w:bookmarkStart w:id="0" w:name="_heading=h.gjdgxs" w:colFirst="0" w:colLast="0"/>
      <w:bookmarkEnd w:id="0"/>
    </w:p>
    <w:p w14:paraId="0AB62D7F" w14:textId="77777777" w:rsidR="00A61D37" w:rsidRDefault="0012125C">
      <w:pPr>
        <w:spacing w:after="0" w:line="240" w:lineRule="auto"/>
        <w:ind w:left="0"/>
        <w:rPr>
          <w:color w:val="000000"/>
          <w:sz w:val="20"/>
          <w:szCs w:val="20"/>
        </w:rPr>
      </w:pPr>
      <w:r>
        <w:rPr>
          <w:color w:val="000000"/>
          <w:sz w:val="20"/>
          <w:szCs w:val="20"/>
        </w:rPr>
        <w:t>Evolutia consumului de medicamente OTC in farmacii, 2020 vs.2011</w:t>
      </w:r>
    </w:p>
    <w:tbl>
      <w:tblPr>
        <w:tblStyle w:val="a0"/>
        <w:tblW w:w="13948" w:type="dxa"/>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345"/>
        <w:gridCol w:w="1530"/>
        <w:gridCol w:w="1350"/>
        <w:gridCol w:w="1260"/>
        <w:gridCol w:w="1350"/>
        <w:gridCol w:w="1170"/>
        <w:gridCol w:w="1170"/>
        <w:gridCol w:w="1260"/>
        <w:gridCol w:w="1170"/>
        <w:gridCol w:w="1260"/>
        <w:gridCol w:w="1083"/>
      </w:tblGrid>
      <w:tr w:rsidR="00A61D37" w14:paraId="09D0B011" w14:textId="77777777" w:rsidTr="00A61D37">
        <w:trPr>
          <w:cnfStyle w:val="100000000000" w:firstRow="1" w:lastRow="0" w:firstColumn="0" w:lastColumn="0" w:oddVBand="0" w:evenVBand="0" w:oddHBand="0"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345" w:type="dxa"/>
            <w:vAlign w:val="center"/>
          </w:tcPr>
          <w:p w14:paraId="09FC16A4" w14:textId="77777777" w:rsidR="00A61D37" w:rsidRDefault="0012125C">
            <w:pPr>
              <w:ind w:left="0"/>
              <w:jc w:val="center"/>
              <w:rPr>
                <w:color w:val="000000"/>
                <w:sz w:val="20"/>
                <w:szCs w:val="20"/>
              </w:rPr>
            </w:pPr>
            <w:r>
              <w:rPr>
                <w:color w:val="000000"/>
                <w:sz w:val="20"/>
                <w:szCs w:val="20"/>
              </w:rPr>
              <w:t>Imp./Aut.</w:t>
            </w:r>
          </w:p>
        </w:tc>
        <w:tc>
          <w:tcPr>
            <w:tcW w:w="1530" w:type="dxa"/>
            <w:vAlign w:val="center"/>
          </w:tcPr>
          <w:p w14:paraId="26FD3938"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Valoare vanzari, kEUR</w:t>
            </w:r>
          </w:p>
        </w:tc>
        <w:tc>
          <w:tcPr>
            <w:tcW w:w="1350" w:type="dxa"/>
            <w:vAlign w:val="center"/>
          </w:tcPr>
          <w:p w14:paraId="5B88D031"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Rata de crestere valoare vanzari, %</w:t>
            </w:r>
          </w:p>
        </w:tc>
        <w:tc>
          <w:tcPr>
            <w:tcW w:w="1260" w:type="dxa"/>
            <w:vAlign w:val="center"/>
          </w:tcPr>
          <w:p w14:paraId="2AA7C025"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Cota de piata valoare vanzari, %</w:t>
            </w:r>
          </w:p>
        </w:tc>
        <w:tc>
          <w:tcPr>
            <w:tcW w:w="1350" w:type="dxa"/>
            <w:vAlign w:val="center"/>
          </w:tcPr>
          <w:p w14:paraId="008304D7"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Rata de crestere a cotei de piata valoare vanzari,%</w:t>
            </w:r>
          </w:p>
        </w:tc>
        <w:tc>
          <w:tcPr>
            <w:tcW w:w="1170" w:type="dxa"/>
            <w:vAlign w:val="center"/>
          </w:tcPr>
          <w:p w14:paraId="3D5D64D4"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Volume vanzari, kcutii</w:t>
            </w:r>
          </w:p>
        </w:tc>
        <w:tc>
          <w:tcPr>
            <w:tcW w:w="1170" w:type="dxa"/>
            <w:vAlign w:val="center"/>
          </w:tcPr>
          <w:p w14:paraId="42F1DFC0"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Rata de cretere volume vanzari,%</w:t>
            </w:r>
          </w:p>
        </w:tc>
        <w:tc>
          <w:tcPr>
            <w:tcW w:w="1260" w:type="dxa"/>
            <w:vAlign w:val="center"/>
          </w:tcPr>
          <w:p w14:paraId="542199AC"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Cota de piata volume vanzari, %</w:t>
            </w:r>
          </w:p>
        </w:tc>
        <w:tc>
          <w:tcPr>
            <w:tcW w:w="1170" w:type="dxa"/>
            <w:vAlign w:val="center"/>
          </w:tcPr>
          <w:p w14:paraId="28113BEB"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Rata de crestere a cotei de piata volume vanzari,%</w:t>
            </w:r>
          </w:p>
        </w:tc>
        <w:tc>
          <w:tcPr>
            <w:tcW w:w="1260" w:type="dxa"/>
            <w:vAlign w:val="center"/>
          </w:tcPr>
          <w:p w14:paraId="38347772"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Pretul  mediu raportat la volumul vanzari, EUR</w:t>
            </w:r>
          </w:p>
        </w:tc>
        <w:tc>
          <w:tcPr>
            <w:tcW w:w="1083" w:type="dxa"/>
            <w:vAlign w:val="center"/>
          </w:tcPr>
          <w:p w14:paraId="4FD7186B"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Rata de crestere a pretului mediu,%</w:t>
            </w:r>
          </w:p>
        </w:tc>
      </w:tr>
      <w:tr w:rsidR="00A61D37" w14:paraId="2CDCA156" w14:textId="77777777" w:rsidTr="00A61D37">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345" w:type="dxa"/>
          </w:tcPr>
          <w:p w14:paraId="25FF44EF" w14:textId="77777777" w:rsidR="00A61D37" w:rsidRDefault="0012125C">
            <w:pPr>
              <w:ind w:left="0"/>
              <w:rPr>
                <w:color w:val="000000"/>
                <w:sz w:val="20"/>
                <w:szCs w:val="20"/>
              </w:rPr>
            </w:pPr>
            <w:r>
              <w:rPr>
                <w:color w:val="000000"/>
                <w:sz w:val="20"/>
                <w:szCs w:val="20"/>
              </w:rPr>
              <w:t>Total</w:t>
            </w:r>
          </w:p>
        </w:tc>
        <w:tc>
          <w:tcPr>
            <w:tcW w:w="1530" w:type="dxa"/>
            <w:vAlign w:val="bottom"/>
          </w:tcPr>
          <w:p w14:paraId="4D04469C"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53,267.75</w:t>
            </w:r>
          </w:p>
        </w:tc>
        <w:tc>
          <w:tcPr>
            <w:tcW w:w="1350" w:type="dxa"/>
            <w:vAlign w:val="bottom"/>
          </w:tcPr>
          <w:p w14:paraId="3815BAF2"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-25.54%</w:t>
            </w:r>
          </w:p>
        </w:tc>
        <w:tc>
          <w:tcPr>
            <w:tcW w:w="1260" w:type="dxa"/>
            <w:vAlign w:val="bottom"/>
          </w:tcPr>
          <w:p w14:paraId="34B19B73"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100.00%</w:t>
            </w:r>
          </w:p>
        </w:tc>
        <w:tc>
          <w:tcPr>
            <w:tcW w:w="1350" w:type="dxa"/>
            <w:vAlign w:val="bottom"/>
          </w:tcPr>
          <w:p w14:paraId="1CA553D6" w14:textId="77777777" w:rsidR="00A61D37" w:rsidRDefault="0012125C">
            <w:pPr>
              <w:ind w:left="0"/>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 </w:t>
            </w:r>
          </w:p>
        </w:tc>
        <w:tc>
          <w:tcPr>
            <w:tcW w:w="1170" w:type="dxa"/>
            <w:vAlign w:val="bottom"/>
          </w:tcPr>
          <w:p w14:paraId="0D8DF00B"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24,114.84</w:t>
            </w:r>
          </w:p>
        </w:tc>
        <w:tc>
          <w:tcPr>
            <w:tcW w:w="1170" w:type="dxa"/>
            <w:vAlign w:val="bottom"/>
          </w:tcPr>
          <w:p w14:paraId="193E8B6C"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-36.56%</w:t>
            </w:r>
          </w:p>
        </w:tc>
        <w:tc>
          <w:tcPr>
            <w:tcW w:w="1260" w:type="dxa"/>
            <w:vAlign w:val="bottom"/>
          </w:tcPr>
          <w:p w14:paraId="0F777545"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100.00%</w:t>
            </w:r>
          </w:p>
        </w:tc>
        <w:tc>
          <w:tcPr>
            <w:tcW w:w="1170" w:type="dxa"/>
            <w:vAlign w:val="bottom"/>
          </w:tcPr>
          <w:p w14:paraId="74DA9308" w14:textId="77777777" w:rsidR="00A61D37" w:rsidRDefault="0012125C">
            <w:pPr>
              <w:ind w:left="0"/>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 </w:t>
            </w:r>
          </w:p>
        </w:tc>
        <w:tc>
          <w:tcPr>
            <w:tcW w:w="1260" w:type="dxa"/>
            <w:vAlign w:val="bottom"/>
          </w:tcPr>
          <w:p w14:paraId="0047983D"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2.21</w:t>
            </w:r>
          </w:p>
        </w:tc>
        <w:tc>
          <w:tcPr>
            <w:tcW w:w="1083" w:type="dxa"/>
            <w:vAlign w:val="bottom"/>
          </w:tcPr>
          <w:p w14:paraId="55A8193A"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b/>
                <w:color w:val="000000"/>
                <w:sz w:val="20"/>
                <w:szCs w:val="20"/>
              </w:rPr>
            </w:pPr>
            <w:r>
              <w:rPr>
                <w:b/>
                <w:color w:val="000000"/>
                <w:sz w:val="20"/>
                <w:szCs w:val="20"/>
              </w:rPr>
              <w:t>17.38%</w:t>
            </w:r>
          </w:p>
        </w:tc>
      </w:tr>
      <w:tr w:rsidR="00A61D37" w14:paraId="204AD850" w14:textId="77777777" w:rsidTr="00A61D37">
        <w:trPr>
          <w:trHeight w:val="264"/>
        </w:trPr>
        <w:tc>
          <w:tcPr>
            <w:cnfStyle w:val="001000000000" w:firstRow="0" w:lastRow="0" w:firstColumn="1" w:lastColumn="0" w:oddVBand="0" w:evenVBand="0" w:oddHBand="0" w:evenHBand="0" w:firstRowFirstColumn="0" w:firstRowLastColumn="0" w:lastRowFirstColumn="0" w:lastRowLastColumn="0"/>
            <w:tcW w:w="1345" w:type="dxa"/>
          </w:tcPr>
          <w:p w14:paraId="27262B3F" w14:textId="77777777" w:rsidR="00A61D37" w:rsidRDefault="0012125C">
            <w:pPr>
              <w:ind w:left="0"/>
              <w:rPr>
                <w:color w:val="000000"/>
                <w:sz w:val="20"/>
                <w:szCs w:val="20"/>
              </w:rPr>
            </w:pPr>
            <w:r>
              <w:rPr>
                <w:color w:val="000000"/>
                <w:sz w:val="20"/>
                <w:szCs w:val="20"/>
              </w:rPr>
              <w:t>Autohtone</w:t>
            </w:r>
          </w:p>
        </w:tc>
        <w:tc>
          <w:tcPr>
            <w:tcW w:w="1530" w:type="dxa"/>
            <w:vAlign w:val="bottom"/>
          </w:tcPr>
          <w:p w14:paraId="7E55E2E7"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4,260.39</w:t>
            </w:r>
          </w:p>
        </w:tc>
        <w:tc>
          <w:tcPr>
            <w:tcW w:w="1350" w:type="dxa"/>
            <w:vAlign w:val="bottom"/>
          </w:tcPr>
          <w:p w14:paraId="3FEEC203"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-20.47%</w:t>
            </w:r>
          </w:p>
        </w:tc>
        <w:tc>
          <w:tcPr>
            <w:tcW w:w="1260" w:type="dxa"/>
            <w:vAlign w:val="bottom"/>
          </w:tcPr>
          <w:p w14:paraId="4595BDF0"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8.00%</w:t>
            </w:r>
          </w:p>
        </w:tc>
        <w:tc>
          <w:tcPr>
            <w:tcW w:w="1350" w:type="dxa"/>
            <w:vAlign w:val="bottom"/>
          </w:tcPr>
          <w:p w14:paraId="1CA479A8"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6.81%</w:t>
            </w:r>
          </w:p>
        </w:tc>
        <w:tc>
          <w:tcPr>
            <w:tcW w:w="1170" w:type="dxa"/>
            <w:vAlign w:val="bottom"/>
          </w:tcPr>
          <w:p w14:paraId="6CDBD0DC"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4,215.68</w:t>
            </w:r>
          </w:p>
        </w:tc>
        <w:tc>
          <w:tcPr>
            <w:tcW w:w="1170" w:type="dxa"/>
            <w:vAlign w:val="bottom"/>
          </w:tcPr>
          <w:p w14:paraId="47E875EB"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-39.57%</w:t>
            </w:r>
          </w:p>
        </w:tc>
        <w:tc>
          <w:tcPr>
            <w:tcW w:w="1260" w:type="dxa"/>
            <w:vAlign w:val="bottom"/>
          </w:tcPr>
          <w:p w14:paraId="3C0084B9"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17.48%</w:t>
            </w:r>
          </w:p>
        </w:tc>
        <w:tc>
          <w:tcPr>
            <w:tcW w:w="1170" w:type="dxa"/>
            <w:vAlign w:val="bottom"/>
          </w:tcPr>
          <w:p w14:paraId="7AF08A90"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-4.74%</w:t>
            </w:r>
          </w:p>
        </w:tc>
        <w:tc>
          <w:tcPr>
            <w:tcW w:w="1260" w:type="dxa"/>
            <w:vAlign w:val="bottom"/>
          </w:tcPr>
          <w:p w14:paraId="7900C2F3"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1.01</w:t>
            </w:r>
          </w:p>
        </w:tc>
        <w:tc>
          <w:tcPr>
            <w:tcW w:w="1083" w:type="dxa"/>
            <w:vAlign w:val="bottom"/>
          </w:tcPr>
          <w:p w14:paraId="2D43E23C"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31.60%</w:t>
            </w:r>
          </w:p>
        </w:tc>
      </w:tr>
      <w:tr w:rsidR="00A61D37" w14:paraId="61BD8C63" w14:textId="77777777" w:rsidTr="00A61D37">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345" w:type="dxa"/>
          </w:tcPr>
          <w:p w14:paraId="72593799" w14:textId="77777777" w:rsidR="00A61D37" w:rsidRDefault="0012125C">
            <w:pPr>
              <w:ind w:left="0"/>
              <w:rPr>
                <w:color w:val="000000"/>
                <w:sz w:val="20"/>
                <w:szCs w:val="20"/>
              </w:rPr>
            </w:pPr>
            <w:r>
              <w:rPr>
                <w:color w:val="000000"/>
                <w:sz w:val="20"/>
                <w:szCs w:val="20"/>
              </w:rPr>
              <w:t>Import total</w:t>
            </w:r>
          </w:p>
        </w:tc>
        <w:tc>
          <w:tcPr>
            <w:tcW w:w="1530" w:type="dxa"/>
            <w:vAlign w:val="bottom"/>
          </w:tcPr>
          <w:p w14:paraId="63B6CDCF"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49,007.36</w:t>
            </w:r>
          </w:p>
        </w:tc>
        <w:tc>
          <w:tcPr>
            <w:tcW w:w="1350" w:type="dxa"/>
            <w:vAlign w:val="bottom"/>
          </w:tcPr>
          <w:p w14:paraId="77026752"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-25.95%</w:t>
            </w:r>
          </w:p>
        </w:tc>
        <w:tc>
          <w:tcPr>
            <w:tcW w:w="1260" w:type="dxa"/>
            <w:vAlign w:val="bottom"/>
          </w:tcPr>
          <w:p w14:paraId="3242AEEC"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92.00%</w:t>
            </w:r>
          </w:p>
        </w:tc>
        <w:tc>
          <w:tcPr>
            <w:tcW w:w="1350" w:type="dxa"/>
            <w:vAlign w:val="bottom"/>
          </w:tcPr>
          <w:p w14:paraId="433D7092"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-0.55%</w:t>
            </w:r>
          </w:p>
        </w:tc>
        <w:tc>
          <w:tcPr>
            <w:tcW w:w="1170" w:type="dxa"/>
            <w:vAlign w:val="bottom"/>
          </w:tcPr>
          <w:p w14:paraId="27146CE7"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19,899.15</w:t>
            </w:r>
          </w:p>
        </w:tc>
        <w:tc>
          <w:tcPr>
            <w:tcW w:w="1170" w:type="dxa"/>
            <w:vAlign w:val="bottom"/>
          </w:tcPr>
          <w:p w14:paraId="55A2A7EB"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-35.89%</w:t>
            </w:r>
          </w:p>
        </w:tc>
        <w:tc>
          <w:tcPr>
            <w:tcW w:w="1260" w:type="dxa"/>
            <w:vAlign w:val="bottom"/>
          </w:tcPr>
          <w:p w14:paraId="5C10BF95"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82.52%</w:t>
            </w:r>
          </w:p>
        </w:tc>
        <w:tc>
          <w:tcPr>
            <w:tcW w:w="1170" w:type="dxa"/>
            <w:vAlign w:val="bottom"/>
          </w:tcPr>
          <w:p w14:paraId="09928F79"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1.06%</w:t>
            </w:r>
          </w:p>
        </w:tc>
        <w:tc>
          <w:tcPr>
            <w:tcW w:w="1260" w:type="dxa"/>
            <w:vAlign w:val="bottom"/>
          </w:tcPr>
          <w:p w14:paraId="5696CE5A"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2.46</w:t>
            </w:r>
          </w:p>
        </w:tc>
        <w:tc>
          <w:tcPr>
            <w:tcW w:w="1083" w:type="dxa"/>
            <w:vAlign w:val="bottom"/>
          </w:tcPr>
          <w:p w14:paraId="727731C7"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15.50%</w:t>
            </w:r>
          </w:p>
        </w:tc>
      </w:tr>
      <w:tr w:rsidR="00A61D37" w14:paraId="3C081829" w14:textId="77777777" w:rsidTr="00A61D37">
        <w:trPr>
          <w:trHeight w:val="264"/>
        </w:trPr>
        <w:tc>
          <w:tcPr>
            <w:cnfStyle w:val="001000000000" w:firstRow="0" w:lastRow="0" w:firstColumn="1" w:lastColumn="0" w:oddVBand="0" w:evenVBand="0" w:oddHBand="0" w:evenHBand="0" w:firstRowFirstColumn="0" w:firstRowLastColumn="0" w:lastRowFirstColumn="0" w:lastRowLastColumn="0"/>
            <w:tcW w:w="1345" w:type="dxa"/>
          </w:tcPr>
          <w:p w14:paraId="3FBF9DC9" w14:textId="77777777" w:rsidR="00A61D37" w:rsidRDefault="0012125C">
            <w:pPr>
              <w:ind w:left="0"/>
              <w:rPr>
                <w:color w:val="000000"/>
                <w:sz w:val="20"/>
                <w:szCs w:val="20"/>
              </w:rPr>
            </w:pPr>
            <w:r>
              <w:rPr>
                <w:color w:val="000000"/>
                <w:sz w:val="20"/>
                <w:szCs w:val="20"/>
              </w:rPr>
              <w:t>Inclusiv Import UE*</w:t>
            </w:r>
          </w:p>
        </w:tc>
        <w:tc>
          <w:tcPr>
            <w:tcW w:w="1530" w:type="dxa"/>
          </w:tcPr>
          <w:p w14:paraId="35151078"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33,075.62</w:t>
            </w:r>
          </w:p>
        </w:tc>
        <w:tc>
          <w:tcPr>
            <w:tcW w:w="1350" w:type="dxa"/>
          </w:tcPr>
          <w:p w14:paraId="0425AD61"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-29.36%</w:t>
            </w:r>
          </w:p>
        </w:tc>
        <w:tc>
          <w:tcPr>
            <w:tcW w:w="1260" w:type="dxa"/>
          </w:tcPr>
          <w:p w14:paraId="3479174A"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62.09%</w:t>
            </w:r>
          </w:p>
        </w:tc>
        <w:tc>
          <w:tcPr>
            <w:tcW w:w="1350" w:type="dxa"/>
          </w:tcPr>
          <w:p w14:paraId="247F3C70" w14:textId="77777777" w:rsidR="00A61D37" w:rsidRDefault="00A61D37">
            <w:pPr>
              <w:ind w:left="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p>
        </w:tc>
        <w:tc>
          <w:tcPr>
            <w:tcW w:w="1170" w:type="dxa"/>
          </w:tcPr>
          <w:p w14:paraId="403E6443"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11,363.86</w:t>
            </w:r>
          </w:p>
        </w:tc>
        <w:tc>
          <w:tcPr>
            <w:tcW w:w="1170" w:type="dxa"/>
          </w:tcPr>
          <w:p w14:paraId="3499346F"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-41.39%</w:t>
            </w:r>
          </w:p>
        </w:tc>
        <w:tc>
          <w:tcPr>
            <w:tcW w:w="1260" w:type="dxa"/>
          </w:tcPr>
          <w:p w14:paraId="747D54D9"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47.12%</w:t>
            </w:r>
          </w:p>
        </w:tc>
        <w:tc>
          <w:tcPr>
            <w:tcW w:w="1170" w:type="dxa"/>
          </w:tcPr>
          <w:p w14:paraId="072CF076" w14:textId="77777777" w:rsidR="00A61D37" w:rsidRDefault="00A61D37">
            <w:pPr>
              <w:ind w:left="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p>
        </w:tc>
        <w:tc>
          <w:tcPr>
            <w:tcW w:w="1260" w:type="dxa"/>
          </w:tcPr>
          <w:p w14:paraId="62119A6F"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2.91</w:t>
            </w:r>
          </w:p>
        </w:tc>
        <w:tc>
          <w:tcPr>
            <w:tcW w:w="1083" w:type="dxa"/>
          </w:tcPr>
          <w:p w14:paraId="585E7DAC"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b/>
                <w:color w:val="000000"/>
                <w:sz w:val="20"/>
                <w:szCs w:val="20"/>
              </w:rPr>
            </w:pPr>
            <w:r>
              <w:rPr>
                <w:b/>
                <w:color w:val="000000"/>
                <w:sz w:val="20"/>
                <w:szCs w:val="20"/>
              </w:rPr>
              <w:t>20.54%</w:t>
            </w:r>
          </w:p>
        </w:tc>
      </w:tr>
    </w:tbl>
    <w:p w14:paraId="1D93AD38" w14:textId="77777777" w:rsidR="00A61D37" w:rsidRDefault="0012125C">
      <w:pPr>
        <w:spacing w:after="0" w:line="240" w:lineRule="auto"/>
        <w:ind w:left="0"/>
        <w:rPr>
          <w:color w:val="000000"/>
          <w:sz w:val="20"/>
          <w:szCs w:val="20"/>
        </w:rPr>
      </w:pPr>
      <w:r>
        <w:rPr>
          <w:color w:val="000000"/>
          <w:sz w:val="20"/>
          <w:szCs w:val="20"/>
        </w:rPr>
        <w:t>Nota: *- Cota de piata se estimeaza din Total piata in valoare si in volume corespunzator.</w:t>
      </w:r>
    </w:p>
    <w:p w14:paraId="45690C65" w14:textId="77777777" w:rsidR="00A61D37" w:rsidRDefault="00A61D37">
      <w:pPr>
        <w:spacing w:after="0" w:line="240" w:lineRule="auto"/>
        <w:ind w:left="0"/>
        <w:rPr>
          <w:color w:val="000000"/>
          <w:sz w:val="20"/>
          <w:szCs w:val="20"/>
        </w:rPr>
      </w:pPr>
    </w:p>
    <w:p w14:paraId="6A0D4A5E" w14:textId="77777777" w:rsidR="00A61D37" w:rsidRDefault="00A61D37">
      <w:pPr>
        <w:spacing w:after="0" w:line="240" w:lineRule="auto"/>
        <w:ind w:left="0"/>
        <w:rPr>
          <w:color w:val="000000"/>
          <w:sz w:val="20"/>
          <w:szCs w:val="20"/>
        </w:rPr>
      </w:pPr>
    </w:p>
    <w:p w14:paraId="1AEAE386" w14:textId="77777777" w:rsidR="00A61D37" w:rsidRDefault="00A61D37">
      <w:pPr>
        <w:spacing w:after="0" w:line="240" w:lineRule="auto"/>
        <w:ind w:left="0"/>
        <w:rPr>
          <w:color w:val="000000"/>
          <w:sz w:val="20"/>
          <w:szCs w:val="20"/>
        </w:rPr>
      </w:pPr>
    </w:p>
    <w:p w14:paraId="40274A52" w14:textId="77777777" w:rsidR="00A61D37" w:rsidRDefault="00A61D37">
      <w:pPr>
        <w:spacing w:after="0" w:line="240" w:lineRule="auto"/>
        <w:ind w:left="0"/>
        <w:rPr>
          <w:color w:val="000000"/>
          <w:sz w:val="20"/>
          <w:szCs w:val="20"/>
        </w:rPr>
      </w:pPr>
    </w:p>
    <w:p w14:paraId="3E5AFFEF" w14:textId="77777777" w:rsidR="00A61D37" w:rsidRDefault="00A61D37">
      <w:pPr>
        <w:spacing w:after="0" w:line="240" w:lineRule="auto"/>
        <w:ind w:left="0"/>
        <w:rPr>
          <w:color w:val="000000"/>
          <w:sz w:val="20"/>
          <w:szCs w:val="20"/>
        </w:rPr>
      </w:pPr>
    </w:p>
    <w:p w14:paraId="44194CFD" w14:textId="77777777" w:rsidR="00A61D37" w:rsidRDefault="00A61D37">
      <w:pPr>
        <w:spacing w:after="0" w:line="240" w:lineRule="auto"/>
        <w:ind w:left="0"/>
        <w:rPr>
          <w:color w:val="000000"/>
          <w:sz w:val="20"/>
          <w:szCs w:val="20"/>
        </w:rPr>
      </w:pPr>
    </w:p>
    <w:p w14:paraId="19AB6599" w14:textId="77777777" w:rsidR="00A61D37" w:rsidRDefault="0012125C">
      <w:pPr>
        <w:spacing w:after="0" w:line="240" w:lineRule="auto"/>
        <w:ind w:left="0"/>
        <w:rPr>
          <w:color w:val="000000"/>
          <w:sz w:val="20"/>
          <w:szCs w:val="20"/>
        </w:rPr>
      </w:pPr>
      <w:r>
        <w:rPr>
          <w:color w:val="000000"/>
          <w:sz w:val="20"/>
          <w:szCs w:val="20"/>
        </w:rPr>
        <w:t>Evolutia asortimentului de medicamente Rx in farmacii, 2020 vs.2011</w:t>
      </w:r>
    </w:p>
    <w:tbl>
      <w:tblPr>
        <w:tblStyle w:val="a1"/>
        <w:tblW w:w="15126" w:type="dxa"/>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3026"/>
        <w:gridCol w:w="3025"/>
        <w:gridCol w:w="3025"/>
        <w:gridCol w:w="3025"/>
        <w:gridCol w:w="3025"/>
      </w:tblGrid>
      <w:tr w:rsidR="00A61D37" w14:paraId="2A6DEE0B" w14:textId="77777777" w:rsidTr="00A61D37">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026" w:type="dxa"/>
          </w:tcPr>
          <w:p w14:paraId="5F655055" w14:textId="77777777" w:rsidR="00A61D37" w:rsidRDefault="0012125C">
            <w:pPr>
              <w:ind w:left="0"/>
              <w:jc w:val="center"/>
              <w:rPr>
                <w:color w:val="000000"/>
                <w:sz w:val="20"/>
                <w:szCs w:val="20"/>
              </w:rPr>
            </w:pPr>
            <w:r>
              <w:rPr>
                <w:color w:val="000000"/>
                <w:sz w:val="20"/>
                <w:szCs w:val="20"/>
              </w:rPr>
              <w:t>Tip</w:t>
            </w:r>
          </w:p>
        </w:tc>
        <w:tc>
          <w:tcPr>
            <w:tcW w:w="3025" w:type="dxa"/>
          </w:tcPr>
          <w:p w14:paraId="4CC7BE18"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Numar de unitati de evidenta stoc, abs.</w:t>
            </w:r>
          </w:p>
        </w:tc>
        <w:tc>
          <w:tcPr>
            <w:tcW w:w="3025" w:type="dxa"/>
          </w:tcPr>
          <w:p w14:paraId="25D48A2B"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Pret mediu raportat la volum, EUR</w:t>
            </w:r>
          </w:p>
        </w:tc>
        <w:tc>
          <w:tcPr>
            <w:tcW w:w="3025" w:type="dxa"/>
          </w:tcPr>
          <w:p w14:paraId="65C5593A"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Valoare vanzari, kEUR</w:t>
            </w:r>
          </w:p>
        </w:tc>
        <w:tc>
          <w:tcPr>
            <w:tcW w:w="3025" w:type="dxa"/>
          </w:tcPr>
          <w:p w14:paraId="5EFCFC75"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Volume vanzari, kcutii</w:t>
            </w:r>
          </w:p>
        </w:tc>
      </w:tr>
      <w:tr w:rsidR="00A61D37" w14:paraId="299BCE39" w14:textId="77777777" w:rsidTr="00A61D3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026" w:type="dxa"/>
          </w:tcPr>
          <w:p w14:paraId="5651F828" w14:textId="77777777" w:rsidR="00A61D37" w:rsidRDefault="0012125C">
            <w:pPr>
              <w:ind w:left="0"/>
              <w:rPr>
                <w:color w:val="000000"/>
                <w:sz w:val="20"/>
                <w:szCs w:val="20"/>
              </w:rPr>
            </w:pPr>
            <w:r>
              <w:rPr>
                <w:color w:val="000000"/>
                <w:sz w:val="20"/>
                <w:szCs w:val="20"/>
              </w:rPr>
              <w:t>Asortiment constant</w:t>
            </w:r>
          </w:p>
        </w:tc>
        <w:tc>
          <w:tcPr>
            <w:tcW w:w="3025" w:type="dxa"/>
          </w:tcPr>
          <w:p w14:paraId="21AA0068"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1184</w:t>
            </w:r>
          </w:p>
        </w:tc>
        <w:tc>
          <w:tcPr>
            <w:tcW w:w="3025" w:type="dxa"/>
          </w:tcPr>
          <w:p w14:paraId="11DE6283"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2.97</w:t>
            </w:r>
          </w:p>
        </w:tc>
        <w:tc>
          <w:tcPr>
            <w:tcW w:w="3025" w:type="dxa"/>
          </w:tcPr>
          <w:p w14:paraId="1B75EF11"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41,806.05</w:t>
            </w:r>
          </w:p>
        </w:tc>
        <w:tc>
          <w:tcPr>
            <w:tcW w:w="3025" w:type="dxa"/>
          </w:tcPr>
          <w:p w14:paraId="166130DA"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14,084.30</w:t>
            </w:r>
          </w:p>
        </w:tc>
      </w:tr>
      <w:tr w:rsidR="00A61D37" w14:paraId="628EB24D" w14:textId="77777777" w:rsidTr="00A61D37">
        <w:trPr>
          <w:trHeight w:val="576"/>
        </w:trPr>
        <w:tc>
          <w:tcPr>
            <w:cnfStyle w:val="001000000000" w:firstRow="0" w:lastRow="0" w:firstColumn="1" w:lastColumn="0" w:oddVBand="0" w:evenVBand="0" w:oddHBand="0" w:evenHBand="0" w:firstRowFirstColumn="0" w:firstRowLastColumn="0" w:lastRowFirstColumn="0" w:lastRowLastColumn="0"/>
            <w:tcW w:w="3026" w:type="dxa"/>
          </w:tcPr>
          <w:p w14:paraId="59432EEE" w14:textId="77777777" w:rsidR="00A61D37" w:rsidRDefault="0012125C">
            <w:pPr>
              <w:ind w:left="0"/>
              <w:rPr>
                <w:color w:val="000000"/>
                <w:sz w:val="20"/>
                <w:szCs w:val="20"/>
              </w:rPr>
            </w:pPr>
            <w:r>
              <w:rPr>
                <w:color w:val="000000"/>
                <w:sz w:val="20"/>
                <w:szCs w:val="20"/>
              </w:rPr>
              <w:t>Asortiment scos din circuit</w:t>
            </w:r>
          </w:p>
        </w:tc>
        <w:tc>
          <w:tcPr>
            <w:tcW w:w="3025" w:type="dxa"/>
          </w:tcPr>
          <w:p w14:paraId="016C5295"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1363</w:t>
            </w:r>
          </w:p>
        </w:tc>
        <w:tc>
          <w:tcPr>
            <w:tcW w:w="3025" w:type="dxa"/>
          </w:tcPr>
          <w:p w14:paraId="33A8C3BE"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2.90</w:t>
            </w:r>
          </w:p>
        </w:tc>
        <w:tc>
          <w:tcPr>
            <w:tcW w:w="3025" w:type="dxa"/>
          </w:tcPr>
          <w:p w14:paraId="6C6A30E8"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30,695.09</w:t>
            </w:r>
          </w:p>
        </w:tc>
        <w:tc>
          <w:tcPr>
            <w:tcW w:w="3025" w:type="dxa"/>
          </w:tcPr>
          <w:p w14:paraId="40E3144D"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10,600.92</w:t>
            </w:r>
          </w:p>
        </w:tc>
      </w:tr>
      <w:tr w:rsidR="00A61D37" w14:paraId="72838154" w14:textId="77777777" w:rsidTr="00A61D37">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3026" w:type="dxa"/>
          </w:tcPr>
          <w:p w14:paraId="175B1622" w14:textId="77777777" w:rsidR="00A61D37" w:rsidRDefault="0012125C">
            <w:pPr>
              <w:ind w:left="0"/>
              <w:rPr>
                <w:color w:val="000000"/>
                <w:sz w:val="20"/>
                <w:szCs w:val="20"/>
              </w:rPr>
            </w:pPr>
            <w:r>
              <w:rPr>
                <w:color w:val="000000"/>
                <w:sz w:val="20"/>
                <w:szCs w:val="20"/>
              </w:rPr>
              <w:t>Diff. vs asortiment constant,%</w:t>
            </w:r>
          </w:p>
        </w:tc>
        <w:tc>
          <w:tcPr>
            <w:tcW w:w="3025" w:type="dxa"/>
          </w:tcPr>
          <w:p w14:paraId="1C6CC7E2"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115.12</w:t>
            </w:r>
          </w:p>
        </w:tc>
        <w:tc>
          <w:tcPr>
            <w:tcW w:w="3025" w:type="dxa"/>
          </w:tcPr>
          <w:p w14:paraId="143CDF0E"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97.55</w:t>
            </w:r>
          </w:p>
        </w:tc>
        <w:tc>
          <w:tcPr>
            <w:tcW w:w="3025" w:type="dxa"/>
          </w:tcPr>
          <w:p w14:paraId="7E45C72B"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73.42</w:t>
            </w:r>
          </w:p>
        </w:tc>
        <w:tc>
          <w:tcPr>
            <w:tcW w:w="3025" w:type="dxa"/>
          </w:tcPr>
          <w:p w14:paraId="55F6A778"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75.27</w:t>
            </w:r>
          </w:p>
        </w:tc>
      </w:tr>
    </w:tbl>
    <w:p w14:paraId="3A057272" w14:textId="77777777" w:rsidR="00A61D37" w:rsidRDefault="00A61D37">
      <w:pPr>
        <w:spacing w:after="0" w:line="240" w:lineRule="auto"/>
        <w:ind w:left="0"/>
        <w:rPr>
          <w:color w:val="000000"/>
          <w:sz w:val="20"/>
          <w:szCs w:val="20"/>
        </w:rPr>
      </w:pPr>
    </w:p>
    <w:p w14:paraId="7E044DDC" w14:textId="77777777" w:rsidR="00A61D37" w:rsidRDefault="00A61D37">
      <w:pPr>
        <w:spacing w:after="0" w:line="240" w:lineRule="auto"/>
        <w:ind w:left="0"/>
        <w:rPr>
          <w:color w:val="000000"/>
          <w:sz w:val="20"/>
          <w:szCs w:val="20"/>
        </w:rPr>
      </w:pPr>
    </w:p>
    <w:p w14:paraId="062BF7F2" w14:textId="77777777" w:rsidR="00A61D37" w:rsidRDefault="00A61D37">
      <w:pPr>
        <w:spacing w:after="0" w:line="240" w:lineRule="auto"/>
        <w:ind w:left="0"/>
        <w:rPr>
          <w:color w:val="000000"/>
          <w:sz w:val="20"/>
          <w:szCs w:val="20"/>
        </w:rPr>
      </w:pPr>
    </w:p>
    <w:p w14:paraId="5FD3BEAD" w14:textId="77777777" w:rsidR="00A61D37" w:rsidRDefault="00A61D37">
      <w:pPr>
        <w:spacing w:after="0" w:line="240" w:lineRule="auto"/>
        <w:ind w:left="0"/>
        <w:rPr>
          <w:color w:val="000000"/>
          <w:sz w:val="20"/>
          <w:szCs w:val="20"/>
        </w:rPr>
      </w:pPr>
    </w:p>
    <w:p w14:paraId="5946E2CA" w14:textId="77777777" w:rsidR="00A61D37" w:rsidRDefault="00A61D37">
      <w:pPr>
        <w:spacing w:after="0" w:line="240" w:lineRule="auto"/>
        <w:ind w:left="0"/>
        <w:rPr>
          <w:color w:val="000000"/>
          <w:sz w:val="20"/>
          <w:szCs w:val="20"/>
        </w:rPr>
      </w:pPr>
    </w:p>
    <w:p w14:paraId="0F774776" w14:textId="77777777" w:rsidR="00A61D37" w:rsidRDefault="0012125C">
      <w:pPr>
        <w:spacing w:after="0" w:line="240" w:lineRule="auto"/>
        <w:ind w:left="0"/>
        <w:rPr>
          <w:color w:val="000000"/>
          <w:sz w:val="20"/>
          <w:szCs w:val="20"/>
        </w:rPr>
      </w:pPr>
      <w:r>
        <w:rPr>
          <w:color w:val="000000"/>
          <w:sz w:val="20"/>
          <w:szCs w:val="20"/>
        </w:rPr>
        <w:t>Evolutia asortimentului de medicamente OTC in farmacii, 2020 vs.2011</w:t>
      </w:r>
    </w:p>
    <w:tbl>
      <w:tblPr>
        <w:tblStyle w:val="a2"/>
        <w:tblW w:w="15126" w:type="dxa"/>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3026"/>
        <w:gridCol w:w="3025"/>
        <w:gridCol w:w="3025"/>
        <w:gridCol w:w="3025"/>
        <w:gridCol w:w="3025"/>
      </w:tblGrid>
      <w:tr w:rsidR="00A61D37" w14:paraId="1045DC5D" w14:textId="77777777" w:rsidTr="00A61D37">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026" w:type="dxa"/>
          </w:tcPr>
          <w:p w14:paraId="6DFD38CE" w14:textId="77777777" w:rsidR="00A61D37" w:rsidRDefault="0012125C">
            <w:pPr>
              <w:ind w:left="0"/>
              <w:jc w:val="center"/>
              <w:rPr>
                <w:color w:val="000000"/>
                <w:sz w:val="20"/>
                <w:szCs w:val="20"/>
              </w:rPr>
            </w:pPr>
            <w:r>
              <w:rPr>
                <w:color w:val="000000"/>
                <w:sz w:val="20"/>
                <w:szCs w:val="20"/>
              </w:rPr>
              <w:t>Tip</w:t>
            </w:r>
          </w:p>
        </w:tc>
        <w:tc>
          <w:tcPr>
            <w:tcW w:w="3025" w:type="dxa"/>
          </w:tcPr>
          <w:p w14:paraId="267926DB"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Numar de unitati de evidenta stoc, abs.</w:t>
            </w:r>
          </w:p>
        </w:tc>
        <w:tc>
          <w:tcPr>
            <w:tcW w:w="3025" w:type="dxa"/>
          </w:tcPr>
          <w:p w14:paraId="10D46851"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Pret mediu raportat la volum, EUR</w:t>
            </w:r>
          </w:p>
        </w:tc>
        <w:tc>
          <w:tcPr>
            <w:tcW w:w="3025" w:type="dxa"/>
          </w:tcPr>
          <w:p w14:paraId="3FB2AD37"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Valoare vanzari, kEUR</w:t>
            </w:r>
          </w:p>
        </w:tc>
        <w:tc>
          <w:tcPr>
            <w:tcW w:w="3025" w:type="dxa"/>
          </w:tcPr>
          <w:p w14:paraId="44ABDCE3" w14:textId="77777777" w:rsidR="00A61D37" w:rsidRDefault="0012125C">
            <w:pPr>
              <w:ind w:left="0"/>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Volume vanzari, kcutii</w:t>
            </w:r>
          </w:p>
        </w:tc>
      </w:tr>
      <w:tr w:rsidR="00A61D37" w14:paraId="18120F2A" w14:textId="77777777" w:rsidTr="00A61D3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026" w:type="dxa"/>
          </w:tcPr>
          <w:p w14:paraId="6323A4D7" w14:textId="77777777" w:rsidR="00A61D37" w:rsidRDefault="0012125C">
            <w:pPr>
              <w:ind w:left="0"/>
              <w:rPr>
                <w:color w:val="000000"/>
                <w:sz w:val="20"/>
                <w:szCs w:val="20"/>
              </w:rPr>
            </w:pPr>
            <w:r>
              <w:rPr>
                <w:color w:val="000000"/>
                <w:sz w:val="20"/>
                <w:szCs w:val="20"/>
              </w:rPr>
              <w:t>Asortiment constant</w:t>
            </w:r>
          </w:p>
        </w:tc>
        <w:tc>
          <w:tcPr>
            <w:tcW w:w="3025" w:type="dxa"/>
          </w:tcPr>
          <w:p w14:paraId="6977A9C3"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898</w:t>
            </w:r>
          </w:p>
        </w:tc>
        <w:tc>
          <w:tcPr>
            <w:tcW w:w="3025" w:type="dxa"/>
          </w:tcPr>
          <w:p w14:paraId="2EB89FFE"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2.34</w:t>
            </w:r>
          </w:p>
        </w:tc>
        <w:tc>
          <w:tcPr>
            <w:tcW w:w="3025" w:type="dxa"/>
          </w:tcPr>
          <w:p w14:paraId="7BDE9A4D"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31,780.82</w:t>
            </w:r>
          </w:p>
        </w:tc>
        <w:tc>
          <w:tcPr>
            <w:tcW w:w="3025" w:type="dxa"/>
          </w:tcPr>
          <w:p w14:paraId="25D283AB"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13,572.89</w:t>
            </w:r>
          </w:p>
        </w:tc>
      </w:tr>
      <w:tr w:rsidR="00A61D37" w14:paraId="013A8C91" w14:textId="77777777" w:rsidTr="00A61D37">
        <w:trPr>
          <w:trHeight w:val="576"/>
        </w:trPr>
        <w:tc>
          <w:tcPr>
            <w:cnfStyle w:val="001000000000" w:firstRow="0" w:lastRow="0" w:firstColumn="1" w:lastColumn="0" w:oddVBand="0" w:evenVBand="0" w:oddHBand="0" w:evenHBand="0" w:firstRowFirstColumn="0" w:firstRowLastColumn="0" w:lastRowFirstColumn="0" w:lastRowLastColumn="0"/>
            <w:tcW w:w="3026" w:type="dxa"/>
          </w:tcPr>
          <w:p w14:paraId="07DC8226" w14:textId="77777777" w:rsidR="00A61D37" w:rsidRDefault="0012125C">
            <w:pPr>
              <w:ind w:left="0"/>
              <w:rPr>
                <w:color w:val="000000"/>
                <w:sz w:val="20"/>
                <w:szCs w:val="20"/>
              </w:rPr>
            </w:pPr>
            <w:r>
              <w:rPr>
                <w:color w:val="000000"/>
                <w:sz w:val="20"/>
                <w:szCs w:val="20"/>
              </w:rPr>
              <w:t>Asortiment scos din circuit</w:t>
            </w:r>
          </w:p>
        </w:tc>
        <w:tc>
          <w:tcPr>
            <w:tcW w:w="3025" w:type="dxa"/>
          </w:tcPr>
          <w:p w14:paraId="31798EA6"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911</w:t>
            </w:r>
          </w:p>
        </w:tc>
        <w:tc>
          <w:tcPr>
            <w:tcW w:w="3025" w:type="dxa"/>
          </w:tcPr>
          <w:p w14:paraId="1F623B8A"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1.62</w:t>
            </w:r>
          </w:p>
        </w:tc>
        <w:tc>
          <w:tcPr>
            <w:tcW w:w="3025" w:type="dxa"/>
          </w:tcPr>
          <w:p w14:paraId="1692F0AE"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17,756.91</w:t>
            </w:r>
          </w:p>
        </w:tc>
        <w:tc>
          <w:tcPr>
            <w:tcW w:w="3025" w:type="dxa"/>
          </w:tcPr>
          <w:p w14:paraId="1E280AFF" w14:textId="77777777" w:rsidR="00A61D37" w:rsidRDefault="0012125C">
            <w:pPr>
              <w:ind w:left="0"/>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10,930.35</w:t>
            </w:r>
          </w:p>
        </w:tc>
      </w:tr>
      <w:tr w:rsidR="00A61D37" w14:paraId="1E8BB708" w14:textId="77777777" w:rsidTr="00A61D37">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3026" w:type="dxa"/>
          </w:tcPr>
          <w:p w14:paraId="3E2F456E" w14:textId="77777777" w:rsidR="00A61D37" w:rsidRDefault="0012125C">
            <w:pPr>
              <w:ind w:left="0"/>
              <w:rPr>
                <w:color w:val="000000"/>
                <w:sz w:val="20"/>
                <w:szCs w:val="20"/>
              </w:rPr>
            </w:pPr>
            <w:r>
              <w:rPr>
                <w:color w:val="000000"/>
                <w:sz w:val="20"/>
                <w:szCs w:val="20"/>
              </w:rPr>
              <w:t>Diff. vs asortiment constant,%</w:t>
            </w:r>
          </w:p>
        </w:tc>
        <w:tc>
          <w:tcPr>
            <w:tcW w:w="3025" w:type="dxa"/>
          </w:tcPr>
          <w:p w14:paraId="368773FD"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101.45</w:t>
            </w:r>
          </w:p>
        </w:tc>
        <w:tc>
          <w:tcPr>
            <w:tcW w:w="3025" w:type="dxa"/>
          </w:tcPr>
          <w:p w14:paraId="05798CDA"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69.23</w:t>
            </w:r>
          </w:p>
        </w:tc>
        <w:tc>
          <w:tcPr>
            <w:tcW w:w="3025" w:type="dxa"/>
          </w:tcPr>
          <w:p w14:paraId="231D35CE"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55.87</w:t>
            </w:r>
          </w:p>
        </w:tc>
        <w:tc>
          <w:tcPr>
            <w:tcW w:w="3025" w:type="dxa"/>
          </w:tcPr>
          <w:p w14:paraId="32A5D290" w14:textId="77777777" w:rsidR="00A61D37" w:rsidRDefault="0012125C">
            <w:pPr>
              <w:ind w:left="0"/>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80.53</w:t>
            </w:r>
          </w:p>
        </w:tc>
      </w:tr>
    </w:tbl>
    <w:p w14:paraId="70F963C7" w14:textId="77777777" w:rsidR="00A61D37" w:rsidRDefault="00A61D37">
      <w:pPr>
        <w:spacing w:after="0" w:line="240" w:lineRule="auto"/>
        <w:ind w:left="0"/>
        <w:rPr>
          <w:color w:val="000000"/>
          <w:sz w:val="20"/>
          <w:szCs w:val="20"/>
        </w:rPr>
      </w:pPr>
    </w:p>
    <w:p w14:paraId="2A75BA23" w14:textId="77777777" w:rsidR="00A61D37" w:rsidRDefault="00A61D37">
      <w:pPr>
        <w:spacing w:after="0" w:line="240" w:lineRule="auto"/>
        <w:ind w:left="0"/>
        <w:rPr>
          <w:color w:val="000000"/>
          <w:sz w:val="20"/>
          <w:szCs w:val="20"/>
        </w:rPr>
      </w:pPr>
    </w:p>
    <w:p w14:paraId="01729979" w14:textId="77777777" w:rsidR="00A61D37" w:rsidRDefault="00A61D37">
      <w:pPr>
        <w:spacing w:after="0"/>
        <w:ind w:firstLine="851"/>
        <w:jc w:val="both"/>
        <w:rPr>
          <w:color w:val="000000"/>
          <w:sz w:val="28"/>
          <w:szCs w:val="28"/>
        </w:rPr>
        <w:sectPr w:rsidR="00A61D37">
          <w:type w:val="continuous"/>
          <w:pgSz w:w="16838" w:h="11906" w:orient="landscape"/>
          <w:pgMar w:top="1021" w:right="851" w:bottom="851" w:left="851" w:header="851" w:footer="454" w:gutter="0"/>
          <w:cols w:space="720"/>
          <w:titlePg/>
        </w:sectPr>
      </w:pPr>
    </w:p>
    <w:p w14:paraId="247678BF" w14:textId="77777777" w:rsidR="00A61D37" w:rsidRDefault="00A61D37">
      <w:pPr>
        <w:spacing w:after="0"/>
        <w:ind w:left="0"/>
        <w:jc w:val="both"/>
        <w:rPr>
          <w:color w:val="000000"/>
          <w:sz w:val="28"/>
          <w:szCs w:val="28"/>
        </w:rPr>
      </w:pPr>
    </w:p>
    <w:sectPr w:rsidR="00A61D37">
      <w:pgSz w:w="11906" w:h="16838"/>
      <w:pgMar w:top="851" w:right="1021" w:bottom="851" w:left="851" w:header="851" w:footer="45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96DD81" w14:textId="77777777" w:rsidR="00B66E2C" w:rsidRDefault="00B66E2C">
      <w:pPr>
        <w:spacing w:after="0" w:line="240" w:lineRule="auto"/>
      </w:pPr>
      <w:r>
        <w:separator/>
      </w:r>
    </w:p>
  </w:endnote>
  <w:endnote w:type="continuationSeparator" w:id="0">
    <w:p w14:paraId="6FBFBA4F" w14:textId="77777777" w:rsidR="00B66E2C" w:rsidRDefault="00B66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10CA5B" w14:textId="77777777" w:rsidR="00A61D37" w:rsidRDefault="00A61D37">
    <w:pPr>
      <w:pBdr>
        <w:top w:val="nil"/>
        <w:left w:val="nil"/>
        <w:bottom w:val="nil"/>
        <w:right w:val="nil"/>
        <w:between w:val="nil"/>
      </w:pBdr>
      <w:tabs>
        <w:tab w:val="left" w:pos="7027"/>
        <w:tab w:val="right" w:pos="9689"/>
      </w:tabs>
      <w:spacing w:after="0" w:line="276" w:lineRule="auto"/>
      <w:ind w:left="1036"/>
      <w:rPr>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F350EA" w14:textId="77777777" w:rsidR="00A61D37" w:rsidRDefault="00A61D37">
    <w:pPr>
      <w:pBdr>
        <w:top w:val="nil"/>
        <w:left w:val="nil"/>
        <w:bottom w:val="nil"/>
        <w:right w:val="nil"/>
        <w:between w:val="nil"/>
      </w:pBdr>
      <w:tabs>
        <w:tab w:val="left" w:pos="7027"/>
        <w:tab w:val="right" w:pos="9689"/>
      </w:tabs>
      <w:spacing w:after="0" w:line="276" w:lineRule="auto"/>
      <w:ind w:left="1036"/>
      <w:rPr>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E7026E" w14:textId="77777777" w:rsidR="00A61D37" w:rsidRDefault="0012125C">
    <w:pPr>
      <w:pBdr>
        <w:top w:val="nil"/>
        <w:left w:val="nil"/>
        <w:bottom w:val="nil"/>
        <w:right w:val="nil"/>
        <w:between w:val="nil"/>
      </w:pBdr>
      <w:tabs>
        <w:tab w:val="left" w:pos="7027"/>
        <w:tab w:val="right" w:pos="9689"/>
      </w:tabs>
      <w:spacing w:after="0" w:line="276" w:lineRule="auto"/>
      <w:rPr>
        <w:color w:val="000000"/>
        <w:sz w:val="18"/>
        <w:szCs w:val="18"/>
      </w:rPr>
    </w:pPr>
    <w:r>
      <w:rPr>
        <w:noProof/>
        <w:lang w:val="ru-RU"/>
      </w:rPr>
      <mc:AlternateContent>
        <mc:Choice Requires="wps">
          <w:drawing>
            <wp:anchor distT="0" distB="0" distL="114300" distR="114300" simplePos="0" relativeHeight="251659264" behindDoc="0" locked="0" layoutInCell="1" hidden="0" allowOverlap="1" wp14:anchorId="40E8910A" wp14:editId="3511075F">
              <wp:simplePos x="0" y="0"/>
              <wp:positionH relativeFrom="column">
                <wp:posOffset>546100</wp:posOffset>
              </wp:positionH>
              <wp:positionV relativeFrom="paragraph">
                <wp:posOffset>9956800</wp:posOffset>
              </wp:positionV>
              <wp:extent cx="5724525" cy="12700"/>
              <wp:effectExtent l="0" t="0" r="0" b="0"/>
              <wp:wrapNone/>
              <wp:docPr id="76" name="Прямая со стрелкой 76"/>
              <wp:cNvGraphicFramePr/>
              <a:graphic xmlns:a="http://schemas.openxmlformats.org/drawingml/2006/main">
                <a:graphicData uri="http://schemas.microsoft.com/office/word/2010/wordprocessingShape">
                  <wps:wsp>
                    <wps:cNvCnPr/>
                    <wps:spPr>
                      <a:xfrm>
                        <a:off x="2483738" y="3780000"/>
                        <a:ext cx="5724525" cy="0"/>
                      </a:xfrm>
                      <a:prstGeom prst="straightConnector1">
                        <a:avLst/>
                      </a:prstGeom>
                      <a:noFill/>
                      <a:ln w="9525" cap="flat" cmpd="sng">
                        <a:solidFill>
                          <a:srgbClr val="7F7F7F"/>
                        </a:solidFill>
                        <a:prstDash val="solid"/>
                        <a:miter lim="800000"/>
                        <a:headEnd type="none" w="sm" len="sm"/>
                        <a:tailEnd type="none" w="sm" len="sm"/>
                      </a:ln>
                    </wps:spPr>
                    <wps:bodyPr/>
                  </wps:wsp>
                </a:graphicData>
              </a:graphic>
            </wp:anchor>
          </w:drawing>
        </mc:Choice>
        <mc:Fallback>
          <w:pict>
            <v:shapetype w14:anchorId="1221D88C" id="_x0000_t32" coordsize="21600,21600" o:spt="32" o:oned="t" path="m,l21600,21600e" filled="f">
              <v:path arrowok="t" fillok="f" o:connecttype="none"/>
              <o:lock v:ext="edit" shapetype="t"/>
            </v:shapetype>
            <v:shape id="Прямая со стрелкой 76" o:spid="_x0000_s1026" type="#_x0000_t32" style="position:absolute;margin-left:43pt;margin-top:784pt;width:450.75pt;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sYVFQIAANcDAAAOAAAAZHJzL2Uyb0RvYy54bWysU82O0zAQviPxDpbvNP3ZbkvVdA8t5YKg&#10;EvAAruMklvwnj2na28IL7CPwClw4LKB9huSNGDtll58DEiKRHDsz8833zYyXV0etyEF4kNbkdDQY&#10;UiIMt4U0VU7fvtk+mVMCgZmCKWtETk8C6NXq8aNl4xZibGurCuEJghhYNC6ndQhukWXAa6EZDKwT&#10;Bo2l9ZoFPPoqKzxrEF2rbDwcXmaN9YXzlgsA/LvpjXSV8MtS8PCqLEEEonKK3EJafVr3cc1WS7ao&#10;PHO15Gca7B9YaCYNJr2H2rDAyDsv/4DSknsLtgwDbnVmy1JykTSgmtHwNzWva+ZE0oLFAXdfJvh/&#10;sPzlYeeJLHI6u6TEMI09aj92191N+6391N2Q7n17h0v3obtuP7df2y/tXXtL0Bkr1zhYIMDa7Pz5&#10;BG7nYxmOpdfxiwLJMafji/lkNsFROOV0MpsP8ekrL46BcHSYzsYX0/GUEo4eyZY9gDgP4bmwmsRN&#10;TiF4Jqs6rK0x2F/rR6ny7PACAtLAwB8BkYGxW6lUarMypMnp0z4Pw2ErFQuYUjuUD6ZKMGCVLGJI&#10;DAZf7dfKkwPD8Zlt4xt5Y4pf3GK+DYO690umXp6WAadbSZ3TJPqsuhaseGYKEk4Oy23wYtDIDDQl&#10;SuA1wk0iHJhUf/dDNsogqdiNvv5xt7fFKbUl/cfpSbTPkx7H8+dzin64j6vvAAAA//8DAFBLAwQU&#10;AAYACAAAACEAnISF+eMAAAAMAQAADwAAAGRycy9kb3ducmV2LnhtbEyPT0vDQBDF74LfYRnBm92o&#10;5I9pNqUIBQ+CWCult212mgSzuzE7aVM/vdOT3mbePN78XrGYbCeOOITWOwX3swgEusqb1tUKNh+r&#10;uwxEIO2M7rxDBWcMsCivrwqdG39y73hcUy04xIVcK2iI+lzKUDVodZj5Hh3fDn6wmngdamkGfeJw&#10;28mHKEqk1a3jD43u8bnB6ms9WgXjY/z2uQ0/3/X5Zfua0mpHm+VOqdubaTkHQTjRnxku+IwOJTPt&#10;/ehMEJ2CLOEqxHqcZDyx4ylLYxD7i5RGEciykP9LlL8AAAD//wMAUEsBAi0AFAAGAAgAAAAhALaD&#10;OJL+AAAA4QEAABMAAAAAAAAAAAAAAAAAAAAAAFtDb250ZW50X1R5cGVzXS54bWxQSwECLQAUAAYA&#10;CAAAACEAOP0h/9YAAACUAQAACwAAAAAAAAAAAAAAAAAvAQAAX3JlbHMvLnJlbHNQSwECLQAUAAYA&#10;CAAAACEAK4rGFRUCAADXAwAADgAAAAAAAAAAAAAAAAAuAgAAZHJzL2Uyb0RvYy54bWxQSwECLQAU&#10;AAYACAAAACEAnISF+eMAAAAMAQAADwAAAAAAAAAAAAAAAABvBAAAZHJzL2Rvd25yZXYueG1sUEsF&#10;BgAAAAAEAAQA8wAAAH8FAAAAAA==&#10;" strokecolor="#7f7f7f">
              <v:stroke startarrowwidth="narrow" startarrowlength="short" endarrowwidth="narrow" endarrowlength="short" joinstyle="miter"/>
            </v:shape>
          </w:pict>
        </mc:Fallback>
      </mc:AlternateContent>
    </w:r>
  </w:p>
  <w:p w14:paraId="2A5506F6" w14:textId="77777777" w:rsidR="00A61D37" w:rsidRDefault="0012125C">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Republica Moldova, MD-2073, Chişinău</w:t>
    </w:r>
    <w:r>
      <w:rPr>
        <w:color w:val="000000"/>
        <w:sz w:val="18"/>
        <w:szCs w:val="18"/>
      </w:rPr>
      <w:tab/>
      <w:t>info@parlament.md</w:t>
    </w:r>
  </w:p>
  <w:p w14:paraId="1AF8CC68" w14:textId="77777777" w:rsidR="00A61D37" w:rsidRDefault="0012125C">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Bd. Ştefan cel Mare şi Sfînt 105</w:t>
    </w:r>
    <w:r>
      <w:rPr>
        <w:color w:val="000000"/>
        <w:sz w:val="18"/>
        <w:szCs w:val="18"/>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6694E2" w14:textId="77777777" w:rsidR="00B66E2C" w:rsidRDefault="00B66E2C">
      <w:pPr>
        <w:spacing w:after="0" w:line="240" w:lineRule="auto"/>
      </w:pPr>
      <w:r>
        <w:separator/>
      </w:r>
    </w:p>
  </w:footnote>
  <w:footnote w:type="continuationSeparator" w:id="0">
    <w:p w14:paraId="32EAD52C" w14:textId="77777777" w:rsidR="00B66E2C" w:rsidRDefault="00B66E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7E2716" w14:textId="77777777" w:rsidR="00A61D37" w:rsidRDefault="00A61D37">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BEFFCE" w14:textId="77777777" w:rsidR="00A61D37" w:rsidRDefault="00A61D37">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A6BCE" w14:textId="77777777" w:rsidR="00A61D37" w:rsidRDefault="0012125C">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r>
      <w:rPr>
        <w:rFonts w:ascii="Calibri" w:eastAsia="Calibri" w:hAnsi="Calibri" w:cs="Calibri"/>
        <w:noProof/>
        <w:color w:val="000000"/>
        <w:sz w:val="22"/>
        <w:szCs w:val="22"/>
        <w:lang w:val="ru-RU"/>
      </w:rPr>
      <w:drawing>
        <wp:anchor distT="0" distB="0" distL="114300" distR="114300" simplePos="0" relativeHeight="251658240" behindDoc="0" locked="0" layoutInCell="1" hidden="0" allowOverlap="1" wp14:anchorId="731E6A84" wp14:editId="70E94AD4">
          <wp:simplePos x="0" y="0"/>
          <wp:positionH relativeFrom="page">
            <wp:posOffset>452119</wp:posOffset>
          </wp:positionH>
          <wp:positionV relativeFrom="page">
            <wp:posOffset>532420</wp:posOffset>
          </wp:positionV>
          <wp:extent cx="1785999" cy="567981"/>
          <wp:effectExtent l="0" t="0" r="0" b="0"/>
          <wp:wrapNone/>
          <wp:docPr id="8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A53A6"/>
    <w:multiLevelType w:val="multilevel"/>
    <w:tmpl w:val="ACD642CA"/>
    <w:lvl w:ilvl="0">
      <w:start w:val="1"/>
      <w:numFmt w:val="lowerLetter"/>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 w15:restartNumberingAfterBreak="0">
    <w:nsid w:val="68721E32"/>
    <w:multiLevelType w:val="multilevel"/>
    <w:tmpl w:val="4CB04C04"/>
    <w:lvl w:ilvl="0">
      <w:start w:val="1"/>
      <w:numFmt w:val="decimal"/>
      <w:lvlText w:val="%1."/>
      <w:lvlJc w:val="left"/>
      <w:pPr>
        <w:ind w:left="2280" w:hanging="360"/>
      </w:pPr>
    </w:lvl>
    <w:lvl w:ilvl="1">
      <w:start w:val="1"/>
      <w:numFmt w:val="lowerLetter"/>
      <w:lvlText w:val="%2."/>
      <w:lvlJc w:val="left"/>
      <w:pPr>
        <w:ind w:left="3000" w:hanging="360"/>
      </w:pPr>
    </w:lvl>
    <w:lvl w:ilvl="2">
      <w:start w:val="1"/>
      <w:numFmt w:val="lowerRoman"/>
      <w:lvlText w:val="%3."/>
      <w:lvlJc w:val="right"/>
      <w:pPr>
        <w:ind w:left="3720" w:hanging="180"/>
      </w:pPr>
    </w:lvl>
    <w:lvl w:ilvl="3">
      <w:start w:val="1"/>
      <w:numFmt w:val="decimal"/>
      <w:lvlText w:val="%4."/>
      <w:lvlJc w:val="left"/>
      <w:pPr>
        <w:ind w:left="4440" w:hanging="360"/>
      </w:pPr>
    </w:lvl>
    <w:lvl w:ilvl="4">
      <w:start w:val="1"/>
      <w:numFmt w:val="lowerLetter"/>
      <w:lvlText w:val="%5."/>
      <w:lvlJc w:val="left"/>
      <w:pPr>
        <w:ind w:left="5160" w:hanging="360"/>
      </w:pPr>
    </w:lvl>
    <w:lvl w:ilvl="5">
      <w:start w:val="1"/>
      <w:numFmt w:val="lowerRoman"/>
      <w:lvlText w:val="%6."/>
      <w:lvlJc w:val="right"/>
      <w:pPr>
        <w:ind w:left="5880" w:hanging="180"/>
      </w:pPr>
    </w:lvl>
    <w:lvl w:ilvl="6">
      <w:start w:val="1"/>
      <w:numFmt w:val="decimal"/>
      <w:lvlText w:val="%7."/>
      <w:lvlJc w:val="left"/>
      <w:pPr>
        <w:ind w:left="6600" w:hanging="360"/>
      </w:pPr>
    </w:lvl>
    <w:lvl w:ilvl="7">
      <w:start w:val="1"/>
      <w:numFmt w:val="lowerLetter"/>
      <w:lvlText w:val="%8."/>
      <w:lvlJc w:val="left"/>
      <w:pPr>
        <w:ind w:left="7320" w:hanging="360"/>
      </w:pPr>
    </w:lvl>
    <w:lvl w:ilvl="8">
      <w:start w:val="1"/>
      <w:numFmt w:val="lowerRoman"/>
      <w:lvlText w:val="%9."/>
      <w:lvlJc w:val="right"/>
      <w:pPr>
        <w:ind w:left="80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D37"/>
    <w:rsid w:val="00110AB8"/>
    <w:rsid w:val="0012125C"/>
    <w:rsid w:val="00256754"/>
    <w:rsid w:val="00282126"/>
    <w:rsid w:val="005A36F5"/>
    <w:rsid w:val="00790F38"/>
    <w:rsid w:val="007B59CD"/>
    <w:rsid w:val="007C7B0F"/>
    <w:rsid w:val="00831039"/>
    <w:rsid w:val="00A61D37"/>
    <w:rsid w:val="00B66E2C"/>
    <w:rsid w:val="00B81308"/>
    <w:rsid w:val="00C30736"/>
    <w:rsid w:val="00EA4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2E9EE2"/>
  <w15:docId w15:val="{8980434D-3179-C545-A179-F25C9BBB4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eorgia" w:eastAsia="Georgia" w:hAnsi="Georgia" w:cs="Georgia"/>
        <w:sz w:val="24"/>
        <w:szCs w:val="24"/>
        <w:lang w:val="en-US" w:eastAsia="ru-RU"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64062"/>
    <w:rPr>
      <w:lang w:val="ro-RO"/>
    </w:rPr>
  </w:style>
  <w:style w:type="paragraph" w:styleId="Heading1">
    <w:name w:val="heading 1"/>
    <w:next w:val="Normal"/>
    <w:link w:val="Heading1Char"/>
    <w:uiPriority w:val="9"/>
    <w:qFormat/>
    <w:locked/>
    <w:rsid w:val="005B30B5"/>
    <w:pPr>
      <w:outlineLvl w:val="0"/>
    </w:pPr>
    <w:rPr>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pPr>
    <w:rPr>
      <w:b/>
      <w:sz w:val="72"/>
      <w:szCs w:val="72"/>
    </w:rPr>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pPr>
    <w:rPr>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color w:val="303741"/>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table" w:styleId="TableGrid">
    <w:name w:val="Table Grid"/>
    <w:basedOn w:val="TableNormal"/>
    <w:uiPriority w:val="39"/>
    <w:locked/>
    <w:rsid w:val="002E7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Таблица-сетка 4 — акцент 41"/>
    <w:basedOn w:val="TableNormal"/>
    <w:uiPriority w:val="49"/>
    <w:rsid w:val="005A2D31"/>
    <w:pPr>
      <w:spacing w:after="0" w:line="240" w:lineRule="auto"/>
    </w:pPr>
    <w:rPr>
      <w:lang w:val="ro-RO"/>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541">
    <w:name w:val="Таблица-сетка 5 темная — акцент 41"/>
    <w:basedOn w:val="TableNormal"/>
    <w:uiPriority w:val="50"/>
    <w:rsid w:val="005A2D31"/>
    <w:pPr>
      <w:spacing w:after="0" w:line="240" w:lineRule="auto"/>
    </w:pPr>
    <w:rPr>
      <w:lang w:val="ro-R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Subtitle">
    <w:name w:val="Subtitle"/>
    <w:basedOn w:val="Normal"/>
    <w:next w:val="Normal"/>
    <w:pPr>
      <w:keepNext/>
      <w:keepLines/>
      <w:spacing w:before="360" w:after="80"/>
    </w:pPr>
    <w:rPr>
      <w:i/>
      <w:color w:val="666666"/>
      <w:sz w:val="48"/>
      <w:szCs w:val="48"/>
    </w:rPr>
  </w:style>
  <w:style w:type="table" w:customStyle="1" w:styleId="a">
    <w:basedOn w:val="TableNormal1"/>
    <w:pPr>
      <w:spacing w:after="0" w:line="240" w:lineRule="auto"/>
    </w:pPr>
    <w:tblPr>
      <w:tblStyleRowBandSize w:val="1"/>
      <w:tblStyleColBandSize w:val="1"/>
      <w:tblCellMar>
        <w:left w:w="115" w:type="dxa"/>
        <w:right w:w="115" w:type="dxa"/>
      </w:tblCellMar>
    </w:tblPr>
    <w:tcPr>
      <w:shd w:val="clear" w:color="auto" w:fill="FFF2CC"/>
    </w:tc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rPr>
      <w:tblPr/>
      <w:tcPr>
        <w:tcBorders>
          <w:top w:val="single" w:sz="4" w:space="0" w:color="FFC000"/>
        </w:tcBorders>
      </w:tcPr>
    </w:tblStylePr>
    <w:tblStylePr w:type="firstCol">
      <w:rPr>
        <w:b/>
      </w:rPr>
    </w:tblStylePr>
    <w:tblStylePr w:type="lastCol">
      <w:rPr>
        <w:b/>
      </w:rPr>
    </w:tblStylePr>
    <w:tblStylePr w:type="band1Vert">
      <w:tblPr/>
      <w:tcPr>
        <w:shd w:val="clear" w:color="auto" w:fill="FFF2CC"/>
      </w:tcPr>
    </w:tblStylePr>
    <w:tblStylePr w:type="band1Horz">
      <w:tblPr/>
      <w:tcPr>
        <w:shd w:val="clear" w:color="auto" w:fill="FFF2CC"/>
      </w:tcPr>
    </w:tblStylePr>
  </w:style>
  <w:style w:type="table" w:customStyle="1" w:styleId="a0">
    <w:basedOn w:val="TableNormal1"/>
    <w:pPr>
      <w:spacing w:after="0" w:line="240" w:lineRule="auto"/>
    </w:pPr>
    <w:tblPr>
      <w:tblStyleRowBandSize w:val="1"/>
      <w:tblStyleColBandSize w:val="1"/>
      <w:tblCellMar>
        <w:left w:w="115" w:type="dxa"/>
        <w:right w:w="115" w:type="dxa"/>
      </w:tblCellMar>
    </w:tblPr>
    <w:tcPr>
      <w:shd w:val="clear" w:color="auto" w:fill="FFF2CC"/>
    </w:tc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rPr>
      <w:tblPr/>
      <w:tcPr>
        <w:tcBorders>
          <w:top w:val="single" w:sz="4" w:space="0" w:color="FFC000"/>
        </w:tcBorders>
      </w:tcPr>
    </w:tblStylePr>
    <w:tblStylePr w:type="firstCol">
      <w:rPr>
        <w:b/>
      </w:rPr>
    </w:tblStylePr>
    <w:tblStylePr w:type="lastCol">
      <w:rPr>
        <w:b/>
      </w:rPr>
    </w:tblStylePr>
    <w:tblStylePr w:type="band1Vert">
      <w:tblPr/>
      <w:tcPr>
        <w:shd w:val="clear" w:color="auto" w:fill="FFF2CC"/>
      </w:tcPr>
    </w:tblStylePr>
    <w:tblStylePr w:type="band1Horz">
      <w:tblPr/>
      <w:tcPr>
        <w:shd w:val="clear" w:color="auto" w:fill="FFF2CC"/>
      </w:tcPr>
    </w:tblStylePr>
  </w:style>
  <w:style w:type="table" w:customStyle="1" w:styleId="a1">
    <w:basedOn w:val="TableNormal1"/>
    <w:pPr>
      <w:spacing w:after="0" w:line="240" w:lineRule="auto"/>
    </w:pPr>
    <w:tblPr>
      <w:tblStyleRowBandSize w:val="1"/>
      <w:tblStyleColBandSize w:val="1"/>
      <w:tblCellMar>
        <w:left w:w="115" w:type="dxa"/>
        <w:right w:w="115" w:type="dxa"/>
      </w:tblCellMar>
    </w:tblPr>
    <w:tcPr>
      <w:shd w:val="clear" w:color="auto"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a2">
    <w:basedOn w:val="TableNormal1"/>
    <w:pPr>
      <w:spacing w:after="0" w:line="240" w:lineRule="auto"/>
    </w:pPr>
    <w:tblPr>
      <w:tblStyleRowBandSize w:val="1"/>
      <w:tblStyleColBandSize w:val="1"/>
      <w:tblCellMar>
        <w:left w:w="115" w:type="dxa"/>
        <w:right w:w="115" w:type="dxa"/>
      </w:tblCellMar>
    </w:tblPr>
    <w:tcPr>
      <w:shd w:val="clear" w:color="auto"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paragraph" w:styleId="BalloonText">
    <w:name w:val="Balloon Text"/>
    <w:basedOn w:val="Normal"/>
    <w:link w:val="BalloonTextChar"/>
    <w:uiPriority w:val="99"/>
    <w:semiHidden/>
    <w:unhideWhenUsed/>
    <w:rsid w:val="00C307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736"/>
    <w:rPr>
      <w:rFonts w:ascii="Tahoma"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M1QhhJyOQOBlitzBitV+InjtRw==">AMUW2mV85Dk+p5lA1gPCVA63bOWvq3BTwLC/qjDr3c0Gcr1xPAy1fdm1XpOophMFxjTvYD8wTfkrMCYqMMUkDG+ttgMHyia/1yT472z+ZcqwsU9Ft6oZy1NjvwTnvhQ2JKU2gIRBuvEOAxSNR4tSryhJFEWjZIyqszYluOLhYV+0CRG8IaWAXw08i647fEL5oO1lJTEV5qL/vbvpDvfR8h768yIB0MOCmHSOg4iZfjBfDGAqmWHcwUNfR4DQSKgJngvdn2DVAnsDqR+rgarEy6uRLe8VXPdFfwsULt+3C9ZcL2WIsd0gI0Md5aI/0jy7dskZ7X3/V/wQJvBfyXtVqkQKbROeC4QjlhVlNPARXncSxDdoP9orR5sjpTJ2TGteQKmPwXGZh8K0GiWiPneRD1B5I/7tzM9WTunpxvHsyoNnP+nc1XMgmXuwMdAZMQJaIJIVdCLT2WPb10hJLpw+hJaUEFb3GzI0yKWxl8rj6j3UBUE9jqxBNmD6nvTYz9DHif9/PAZ8uaCsnTGYaCa8isf2RNy/pp1HVspQCKonVShcCWdGSV3ig1MjTQpzOYWybqv9OF+3IpX1bFqYXaviaU9ezlAHKlUOIepiP4eJexLTFPk1UuAzj3dZtGIkp/Ff5hTmiEkoEj3dNKum+adclfXDYUxR6hUx1eI80iW6FhEGtY0YPc1EFffK2Sf3b63fhm/FR29XuvMX+Ju/6Cfjc34h25MwFCxA9kF5Ny0WQU6VEkHxeD1xTwJdj40l2QTGTOBZQ/BC29HFB9hlyuNRAr5CN15ZlD4ZX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8CAB0632-5843-44BC-A007-8288B79B879B}"/>
</file>

<file path=customXml/itemProps3.xml><?xml version="1.0" encoding="utf-8"?>
<ds:datastoreItem xmlns:ds="http://schemas.openxmlformats.org/officeDocument/2006/customXml" ds:itemID="{86CDB6CC-C2F1-4D79-92A5-FCEB6361E0D3}"/>
</file>

<file path=customXml/itemProps4.xml><?xml version="1.0" encoding="utf-8"?>
<ds:datastoreItem xmlns:ds="http://schemas.openxmlformats.org/officeDocument/2006/customXml" ds:itemID="{B3B080EF-6AC3-446F-AB41-03DA4FBA25A3}"/>
</file>

<file path=docProps/app.xml><?xml version="1.0" encoding="utf-8"?>
<Properties xmlns="http://schemas.openxmlformats.org/officeDocument/2006/extended-properties" xmlns:vt="http://schemas.openxmlformats.org/officeDocument/2006/docPropsVTypes">
  <Template>Normal</Template>
  <TotalTime>285</TotalTime>
  <Pages>9</Pages>
  <Words>1013</Words>
  <Characters>5881</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201.2021.ro</dc:title>
  <dc:creator>Sorin</dc:creator>
  <cp:lastModifiedBy>Teodora Vanghelii</cp:lastModifiedBy>
  <cp:revision>2</cp:revision>
  <cp:lastPrinted>2021-08-24T08:35:00Z</cp:lastPrinted>
  <dcterms:created xsi:type="dcterms:W3CDTF">2021-08-24T13:49:00Z</dcterms:created>
  <dcterms:modified xsi:type="dcterms:W3CDTF">2021-08-24T13:49:00Z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