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0" w:right="109" w:firstLine="0"/>
        <w:jc w:val="right"/>
        <w:rPr>
          <w:b/>
          <w:i/>
          <w:sz w:val="24"/>
        </w:rPr>
      </w:pPr>
      <w:bookmarkStart w:name="proiect de" w:id="1"/>
      <w:bookmarkEnd w:id="1"/>
      <w:r>
        <w:rPr/>
      </w:r>
      <w:r>
        <w:rPr>
          <w:b/>
          <w:i/>
          <w:sz w:val="24"/>
        </w:rPr>
        <w:t>Proiect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4"/>
        <w:rPr>
          <w:b/>
          <w:i/>
          <w:sz w:val="26"/>
        </w:rPr>
      </w:pPr>
    </w:p>
    <w:p>
      <w:pPr>
        <w:pStyle w:val="Heading1"/>
        <w:spacing w:before="89"/>
        <w:ind w:left="1221"/>
      </w:pPr>
      <w:r>
        <w:rPr/>
        <w:t>HOTĂRÎRE</w:t>
      </w:r>
    </w:p>
    <w:p>
      <w:pPr>
        <w:pStyle w:val="BodyText"/>
        <w:spacing w:before="3"/>
        <w:rPr>
          <w:b/>
          <w:sz w:val="31"/>
        </w:rPr>
      </w:pPr>
    </w:p>
    <w:p>
      <w:pPr>
        <w:spacing w:line="362" w:lineRule="auto" w:before="0"/>
        <w:ind w:left="1224" w:right="231" w:firstLine="0"/>
        <w:jc w:val="center"/>
        <w:rPr>
          <w:b/>
          <w:sz w:val="28"/>
        </w:rPr>
      </w:pPr>
      <w:r>
        <w:rPr>
          <w:b/>
          <w:sz w:val="28"/>
        </w:rPr>
        <w:t>privind numirea în funcția de Director al Consiliului de administrație al Agenției Naționale pentru Reglementare în Energetică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4"/>
        <w:rPr>
          <w:b/>
          <w:sz w:val="40"/>
        </w:rPr>
      </w:pPr>
    </w:p>
    <w:p>
      <w:pPr>
        <w:pStyle w:val="BodyText"/>
        <w:spacing w:line="362" w:lineRule="auto"/>
        <w:ind w:left="1101" w:right="107" w:firstLine="707"/>
        <w:jc w:val="both"/>
      </w:pPr>
      <w:r>
        <w:rPr/>
        <w:t>În temeiul art.10 din Legea nr.174/2017 cu privire la energetică, Parlamentul adoptă prezenta hotărîre.</w:t>
      </w:r>
    </w:p>
    <w:p>
      <w:pPr>
        <w:pStyle w:val="BodyText"/>
        <w:spacing w:line="360" w:lineRule="auto" w:before="191"/>
        <w:ind w:left="1101" w:right="104" w:firstLine="707"/>
        <w:jc w:val="both"/>
      </w:pPr>
      <w:r>
        <w:rPr>
          <w:b/>
        </w:rPr>
        <w:t>Art.1.- </w:t>
      </w:r>
      <w:r>
        <w:rPr/>
        <w:t>Se numește în funcția de Director al Consiliului de administrație al Agenției Naționale pentru Reglementare în Energetică, pe un termen de 6 ani, doamna Violina Șpac.</w:t>
      </w:r>
    </w:p>
    <w:p>
      <w:pPr>
        <w:pStyle w:val="BodyText"/>
        <w:spacing w:before="1"/>
        <w:ind w:left="1809"/>
      </w:pPr>
      <w:r>
        <w:rPr>
          <w:b/>
        </w:rPr>
        <w:t>Art.2.- </w:t>
      </w:r>
      <w:r>
        <w:rPr/>
        <w:t>Prezenta hotărîre intră în vigoare la data adoptării.</w:t>
      </w:r>
    </w:p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3"/>
        </w:rPr>
      </w:pPr>
    </w:p>
    <w:p>
      <w:pPr>
        <w:pStyle w:val="Heading1"/>
        <w:ind w:left="1101" w:right="0"/>
        <w:jc w:val="left"/>
      </w:pPr>
      <w:r>
        <w:rPr/>
        <w:t>PREȘEDINTELE PARLAMENTULUI</w:t>
      </w:r>
    </w:p>
    <w:p>
      <w:pPr>
        <w:spacing w:after="0"/>
        <w:jc w:val="left"/>
        <w:sectPr>
          <w:type w:val="continuous"/>
          <w:pgSz w:w="11910" w:h="16840"/>
          <w:pgMar w:top="1040" w:bottom="280" w:left="600" w:right="740"/>
        </w:sectPr>
      </w:pPr>
    </w:p>
    <w:p>
      <w:pPr>
        <w:pStyle w:val="BodyText"/>
        <w:rPr>
          <w:b/>
          <w:sz w:val="34"/>
        </w:rPr>
      </w:pPr>
    </w:p>
    <w:p>
      <w:pPr>
        <w:pStyle w:val="BodyText"/>
        <w:rPr>
          <w:b/>
          <w:sz w:val="34"/>
        </w:rPr>
      </w:pPr>
    </w:p>
    <w:p>
      <w:pPr>
        <w:pStyle w:val="BodyText"/>
        <w:spacing w:before="6"/>
        <w:rPr>
          <w:b/>
          <w:sz w:val="36"/>
        </w:rPr>
      </w:pPr>
    </w:p>
    <w:p>
      <w:pPr>
        <w:spacing w:line="254" w:lineRule="auto" w:before="0"/>
        <w:ind w:left="1103" w:right="19" w:firstLine="0"/>
        <w:jc w:val="left"/>
        <w:rPr>
          <w:rFonts w:ascii="Georgia" w:hAnsi="Georgia"/>
          <w:b/>
          <w:sz w:val="30"/>
        </w:rPr>
      </w:pPr>
      <w:r>
        <w:rPr/>
        <w:drawing>
          <wp:anchor distT="0" distB="0" distL="0" distR="0" allowOverlap="1" layoutInCell="1" locked="0" behindDoc="0" simplePos="0" relativeHeight="1048">
            <wp:simplePos x="0" y="0"/>
            <wp:positionH relativeFrom="page">
              <wp:posOffset>451167</wp:posOffset>
            </wp:positionH>
            <wp:positionV relativeFrom="paragraph">
              <wp:posOffset>-743345</wp:posOffset>
            </wp:positionV>
            <wp:extent cx="352955" cy="428625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72">
            <wp:simplePos x="0" y="0"/>
            <wp:positionH relativeFrom="page">
              <wp:posOffset>1088144</wp:posOffset>
            </wp:positionH>
            <wp:positionV relativeFrom="paragraph">
              <wp:posOffset>-471165</wp:posOffset>
            </wp:positionV>
            <wp:extent cx="1156638" cy="276225"/>
            <wp:effectExtent l="0" t="0" r="0" b="0"/>
            <wp:wrapNone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638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1100063</wp:posOffset>
            </wp:positionH>
            <wp:positionV relativeFrom="paragraph">
              <wp:posOffset>-743355</wp:posOffset>
            </wp:positionV>
            <wp:extent cx="714515" cy="223837"/>
            <wp:effectExtent l="0" t="0" r="0" b="0"/>
            <wp:wrapNone/>
            <wp:docPr id="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515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120" from="72.578621pt,-60.183308pt" to="72.578621pt,-15.557045pt" stroked="true" strokeweight=".375417pt" strokecolor="#2f3741">
            <v:stroke dashstyle="solid"/>
            <w10:wrap type="none"/>
          </v:line>
        </w:pict>
      </w:r>
      <w:bookmarkStart w:name="INIT LEGISL" w:id="2"/>
      <w:bookmarkEnd w:id="2"/>
      <w:r>
        <w:rPr/>
      </w:r>
      <w:r>
        <w:rPr>
          <w:rFonts w:ascii="Georgia" w:hAnsi="Georgia"/>
          <w:b/>
          <w:color w:val="2F3741"/>
          <w:sz w:val="30"/>
        </w:rPr>
        <w:t>Deputat în Parlamentul Republicii Moldova</w:t>
      </w:r>
    </w:p>
    <w:p>
      <w:pPr>
        <w:spacing w:line="393" w:lineRule="auto" w:before="177"/>
        <w:ind w:left="110" w:right="341" w:firstLine="1082"/>
        <w:jc w:val="left"/>
        <w:rPr>
          <w:rFonts w:ascii="Georgia"/>
          <w:sz w:val="24"/>
        </w:rPr>
      </w:pPr>
      <w:r>
        <w:rPr/>
        <w:br w:type="column"/>
      </w:r>
      <w:r>
        <w:rPr>
          <w:rFonts w:ascii="Georgia"/>
          <w:color w:val="2F3741"/>
          <w:sz w:val="24"/>
        </w:rPr>
        <w:t>VG nr. 18 februarie 2020</w:t>
      </w:r>
    </w:p>
    <w:p>
      <w:pPr>
        <w:spacing w:after="0" w:line="393" w:lineRule="auto"/>
        <w:jc w:val="left"/>
        <w:rPr>
          <w:rFonts w:ascii="Georgia"/>
          <w:sz w:val="24"/>
        </w:rPr>
        <w:sectPr>
          <w:pgSz w:w="11910" w:h="16840"/>
          <w:pgMar w:top="820" w:bottom="280" w:left="600" w:right="740"/>
          <w:cols w:num="2" w:equalWidth="0">
            <w:col w:w="4783" w:space="3420"/>
            <w:col w:w="2367"/>
          </w:cols>
        </w:sect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10"/>
        <w:rPr>
          <w:rFonts w:ascii="Georgia"/>
          <w:sz w:val="20"/>
        </w:rPr>
      </w:pPr>
    </w:p>
    <w:p>
      <w:pPr>
        <w:pStyle w:val="Heading1"/>
        <w:spacing w:before="89"/>
        <w:ind w:left="6134" w:right="262" w:firstLine="1487"/>
        <w:jc w:val="left"/>
      </w:pPr>
      <w:r>
        <w:rPr/>
        <w:t>Biroului permanent al Parlamentului Republicii Moldova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24"/>
        </w:rPr>
      </w:pPr>
    </w:p>
    <w:p>
      <w:pPr>
        <w:pStyle w:val="BodyText"/>
        <w:spacing w:line="276" w:lineRule="auto" w:before="1"/>
        <w:ind w:left="251" w:right="278" w:firstLine="566"/>
        <w:jc w:val="both"/>
      </w:pPr>
      <w:r>
        <w:rPr/>
        <w:t>În conformitate cu prevederile art.73 din Constituţia Republicii Moldova şi art.     47 din Regulamentul Parlamentului, se înaintează spre examinare Parlamentului, cu titlu de iniţiativă legislativă, proiectul de hotărîre a Parlamentului Republicii Moldova privind numirea în funcția de Director al Consiliului de administrație al Agenției Naționale pentru Reglementare în</w:t>
      </w:r>
      <w:r>
        <w:rPr>
          <w:spacing w:val="-4"/>
        </w:rPr>
        <w:t> </w:t>
      </w:r>
      <w:r>
        <w:rPr/>
        <w:t>Energetică.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322" w:lineRule="exact"/>
        <w:ind w:left="818"/>
      </w:pPr>
      <w:r>
        <w:rPr/>
        <w:t>Anexă: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Proiectul de</w:t>
      </w:r>
      <w:r>
        <w:rPr>
          <w:spacing w:val="-6"/>
          <w:sz w:val="28"/>
        </w:rPr>
        <w:t> </w:t>
      </w:r>
      <w:r>
        <w:rPr>
          <w:sz w:val="28"/>
        </w:rPr>
        <w:t>hotărâre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Nota</w:t>
      </w:r>
      <w:r>
        <w:rPr>
          <w:spacing w:val="-2"/>
          <w:sz w:val="28"/>
        </w:rPr>
        <w:t> </w:t>
      </w:r>
      <w:r>
        <w:rPr>
          <w:sz w:val="28"/>
        </w:rPr>
        <w:t>informativă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Curriculum vitae al</w:t>
      </w:r>
      <w:r>
        <w:rPr>
          <w:spacing w:val="-8"/>
          <w:sz w:val="28"/>
        </w:rPr>
        <w:t> </w:t>
      </w:r>
      <w:r>
        <w:rPr>
          <w:sz w:val="28"/>
        </w:rPr>
        <w:t>candidatului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Heading1"/>
        <w:spacing w:before="253"/>
        <w:ind w:left="5025" w:right="0"/>
        <w:jc w:val="left"/>
      </w:pPr>
      <w:r>
        <w:rPr/>
        <w:t>Deputat în Parlamentul Republicii Moldova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  <w:r>
        <w:rPr/>
        <w:pict>
          <v:line style="position:absolute;mso-position-horizontal-relative:page;mso-position-vertical-relative:paragraph;z-index:-1024;mso-wrap-distance-left:0;mso-wrap-distance-right:0" from="85.850098pt,15.671867pt" to="536.600098pt,15.671867pt" stroked="true" strokeweight=".75pt" strokecolor="#7e7e7e">
            <v:stroke dashstyle="solid"/>
            <w10:wrap type="topAndBottom"/>
          </v:line>
        </w:pict>
      </w:r>
    </w:p>
    <w:p>
      <w:pPr>
        <w:tabs>
          <w:tab w:pos="8519" w:val="left" w:leader="none"/>
        </w:tabs>
        <w:spacing w:before="156"/>
        <w:ind w:left="1104" w:right="0" w:firstLine="0"/>
        <w:jc w:val="left"/>
        <w:rPr>
          <w:rFonts w:ascii="Georgia" w:hAnsi="Georgia"/>
          <w:sz w:val="18"/>
        </w:rPr>
      </w:pPr>
      <w:r>
        <w:rPr>
          <w:rFonts w:ascii="Georgia" w:hAnsi="Georgia"/>
          <w:sz w:val="18"/>
        </w:rPr>
        <w:t>Republica Moldova,</w:t>
      </w:r>
      <w:r>
        <w:rPr>
          <w:rFonts w:ascii="Georgia" w:hAnsi="Georgia"/>
          <w:spacing w:val="-7"/>
          <w:sz w:val="18"/>
        </w:rPr>
        <w:t> </w:t>
      </w:r>
      <w:r>
        <w:rPr>
          <w:rFonts w:ascii="Georgia" w:hAnsi="Georgia"/>
          <w:sz w:val="18"/>
        </w:rPr>
        <w:t>MD-2073,</w:t>
      </w:r>
      <w:r>
        <w:rPr>
          <w:rFonts w:ascii="Georgia" w:hAnsi="Georgia"/>
          <w:spacing w:val="-2"/>
          <w:sz w:val="18"/>
        </w:rPr>
        <w:t> </w:t>
      </w:r>
      <w:r>
        <w:rPr>
          <w:rFonts w:ascii="Georgia" w:hAnsi="Georgia"/>
          <w:sz w:val="18"/>
        </w:rPr>
        <w:t>Chişinău</w:t>
        <w:tab/>
      </w:r>
      <w:hyperlink r:id="rId8">
        <w:r>
          <w:rPr>
            <w:rFonts w:ascii="Georgia" w:hAnsi="Georgia"/>
            <w:sz w:val="18"/>
          </w:rPr>
          <w:t>info@parlament.md</w:t>
        </w:r>
      </w:hyperlink>
    </w:p>
    <w:p>
      <w:pPr>
        <w:tabs>
          <w:tab w:pos="8553" w:val="left" w:leader="none"/>
        </w:tabs>
        <w:spacing w:before="31"/>
        <w:ind w:left="1104" w:right="0" w:firstLine="0"/>
        <w:jc w:val="left"/>
        <w:rPr>
          <w:rFonts w:ascii="Georgia" w:hAnsi="Georgia"/>
          <w:sz w:val="18"/>
        </w:rPr>
      </w:pPr>
      <w:r>
        <w:rPr>
          <w:rFonts w:ascii="Georgia" w:hAnsi="Georgia"/>
          <w:sz w:val="18"/>
        </w:rPr>
        <w:t>Bd. Ştefan cel Mare şi</w:t>
      </w:r>
      <w:r>
        <w:rPr>
          <w:rFonts w:ascii="Georgia" w:hAnsi="Georgia"/>
          <w:spacing w:val="-9"/>
          <w:sz w:val="18"/>
        </w:rPr>
        <w:t> </w:t>
      </w:r>
      <w:r>
        <w:rPr>
          <w:rFonts w:ascii="Georgia" w:hAnsi="Georgia"/>
          <w:sz w:val="18"/>
        </w:rPr>
        <w:t>Sfînt 105</w:t>
        <w:tab/>
      </w:r>
      <w:hyperlink r:id="rId9">
        <w:r>
          <w:rPr>
            <w:rFonts w:ascii="Georgia" w:hAnsi="Georgia"/>
            <w:sz w:val="18"/>
          </w:rPr>
          <w:t>www.parlament.md</w:t>
        </w:r>
      </w:hyperlink>
    </w:p>
    <w:p>
      <w:pPr>
        <w:spacing w:after="0"/>
        <w:jc w:val="left"/>
        <w:rPr>
          <w:rFonts w:ascii="Georgia" w:hAnsi="Georgia"/>
          <w:sz w:val="18"/>
        </w:rPr>
        <w:sectPr>
          <w:type w:val="continuous"/>
          <w:pgSz w:w="11910" w:h="16840"/>
          <w:pgMar w:top="1040" w:bottom="280" w:left="600" w:right="740"/>
        </w:sectPr>
      </w:pPr>
    </w:p>
    <w:p>
      <w:pPr>
        <w:pStyle w:val="BodyText"/>
        <w:spacing w:before="7"/>
        <w:rPr>
          <w:rFonts w:ascii="Georgia"/>
          <w:sz w:val="11"/>
        </w:rPr>
      </w:pPr>
    </w:p>
    <w:p>
      <w:pPr>
        <w:pStyle w:val="Heading1"/>
        <w:spacing w:before="89"/>
        <w:ind w:left="1222"/>
      </w:pPr>
      <w:bookmarkStart w:name="nota informativa" w:id="3"/>
      <w:bookmarkEnd w:id="3"/>
      <w:r>
        <w:rPr>
          <w:b w:val="0"/>
        </w:rPr>
      </w:r>
      <w:r>
        <w:rPr/>
        <w:t>Notă informativă</w:t>
      </w:r>
    </w:p>
    <w:p>
      <w:pPr>
        <w:pStyle w:val="BodyText"/>
        <w:spacing w:before="3"/>
        <w:rPr>
          <w:b/>
          <w:sz w:val="31"/>
        </w:rPr>
      </w:pPr>
    </w:p>
    <w:p>
      <w:pPr>
        <w:spacing w:line="362" w:lineRule="auto" w:before="0"/>
        <w:ind w:left="1224" w:right="231" w:firstLine="0"/>
        <w:jc w:val="center"/>
        <w:rPr>
          <w:b/>
          <w:sz w:val="28"/>
        </w:rPr>
      </w:pPr>
      <w:r>
        <w:rPr>
          <w:b/>
          <w:sz w:val="28"/>
        </w:rPr>
        <w:t>la proiectul de hotărîre privind numirea în funcția de Director al</w:t>
      </w:r>
      <w:r>
        <w:rPr>
          <w:b/>
          <w:spacing w:val="-31"/>
          <w:sz w:val="28"/>
        </w:rPr>
        <w:t> </w:t>
      </w:r>
      <w:r>
        <w:rPr>
          <w:b/>
          <w:sz w:val="28"/>
        </w:rPr>
        <w:t>Consiliului de administrație al Agenției Naționale pentru Reglementare în</w:t>
      </w:r>
      <w:r>
        <w:rPr>
          <w:b/>
          <w:spacing w:val="-22"/>
          <w:sz w:val="28"/>
        </w:rPr>
        <w:t> </w:t>
      </w:r>
      <w:r>
        <w:rPr>
          <w:b/>
          <w:sz w:val="28"/>
        </w:rPr>
        <w:t>Energetică</w:t>
      </w:r>
    </w:p>
    <w:p>
      <w:pPr>
        <w:pStyle w:val="BodyText"/>
        <w:spacing w:line="360" w:lineRule="auto" w:before="191"/>
        <w:ind w:left="1101" w:right="104" w:firstLine="707"/>
        <w:jc w:val="both"/>
      </w:pPr>
      <w:r>
        <w:rPr/>
        <w:t>În temeiul art.10 din Legea nr.174/2017 cu privire la energetică, Agenția Națională pentru Reglementare în Energetică este condusă de Consiliul de administrație format din cinci directori care exercită funcții de demnitate</w:t>
      </w:r>
      <w:r>
        <w:rPr>
          <w:spacing w:val="-24"/>
        </w:rPr>
        <w:t> </w:t>
      </w:r>
      <w:r>
        <w:rPr/>
        <w:t>publică.</w:t>
      </w:r>
    </w:p>
    <w:p>
      <w:pPr>
        <w:pStyle w:val="BodyText"/>
        <w:spacing w:line="360" w:lineRule="auto" w:before="1"/>
        <w:ind w:left="1101" w:right="105" w:firstLine="707"/>
        <w:jc w:val="both"/>
      </w:pPr>
      <w:r>
        <w:rPr/>
        <w:t>Directorii Consiliului de administrație sunt numiți în funcție de către Parlament, pe bază de concurs. Concursul de selectare a directorilor se organizează de către comisia parlamentară de profil și se desfășoară în mod public.</w:t>
      </w:r>
    </w:p>
    <w:p>
      <w:pPr>
        <w:pStyle w:val="BodyText"/>
        <w:spacing w:line="360" w:lineRule="auto" w:before="1"/>
        <w:ind w:left="1101" w:right="106" w:firstLine="707"/>
        <w:jc w:val="both"/>
      </w:pPr>
      <w:r>
        <w:rPr/>
        <w:t>Luînd în considerație faptul că una din funcțiile de Directori ai Consiliului</w:t>
      </w:r>
      <w:r>
        <w:rPr>
          <w:spacing w:val="-44"/>
        </w:rPr>
        <w:t> </w:t>
      </w:r>
      <w:r>
        <w:rPr/>
        <w:t>de administrație al Agenției Naționale pentru Reglementare în Energetică rămase vacantă, Comisia economie, buget și finanțe urma să propună Parlamentului pentru desemnare un candidat la această</w:t>
      </w:r>
      <w:r>
        <w:rPr>
          <w:spacing w:val="-4"/>
        </w:rPr>
        <w:t> </w:t>
      </w:r>
      <w:r>
        <w:rPr/>
        <w:t>funcție.</w:t>
      </w:r>
    </w:p>
    <w:p>
      <w:pPr>
        <w:pStyle w:val="BodyText"/>
        <w:spacing w:line="360" w:lineRule="auto"/>
        <w:ind w:left="1101" w:right="104" w:firstLine="708"/>
        <w:jc w:val="both"/>
      </w:pPr>
      <w:r>
        <w:rPr/>
        <w:t>În scopul identificării în mod transparent și imparțial a candidatului pentru funcția</w:t>
      </w:r>
      <w:r>
        <w:rPr>
          <w:spacing w:val="-16"/>
        </w:rPr>
        <w:t> </w:t>
      </w:r>
      <w:r>
        <w:rPr/>
        <w:t>menționată,</w:t>
      </w:r>
      <w:r>
        <w:rPr>
          <w:spacing w:val="-17"/>
        </w:rPr>
        <w:t> </w:t>
      </w:r>
      <w:r>
        <w:rPr/>
        <w:t>Comisia</w:t>
      </w:r>
      <w:r>
        <w:rPr>
          <w:spacing w:val="-16"/>
        </w:rPr>
        <w:t> </w:t>
      </w:r>
      <w:r>
        <w:rPr/>
        <w:t>economie,</w:t>
      </w:r>
      <w:r>
        <w:rPr>
          <w:spacing w:val="-17"/>
        </w:rPr>
        <w:t> </w:t>
      </w:r>
      <w:r>
        <w:rPr/>
        <w:t>buget</w:t>
      </w:r>
      <w:r>
        <w:rPr>
          <w:spacing w:val="-15"/>
        </w:rPr>
        <w:t> </w:t>
      </w:r>
      <w:r>
        <w:rPr/>
        <w:t>și</w:t>
      </w:r>
      <w:r>
        <w:rPr>
          <w:spacing w:val="-15"/>
        </w:rPr>
        <w:t> </w:t>
      </w:r>
      <w:r>
        <w:rPr/>
        <w:t>finanțe,</w:t>
      </w:r>
      <w:r>
        <w:rPr>
          <w:spacing w:val="-17"/>
        </w:rPr>
        <w:t> </w:t>
      </w:r>
      <w:r>
        <w:rPr/>
        <w:t>la</w:t>
      </w:r>
      <w:r>
        <w:rPr>
          <w:spacing w:val="-16"/>
        </w:rPr>
        <w:t> </w:t>
      </w:r>
      <w:r>
        <w:rPr/>
        <w:t>dat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24</w:t>
      </w:r>
      <w:r>
        <w:rPr>
          <w:spacing w:val="-18"/>
        </w:rPr>
        <w:t> </w:t>
      </w:r>
      <w:r>
        <w:rPr/>
        <w:t>octombrie</w:t>
      </w:r>
      <w:r>
        <w:rPr>
          <w:spacing w:val="-18"/>
        </w:rPr>
        <w:t> </w:t>
      </w:r>
      <w:r>
        <w:rPr/>
        <w:t>2019, a aprobat și demarat concursul public, în cadrul căruia toți potențialii candidați urmau</w:t>
      </w:r>
      <w:r>
        <w:rPr>
          <w:spacing w:val="-6"/>
        </w:rPr>
        <w:t> </w:t>
      </w:r>
      <w:r>
        <w:rPr/>
        <w:t>să</w:t>
      </w:r>
      <w:r>
        <w:rPr>
          <w:spacing w:val="-6"/>
        </w:rPr>
        <w:t> </w:t>
      </w:r>
      <w:r>
        <w:rPr/>
        <w:t>depună</w:t>
      </w:r>
      <w:r>
        <w:rPr>
          <w:spacing w:val="-6"/>
        </w:rPr>
        <w:t> </w:t>
      </w:r>
      <w:r>
        <w:rPr/>
        <w:t>în</w:t>
      </w:r>
      <w:r>
        <w:rPr>
          <w:spacing w:val="-7"/>
        </w:rPr>
        <w:t> </w:t>
      </w:r>
      <w:r>
        <w:rPr/>
        <w:t>perioada</w:t>
      </w:r>
      <w:r>
        <w:rPr>
          <w:spacing w:val="-6"/>
        </w:rPr>
        <w:t> </w:t>
      </w:r>
      <w:r>
        <w:rPr/>
        <w:t>28.10.2019</w:t>
      </w:r>
      <w:r>
        <w:rPr>
          <w:spacing w:val="-5"/>
        </w:rPr>
        <w:t> </w:t>
      </w:r>
      <w:r>
        <w:rPr/>
        <w:t>-</w:t>
      </w:r>
      <w:r>
        <w:rPr>
          <w:spacing w:val="-6"/>
        </w:rPr>
        <w:t> </w:t>
      </w:r>
      <w:r>
        <w:rPr/>
        <w:t>26.11.2019</w:t>
      </w:r>
      <w:r>
        <w:rPr>
          <w:spacing w:val="-5"/>
        </w:rPr>
        <w:t> </w:t>
      </w:r>
      <w:r>
        <w:rPr/>
        <w:t>la</w:t>
      </w:r>
      <w:r>
        <w:rPr>
          <w:spacing w:val="-6"/>
        </w:rPr>
        <w:t> </w:t>
      </w:r>
      <w:r>
        <w:rPr/>
        <w:t>Comisie</w:t>
      </w:r>
      <w:r>
        <w:rPr>
          <w:spacing w:val="-6"/>
        </w:rPr>
        <w:t> </w:t>
      </w:r>
      <w:r>
        <w:rPr/>
        <w:t>un</w:t>
      </w:r>
      <w:r>
        <w:rPr>
          <w:spacing w:val="-5"/>
        </w:rPr>
        <w:t> </w:t>
      </w:r>
      <w:r>
        <w:rPr/>
        <w:t>dosar</w:t>
      </w:r>
      <w:r>
        <w:rPr>
          <w:spacing w:val="-6"/>
        </w:rPr>
        <w:t> </w:t>
      </w:r>
      <w:r>
        <w:rPr/>
        <w:t>cu</w:t>
      </w:r>
      <w:r>
        <w:rPr>
          <w:spacing w:val="-6"/>
        </w:rPr>
        <w:t> </w:t>
      </w:r>
      <w:r>
        <w:rPr/>
        <w:t>un</w:t>
      </w:r>
      <w:r>
        <w:rPr>
          <w:spacing w:val="-5"/>
        </w:rPr>
        <w:t> </w:t>
      </w:r>
      <w:r>
        <w:rPr/>
        <w:t>set prestabilit de</w:t>
      </w:r>
      <w:r>
        <w:rPr>
          <w:spacing w:val="-5"/>
        </w:rPr>
        <w:t> </w:t>
      </w:r>
      <w:r>
        <w:rPr/>
        <w:t>documente.</w:t>
      </w:r>
    </w:p>
    <w:p>
      <w:pPr>
        <w:pStyle w:val="BodyText"/>
        <w:spacing w:line="321" w:lineRule="exact"/>
        <w:ind w:left="1809"/>
      </w:pPr>
      <w:r>
        <w:rPr/>
        <w:t>Pînă la termenul limită au fost depuse 8 (opt) dosare, fiind admiși la concurs</w:t>
      </w:r>
    </w:p>
    <w:p>
      <w:pPr>
        <w:pStyle w:val="BodyText"/>
        <w:spacing w:before="160"/>
        <w:ind w:left="1101"/>
      </w:pPr>
      <w:r>
        <w:rPr/>
        <w:t>3 (trei) candidați (un candidat a depus cerere de retragere din concurs).</w:t>
      </w:r>
    </w:p>
    <w:p>
      <w:pPr>
        <w:pStyle w:val="BodyText"/>
        <w:spacing w:line="360" w:lineRule="auto" w:before="161"/>
        <w:ind w:left="1101" w:right="104" w:firstLine="707"/>
        <w:jc w:val="both"/>
      </w:pPr>
      <w:r>
        <w:rPr/>
        <w:t>Întervievînd și evaluînd performanțele profesionale și manageriale a 2 (doi) candidați</w:t>
      </w:r>
      <w:r>
        <w:rPr>
          <w:spacing w:val="-10"/>
        </w:rPr>
        <w:t> </w:t>
      </w:r>
      <w:r>
        <w:rPr/>
        <w:t>admiși,</w:t>
      </w:r>
      <w:r>
        <w:rPr>
          <w:spacing w:val="-12"/>
        </w:rPr>
        <w:t> </w:t>
      </w:r>
      <w:r>
        <w:rPr/>
        <w:t>prin</w:t>
      </w:r>
      <w:r>
        <w:rPr>
          <w:spacing w:val="-11"/>
        </w:rPr>
        <w:t> </w:t>
      </w:r>
      <w:r>
        <w:rPr/>
        <w:t>Decizia</w:t>
      </w:r>
      <w:r>
        <w:rPr>
          <w:spacing w:val="-11"/>
        </w:rPr>
        <w:t> </w:t>
      </w:r>
      <w:r>
        <w:rPr/>
        <w:t>CEB-07</w:t>
      </w:r>
      <w:r>
        <w:rPr>
          <w:spacing w:val="-12"/>
        </w:rPr>
        <w:t> </w:t>
      </w:r>
      <w:r>
        <w:rPr/>
        <w:t>nr.72</w:t>
      </w:r>
      <w:r>
        <w:rPr>
          <w:spacing w:val="50"/>
        </w:rPr>
        <w:t> </w:t>
      </w:r>
      <w:r>
        <w:rPr/>
        <w:t>din</w:t>
      </w:r>
      <w:r>
        <w:rPr>
          <w:spacing w:val="-10"/>
        </w:rPr>
        <w:t> </w:t>
      </w:r>
      <w:r>
        <w:rPr/>
        <w:t>18</w:t>
      </w:r>
      <w:r>
        <w:rPr>
          <w:spacing w:val="-9"/>
        </w:rPr>
        <w:t> </w:t>
      </w:r>
      <w:r>
        <w:rPr/>
        <w:t>februarie</w:t>
      </w:r>
      <w:r>
        <w:rPr>
          <w:spacing w:val="-11"/>
        </w:rPr>
        <w:t> </w:t>
      </w:r>
      <w:r>
        <w:rPr/>
        <w:t>2020,</w:t>
      </w:r>
      <w:r>
        <w:rPr>
          <w:spacing w:val="-12"/>
        </w:rPr>
        <w:t> </w:t>
      </w:r>
      <w:r>
        <w:rPr/>
        <w:t>Comisia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decis să propună Parlamentului pentru numirea în funcția de Director al Consiliului de administrație al Agenției Naționale pentru Reglementare în Energetică, candidatura doamnei Violina Șpac care a acumulat cel mai înalt punctaj cumulativ total de evaluare.</w:t>
      </w:r>
    </w:p>
    <w:p>
      <w:pPr>
        <w:pStyle w:val="BodyText"/>
        <w:spacing w:before="1"/>
        <w:ind w:left="1810"/>
      </w:pPr>
      <w:r>
        <w:rPr/>
        <w:t>Reieșind</w:t>
      </w:r>
      <w:r>
        <w:rPr>
          <w:spacing w:val="-11"/>
        </w:rPr>
        <w:t> </w:t>
      </w:r>
      <w:r>
        <w:rPr/>
        <w:t>din</w:t>
      </w:r>
      <w:r>
        <w:rPr>
          <w:spacing w:val="-10"/>
        </w:rPr>
        <w:t> </w:t>
      </w:r>
      <w:r>
        <w:rPr/>
        <w:t>cele</w:t>
      </w:r>
      <w:r>
        <w:rPr>
          <w:spacing w:val="-10"/>
        </w:rPr>
        <w:t> </w:t>
      </w:r>
      <w:r>
        <w:rPr/>
        <w:t>menționate,</w:t>
      </w:r>
      <w:r>
        <w:rPr>
          <w:spacing w:val="-12"/>
        </w:rPr>
        <w:t> </w:t>
      </w:r>
      <w:r>
        <w:rPr/>
        <w:t>în</w:t>
      </w:r>
      <w:r>
        <w:rPr>
          <w:spacing w:val="-11"/>
        </w:rPr>
        <w:t> </w:t>
      </w:r>
      <w:r>
        <w:rPr/>
        <w:t>temeiul</w:t>
      </w:r>
      <w:r>
        <w:rPr>
          <w:spacing w:val="-10"/>
        </w:rPr>
        <w:t> </w:t>
      </w:r>
      <w:r>
        <w:rPr/>
        <w:t>art.10</w:t>
      </w:r>
      <w:r>
        <w:rPr>
          <w:spacing w:val="-11"/>
        </w:rPr>
        <w:t> </w:t>
      </w:r>
      <w:r>
        <w:rPr/>
        <w:t>al</w:t>
      </w:r>
      <w:r>
        <w:rPr>
          <w:spacing w:val="-10"/>
        </w:rPr>
        <w:t> </w:t>
      </w:r>
      <w:r>
        <w:rPr/>
        <w:t>Legii</w:t>
      </w:r>
      <w:r>
        <w:rPr>
          <w:spacing w:val="-11"/>
        </w:rPr>
        <w:t> </w:t>
      </w:r>
      <w:r>
        <w:rPr/>
        <w:t>nr.174/2017</w:t>
      </w:r>
      <w:r>
        <w:rPr>
          <w:spacing w:val="-10"/>
        </w:rPr>
        <w:t> </w:t>
      </w:r>
      <w:r>
        <w:rPr/>
        <w:t>cu</w:t>
      </w:r>
      <w:r>
        <w:rPr>
          <w:spacing w:val="-11"/>
        </w:rPr>
        <w:t> </w:t>
      </w:r>
      <w:r>
        <w:rPr/>
        <w:t>privire</w:t>
      </w:r>
    </w:p>
    <w:p>
      <w:pPr>
        <w:pStyle w:val="BodyText"/>
        <w:spacing w:before="160"/>
        <w:ind w:left="1098" w:right="104"/>
        <w:jc w:val="center"/>
      </w:pPr>
      <w:r>
        <w:rPr/>
        <w:t>la</w:t>
      </w:r>
      <w:r>
        <w:rPr>
          <w:spacing w:val="-8"/>
        </w:rPr>
        <w:t> </w:t>
      </w:r>
      <w:r>
        <w:rPr/>
        <w:t>energetică,</w:t>
      </w:r>
      <w:r>
        <w:rPr>
          <w:spacing w:val="-8"/>
        </w:rPr>
        <w:t> </w:t>
      </w:r>
      <w:r>
        <w:rPr/>
        <w:t>Comisia</w:t>
      </w:r>
      <w:r>
        <w:rPr>
          <w:spacing w:val="-7"/>
        </w:rPr>
        <w:t> </w:t>
      </w:r>
      <w:r>
        <w:rPr/>
        <w:t>economie,</w:t>
      </w:r>
      <w:r>
        <w:rPr>
          <w:spacing w:val="-8"/>
        </w:rPr>
        <w:t> </w:t>
      </w:r>
      <w:r>
        <w:rPr/>
        <w:t>buget</w:t>
      </w:r>
      <w:r>
        <w:rPr>
          <w:spacing w:val="-5"/>
        </w:rPr>
        <w:t> </w:t>
      </w:r>
      <w:r>
        <w:rPr/>
        <w:t>și</w:t>
      </w:r>
      <w:r>
        <w:rPr>
          <w:spacing w:val="-6"/>
        </w:rPr>
        <w:t> </w:t>
      </w:r>
      <w:r>
        <w:rPr/>
        <w:t>finanțe</w:t>
      </w:r>
      <w:r>
        <w:rPr>
          <w:spacing w:val="-10"/>
        </w:rPr>
        <w:t> </w:t>
      </w:r>
      <w:r>
        <w:rPr/>
        <w:t>propune</w:t>
      </w:r>
      <w:r>
        <w:rPr>
          <w:spacing w:val="-9"/>
        </w:rPr>
        <w:t> </w:t>
      </w:r>
      <w:r>
        <w:rPr/>
        <w:t>pentru</w:t>
      </w:r>
      <w:r>
        <w:rPr>
          <w:spacing w:val="-9"/>
        </w:rPr>
        <w:t> </w:t>
      </w:r>
      <w:r>
        <w:rPr/>
        <w:t>numirea</w:t>
      </w:r>
      <w:r>
        <w:rPr>
          <w:spacing w:val="-9"/>
        </w:rPr>
        <w:t> </w:t>
      </w:r>
      <w:r>
        <w:rPr/>
        <w:t>în</w:t>
      </w:r>
      <w:r>
        <w:rPr>
          <w:spacing w:val="-9"/>
        </w:rPr>
        <w:t> </w:t>
      </w:r>
      <w:r>
        <w:rPr/>
        <w:t>funcția</w:t>
      </w:r>
    </w:p>
    <w:p>
      <w:pPr>
        <w:spacing w:after="0"/>
        <w:jc w:val="center"/>
        <w:sectPr>
          <w:pgSz w:w="11910" w:h="16840"/>
          <w:pgMar w:top="1580" w:bottom="280" w:left="600" w:right="740"/>
        </w:sectPr>
      </w:pPr>
    </w:p>
    <w:p>
      <w:pPr>
        <w:pStyle w:val="BodyText"/>
        <w:spacing w:line="362" w:lineRule="auto" w:before="74"/>
        <w:ind w:left="1101" w:right="104" w:hanging="1"/>
        <w:jc w:val="both"/>
      </w:pPr>
      <w:r>
        <w:rPr/>
        <w:t>de Director al Consiliului de administrație al Agenției Naționale pentru Reglementare în Energetică, pe o perioadă de 6 ani, candidatura doamnei Violina Șpac.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Heading1"/>
        <w:spacing w:line="278" w:lineRule="auto" w:before="209"/>
        <w:ind w:left="7857" w:right="106" w:hanging="574"/>
        <w:jc w:val="right"/>
      </w:pPr>
      <w:r>
        <w:rPr/>
        <w:t>Vladimir GOLOVATIUC,</w:t>
      </w:r>
      <w:r>
        <w:rPr>
          <w:w w:val="100"/>
        </w:rPr>
        <w:t> </w:t>
      </w:r>
      <w:r>
        <w:rPr/>
        <w:t>Deputat în Parlament</w:t>
      </w:r>
    </w:p>
    <w:sectPr>
      <w:pgSz w:w="11910" w:h="16840"/>
      <w:pgMar w:top="1040" w:bottom="280" w:left="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)"/>
      <w:lvlJc w:val="left"/>
      <w:pPr>
        <w:ind w:left="1123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1320" w:hanging="3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47" w:hanging="3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74" w:hanging="3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02" w:hanging="3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429" w:hanging="3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56" w:hanging="3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484" w:hanging="3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11" w:hanging="30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ind w:left="1224" w:right="231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>
      <w:spacing w:line="322" w:lineRule="exact"/>
      <w:ind w:left="1123" w:hanging="305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rlament.md" TargetMode="External"/><Relationship Id="rId13" Type="http://schemas.openxmlformats.org/officeDocument/2006/relationships/customXml" Target="../customXml/item3.xml"/><Relationship Id="rId3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numbering" Target="numbering.xml"/><Relationship Id="rId4" Type="http://schemas.openxmlformats.org/officeDocument/2006/relationships/settings" Target="settings.xml"/><Relationship Id="rId9" Type="http://schemas.openxmlformats.org/officeDocument/2006/relationships/hyperlink" Target="http://www.parlament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886533-D08F-40DE-BA5B-BF3DC0891701}"/>
</file>

<file path=customXml/itemProps2.xml><?xml version="1.0" encoding="utf-8"?>
<ds:datastoreItem xmlns:ds="http://schemas.openxmlformats.org/officeDocument/2006/customXml" ds:itemID="{5F2DAE5A-A7BC-456C-80C6-4FFF691818FB}"/>
</file>

<file path=customXml/itemProps3.xml><?xml version="1.0" encoding="utf-8"?>
<ds:datastoreItem xmlns:ds="http://schemas.openxmlformats.org/officeDocument/2006/customXml" ds:itemID="{7EE10944-3086-47DA-80CE-C3EE55033A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62.2020.ro.docx</dc:title>
  <dcterms:created xsi:type="dcterms:W3CDTF">2020-04-09T14:27:00Z</dcterms:created>
  <dcterms:modified xsi:type="dcterms:W3CDTF">2020-04-09T14:27:00Z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19 для Word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