
<file path=[Content_Types].xml><?xml version="1.0" encoding="utf-8"?>
<Types xmlns="http://schemas.openxmlformats.org/package/2006/content-types">
  <Default Extension="png" ContentType="image/png"/>
  <Default Extension="rels" ContentType="application/vnd.openxmlformats-package.relationships+xml"/>
  <Default Extension="jpeg" ContentType="image/jpeg"/>
  <Default Extension="xml" ContentType="application/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footnotes.xml" ContentType="application/vnd.openxmlformats-officedocument.wordprocessingml.footnote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framePr w:w="1886" w:h="494" w:wrap="none" w:hAnchor="page" w:x="1679" w:y="409"/>
        <w:widowControl w:val="0"/>
        <w:shd w:val="clear" w:color="auto" w:fill="auto"/>
        <w:bidi w:val="0"/>
        <w:spacing w:before="0" w:after="0"/>
        <w:ind w:left="0" w:right="0" w:firstLine="0"/>
        <w:jc w:val="left"/>
      </w:pPr>
      <w:r>
        <w:rPr>
          <w:spacing w:val="0"/>
          <w:w w:val="100"/>
          <w:position w:val="0"/>
          <w:shd w:val="clear" w:color="auto" w:fill="auto"/>
          <w:lang w:val="en-US" w:eastAsia="en-US" w:bidi="en-US"/>
        </w:rPr>
        <w:t>Parlamentul Republicii Moldova</w:t>
      </w:r>
    </w:p>
    <w:p>
      <w:pPr>
        <w:widowControl w:val="0"/>
        <w:spacing w:line="360" w:lineRule="exact"/>
      </w:pPr>
      <w:r>
        <w:drawing>
          <wp:anchor distT="0" distB="0" distL="0" distR="0" simplePos="0" relativeHeight="62914690" behindDoc="1" locked="0" layoutInCell="1" allowOverlap="1">
            <wp:simplePos x="0" y="0"/>
            <wp:positionH relativeFrom="page">
              <wp:posOffset>447040</wp:posOffset>
            </wp:positionH>
            <wp:positionV relativeFrom="margin">
              <wp:posOffset>0</wp:posOffset>
            </wp:positionV>
            <wp:extent cx="365760" cy="438785"/>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365760" cy="438785"/>
                    </a:xfrm>
                    <a:prstGeom prst="rect"/>
                  </pic:spPr>
                </pic:pic>
              </a:graphicData>
            </a:graphic>
          </wp:anchor>
        </w:drawing>
      </w:r>
      <w:r>
        <w:drawing>
          <wp:anchor distT="0" distB="338455" distL="33655" distR="445135" simplePos="0" relativeHeight="62914691" behindDoc="1" locked="0" layoutInCell="1" allowOverlap="1">
            <wp:simplePos x="0" y="0"/>
            <wp:positionH relativeFrom="page">
              <wp:posOffset>1099185</wp:posOffset>
            </wp:positionH>
            <wp:positionV relativeFrom="margin">
              <wp:posOffset>0</wp:posOffset>
            </wp:positionV>
            <wp:extent cx="719455" cy="237490"/>
            <wp:wrapNone/>
            <wp:docPr id="3" name="Shape 3"/>
            <a:graphic xmlns:a="http://schemas.openxmlformats.org/drawingml/2006/main">
              <a:graphicData uri="http://schemas.openxmlformats.org/drawingml/2006/picture">
                <pic:pic xmlns:pic="http://schemas.openxmlformats.org/drawingml/2006/picture">
                  <pic:nvPicPr>
                    <pic:cNvPr id="4" name="Picture box 4"/>
                    <pic:cNvPicPr/>
                  </pic:nvPicPr>
                  <pic:blipFill>
                    <a:blip r:embed="rId7"/>
                    <a:stretch/>
                  </pic:blipFill>
                  <pic:spPr>
                    <a:xfrm>
                      <a:ext cx="719455" cy="237490"/>
                    </a:xfrm>
                    <a:prstGeom prst="rect"/>
                  </pic:spPr>
                </pic:pic>
              </a:graphicData>
            </a:graphic>
          </wp:anchor>
        </w:drawing>
      </w:r>
    </w:p>
    <w:p>
      <w:pPr>
        <w:widowControl w:val="0"/>
        <w:spacing w:after="541" w:line="1" w:lineRule="exact"/>
      </w:pPr>
    </w:p>
    <w:p>
      <w:pPr>
        <w:widowControl w:val="0"/>
        <w:spacing w:line="1" w:lineRule="exact"/>
        <w:sectPr>
          <w:footnotePr>
            <w:pos w:val="pageBottom"/>
            <w:numFmt w:val="decimal"/>
            <w:numRestart w:val="continuous"/>
          </w:footnotePr>
          <w:pgSz w:w="11900" w:h="16840"/>
          <w:pgMar w:top="865" w:left="704" w:right="1087" w:bottom="276" w:header="437" w:footer="3" w:gutter="0"/>
          <w:pgNumType w:start="1"/>
          <w:cols w:space="720"/>
          <w:noEndnote/>
          <w:rtlGutter w:val="0"/>
          <w:docGrid w:linePitch="360"/>
        </w:sectPr>
      </w:pPr>
    </w:p>
    <w:p>
      <w:pPr>
        <w:pStyle w:val="Style6"/>
        <w:keepNext/>
        <w:keepLines/>
        <w:widowControl w:val="0"/>
        <w:shd w:val="clear" w:color="auto" w:fill="auto"/>
        <w:bidi w:val="0"/>
        <w:spacing w:before="0" w:after="0" w:line="240" w:lineRule="auto"/>
        <w:ind w:left="0" w:right="0" w:firstLine="0"/>
        <w:jc w:val="left"/>
      </w:pPr>
      <w:bookmarkStart w:id="0" w:name="bookmark0"/>
      <w:bookmarkStart w:id="1" w:name="bookmark1"/>
      <w:r>
        <w:rPr>
          <w:spacing w:val="0"/>
          <w:w w:val="100"/>
          <w:position w:val="0"/>
          <w:shd w:val="clear" w:color="auto" w:fill="auto"/>
          <w:lang w:val="en-US" w:eastAsia="en-US" w:bidi="en-US"/>
        </w:rPr>
        <w:t>Deputat in Parlamentul</w:t>
      </w:r>
      <w:bookmarkEnd w:id="0"/>
      <w:bookmarkEnd w:id="1"/>
    </w:p>
    <w:p>
      <w:pPr>
        <w:pStyle w:val="Style6"/>
        <w:keepNext/>
        <w:keepLines/>
        <w:widowControl w:val="0"/>
        <w:shd w:val="clear" w:color="auto" w:fill="auto"/>
        <w:bidi w:val="0"/>
        <w:spacing w:before="0" w:after="560" w:line="240" w:lineRule="auto"/>
        <w:ind w:left="0" w:right="0" w:firstLine="0"/>
        <w:jc w:val="left"/>
      </w:pPr>
      <w:bookmarkStart w:id="2" w:name="bookmark2"/>
      <w:bookmarkStart w:id="3" w:name="bookmark3"/>
      <w:r>
        <w:rPr>
          <w:spacing w:val="0"/>
          <w:w w:val="100"/>
          <w:position w:val="0"/>
          <w:shd w:val="clear" w:color="auto" w:fill="auto"/>
          <w:lang w:val="en-US" w:eastAsia="en-US" w:bidi="en-US"/>
        </w:rPr>
        <w:t>Republicii Moldova</w:t>
      </w:r>
      <w:bookmarkEnd w:id="2"/>
      <w:bookmarkEnd w:id="3"/>
    </w:p>
    <w:p>
      <w:pPr>
        <w:pStyle w:val="Style8"/>
        <w:keepNext/>
        <w:keepLines/>
        <w:widowControl w:val="0"/>
        <w:shd w:val="clear" w:color="auto" w:fill="auto"/>
        <w:bidi w:val="0"/>
        <w:spacing w:before="0" w:after="0" w:line="240" w:lineRule="auto"/>
        <w:ind w:left="0" w:right="0" w:firstLine="0"/>
        <w:jc w:val="right"/>
      </w:pPr>
      <w:bookmarkStart w:id="4" w:name="bookmark4"/>
      <w:bookmarkStart w:id="5" w:name="bookmark5"/>
      <w:r>
        <w:rPr>
          <w:color w:val="000000"/>
          <w:spacing w:val="0"/>
          <w:w w:val="100"/>
          <w:position w:val="0"/>
          <w:shd w:val="clear" w:color="auto" w:fill="auto"/>
          <w:lang w:val="en-US" w:eastAsia="en-US" w:bidi="en-US"/>
        </w:rPr>
        <w:t>Biroul Permanent al</w:t>
      </w:r>
      <w:bookmarkEnd w:id="4"/>
      <w:bookmarkEnd w:id="5"/>
    </w:p>
    <w:p>
      <w:pPr>
        <w:pStyle w:val="Style8"/>
        <w:keepNext/>
        <w:keepLines/>
        <w:widowControl w:val="0"/>
        <w:shd w:val="clear" w:color="auto" w:fill="auto"/>
        <w:bidi w:val="0"/>
        <w:spacing w:before="0" w:after="620" w:line="240" w:lineRule="auto"/>
        <w:ind w:left="0" w:right="0" w:firstLine="0"/>
        <w:jc w:val="right"/>
      </w:pPr>
      <w:bookmarkStart w:id="6" w:name="bookmark6"/>
      <w:bookmarkStart w:id="7" w:name="bookmark7"/>
      <w:r>
        <w:rPr>
          <w:color w:val="000000"/>
          <w:spacing w:val="0"/>
          <w:w w:val="100"/>
          <w:position w:val="0"/>
          <w:shd w:val="clear" w:color="auto" w:fill="auto"/>
          <w:lang w:val="en-US" w:eastAsia="en-US" w:bidi="en-US"/>
        </w:rPr>
        <w:t>Parlamentului Republicii Moldova</w:t>
      </w:r>
      <w:bookmarkEnd w:id="6"/>
      <w:bookmarkEnd w:id="7"/>
    </w:p>
    <w:p>
      <w:pPr>
        <w:pStyle w:val="Style10"/>
        <w:keepNext w:val="0"/>
        <w:keepLines w:val="0"/>
        <w:widowControl w:val="0"/>
        <w:shd w:val="clear" w:color="auto" w:fill="auto"/>
        <w:bidi w:val="0"/>
        <w:spacing w:before="0" w:after="0" w:line="240" w:lineRule="auto"/>
        <w:ind w:left="1160" w:right="0" w:firstLine="0"/>
        <w:jc w:val="left"/>
      </w:pPr>
      <w:r>
        <w:rPr>
          <w:color w:val="000000"/>
          <w:spacing w:val="0"/>
          <w:w w:val="100"/>
          <w:position w:val="0"/>
          <w:shd w:val="clear" w:color="auto" w:fill="auto"/>
          <w:lang w:val="en-US" w:eastAsia="en-US" w:bidi="en-US"/>
        </w:rPr>
        <w:t>In temeiul prevederilor art.73 din Constitutia Republicii Moldova §i</w:t>
      </w:r>
    </w:p>
    <w:p>
      <w:pPr>
        <w:pStyle w:val="Style10"/>
        <w:keepNext w:val="0"/>
        <w:keepLines w:val="0"/>
        <w:widowControl w:val="0"/>
        <w:shd w:val="clear" w:color="auto" w:fill="auto"/>
        <w:bidi w:val="0"/>
        <w:spacing w:before="0" w:after="0" w:line="240" w:lineRule="auto"/>
        <w:ind w:left="560" w:right="0" w:firstLine="0"/>
        <w:jc w:val="left"/>
      </w:pPr>
      <w:r>
        <w:rPr>
          <w:color w:val="000000"/>
          <w:spacing w:val="0"/>
          <w:w w:val="100"/>
          <w:position w:val="0"/>
          <w:shd w:val="clear" w:color="auto" w:fill="auto"/>
          <w:lang w:val="en-US" w:eastAsia="en-US" w:bidi="en-US"/>
        </w:rPr>
        <w:t>art.47 din Legea nr.797 din 02.04.1996 pentru adoptarea Regulamentului Parlamentului, se lnainteaza cu titlul de initiative legislative pro iectul de</w:t>
      </w:r>
    </w:p>
    <w:p>
      <w:pPr>
        <w:pStyle w:val="Style10"/>
        <w:keepNext w:val="0"/>
        <w:keepLines w:val="0"/>
        <w:widowControl w:val="0"/>
        <w:shd w:val="clear" w:color="auto" w:fill="auto"/>
        <w:bidi w:val="0"/>
        <w:spacing w:before="0" w:after="320" w:line="240" w:lineRule="auto"/>
        <w:ind w:left="560" w:right="0" w:firstLine="0"/>
        <w:jc w:val="left"/>
      </w:pPr>
      <w:r>
        <w:rPr>
          <w:color w:val="000000"/>
          <w:spacing w:val="0"/>
          <w:w w:val="100"/>
          <w:position w:val="0"/>
          <w:shd w:val="clear" w:color="auto" w:fill="auto"/>
          <w:lang w:val="en-US" w:eastAsia="en-US" w:bidi="en-US"/>
        </w:rPr>
        <w:t>Lege privind modificarea Legii bugetului de stat pentru anul 2021 nr.258/2020.</w:t>
      </w:r>
    </w:p>
    <w:p>
      <w:pPr>
        <w:pStyle w:val="Style10"/>
        <w:keepNext w:val="0"/>
        <w:keepLines w:val="0"/>
        <w:widowControl w:val="0"/>
        <w:shd w:val="clear" w:color="auto" w:fill="auto"/>
        <w:bidi w:val="0"/>
        <w:spacing w:before="0" w:after="0" w:line="240" w:lineRule="auto"/>
        <w:ind w:left="1280" w:right="0" w:firstLine="0"/>
        <w:jc w:val="left"/>
      </w:pPr>
      <w:r>
        <w:rPr>
          <w:color w:val="000000"/>
          <w:spacing w:val="0"/>
          <w:w w:val="100"/>
          <w:position w:val="0"/>
          <w:shd w:val="clear" w:color="auto" w:fill="auto"/>
          <w:lang w:val="en-US" w:eastAsia="en-US" w:bidi="en-US"/>
        </w:rPr>
        <w:t>Anexe:</w:t>
      </w:r>
    </w:p>
    <w:p>
      <w:pPr>
        <w:pStyle w:val="Style10"/>
        <w:keepNext w:val="0"/>
        <w:keepLines w:val="0"/>
        <w:widowControl w:val="0"/>
        <w:numPr>
          <w:ilvl w:val="0"/>
          <w:numId w:val="1"/>
        </w:numPr>
        <w:shd w:val="clear" w:color="auto" w:fill="auto"/>
        <w:tabs>
          <w:tab w:pos="851" w:val="left"/>
        </w:tabs>
        <w:bidi w:val="0"/>
        <w:spacing w:before="0" w:after="0" w:line="240" w:lineRule="auto"/>
        <w:ind w:left="0" w:right="0" w:firstLine="440"/>
        <w:jc w:val="left"/>
      </w:pPr>
      <w:r>
        <w:rPr>
          <w:color w:val="000000"/>
          <w:spacing w:val="0"/>
          <w:w w:val="100"/>
          <w:position w:val="0"/>
          <w:shd w:val="clear" w:color="auto" w:fill="auto"/>
          <w:lang w:val="en-US" w:eastAsia="en-US" w:bidi="en-US"/>
        </w:rPr>
        <w:t>Proiectul de Lege;</w:t>
      </w:r>
    </w:p>
    <w:p>
      <w:pPr>
        <w:pStyle w:val="Style10"/>
        <w:keepNext w:val="0"/>
        <w:keepLines w:val="0"/>
        <w:widowControl w:val="0"/>
        <w:numPr>
          <w:ilvl w:val="0"/>
          <w:numId w:val="1"/>
        </w:numPr>
        <w:shd w:val="clear" w:color="auto" w:fill="auto"/>
        <w:tabs>
          <w:tab w:pos="851" w:val="left"/>
        </w:tabs>
        <w:bidi w:val="0"/>
        <w:spacing w:before="0" w:after="2240" w:line="240" w:lineRule="auto"/>
        <w:ind w:left="0" w:right="0" w:firstLine="440"/>
        <w:jc w:val="left"/>
      </w:pPr>
      <w:r>
        <w:rPr>
          <w:color w:val="000000"/>
          <w:spacing w:val="0"/>
          <w:w w:val="100"/>
          <w:position w:val="0"/>
          <w:shd w:val="clear" w:color="auto" w:fill="auto"/>
          <w:lang w:val="en-US" w:eastAsia="en-US" w:bidi="en-US"/>
        </w:rPr>
        <w:t>Nota informative.</w:t>
      </w:r>
    </w:p>
    <w:p>
      <w:pPr>
        <w:pStyle w:val="Style8"/>
        <w:keepNext/>
        <w:keepLines/>
        <w:widowControl w:val="0"/>
        <w:shd w:val="clear" w:color="auto" w:fill="auto"/>
        <w:bidi w:val="0"/>
        <w:spacing w:before="0" w:after="5800" w:line="240" w:lineRule="auto"/>
        <w:ind w:left="0" w:right="0" w:firstLine="0"/>
        <w:jc w:val="right"/>
      </w:pPr>
      <w:bookmarkStart w:id="8" w:name="bookmark8"/>
      <w:bookmarkStart w:id="9" w:name="bookmark9"/>
      <w:r>
        <w:rPr>
          <w:color w:val="000000"/>
          <w:spacing w:val="0"/>
          <w:w w:val="100"/>
          <w:position w:val="0"/>
          <w:shd w:val="clear" w:color="auto" w:fill="auto"/>
          <w:lang w:val="en-US" w:eastAsia="en-US" w:bidi="en-US"/>
        </w:rPr>
        <w:t>Deputati in Parlament</w:t>
      </w:r>
      <w:bookmarkEnd w:id="8"/>
      <w:bookmarkEnd w:id="9"/>
    </w:p>
    <w:p>
      <w:pPr>
        <w:pStyle w:val="Style4"/>
        <w:keepNext w:val="0"/>
        <w:keepLines w:val="0"/>
        <w:widowControl w:val="0"/>
        <w:shd w:val="clear" w:color="auto" w:fill="auto"/>
        <w:bidi w:val="0"/>
        <w:spacing w:before="0" w:after="0" w:line="240" w:lineRule="auto"/>
        <w:ind w:left="0" w:right="0" w:firstLine="0"/>
        <w:jc w:val="left"/>
      </w:pPr>
      <w:r>
        <mc:AlternateContent>
          <mc:Choice Requires="wps">
            <w:drawing>
              <wp:anchor distT="0" distB="0" distL="114300" distR="114300" simplePos="0" relativeHeight="125829378" behindDoc="0" locked="0" layoutInCell="1" allowOverlap="1">
                <wp:simplePos x="0" y="0"/>
                <wp:positionH relativeFrom="page">
                  <wp:posOffset>5772150</wp:posOffset>
                </wp:positionH>
                <wp:positionV relativeFrom="paragraph">
                  <wp:posOffset>12700</wp:posOffset>
                </wp:positionV>
                <wp:extent cx="1069975" cy="307975"/>
                <wp:wrapSquare wrapText="left"/>
                <wp:docPr id="5" name="Shape 5"/>
                <a:graphic xmlns:a="http://schemas.openxmlformats.org/drawingml/2006/main">
                  <a:graphicData uri="http://schemas.microsoft.com/office/word/2010/wordprocessingShape">
                    <wps:wsp>
                      <wps:cNvSpPr txBox="1"/>
                      <wps:spPr>
                        <a:xfrm>
                          <a:ext cx="1069975" cy="30797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pPr>
                            <w:r>
                              <w:fldChar w:fldCharType="begin"/>
                            </w:r>
                            <w:r>
                              <w:rPr/>
                              <w:instrText> HYPERLINK "mailto:info@parlament.md" </w:instrText>
                            </w:r>
                            <w:r>
                              <w:fldChar w:fldCharType="separate"/>
                            </w:r>
                            <w:r>
                              <w:rPr>
                                <w:color w:val="000000"/>
                                <w:spacing w:val="0"/>
                                <w:w w:val="100"/>
                                <w:position w:val="0"/>
                                <w:shd w:val="clear" w:color="auto" w:fill="auto"/>
                                <w:lang w:val="en-US" w:eastAsia="en-US" w:bidi="en-US"/>
                              </w:rPr>
                              <w:t>info@parlament.md</w:t>
                            </w:r>
                            <w:r>
                              <w:fldChar w:fldCharType="end"/>
                            </w:r>
                          </w:p>
                          <w:p>
                            <w:pPr>
                              <w:pStyle w:val="Style4"/>
                              <w:keepNext w:val="0"/>
                              <w:keepLines w:val="0"/>
                              <w:widowControl w:val="0"/>
                              <w:shd w:val="clear" w:color="auto" w:fill="auto"/>
                              <w:bidi w:val="0"/>
                              <w:spacing w:before="0" w:after="0" w:line="240" w:lineRule="auto"/>
                              <w:ind w:left="0" w:right="0" w:firstLine="0"/>
                              <w:jc w:val="left"/>
                            </w:pPr>
                            <w:r>
                              <w:fldChar w:fldCharType="begin"/>
                            </w:r>
                            <w:r>
                              <w:rPr/>
                              <w:instrText> HYPERLINK "http://www.parlament.md" </w:instrText>
                            </w:r>
                            <w:r>
                              <w:fldChar w:fldCharType="separate"/>
                            </w:r>
                            <w:r>
                              <w:rPr>
                                <w:color w:val="000000"/>
                                <w:spacing w:val="0"/>
                                <w:w w:val="100"/>
                                <w:position w:val="0"/>
                                <w:shd w:val="clear" w:color="auto" w:fill="auto"/>
                                <w:lang w:val="en-US" w:eastAsia="en-US" w:bidi="en-US"/>
                              </w:rPr>
                              <w:t>www.parlament.md</w:t>
                            </w:r>
                            <w:r>
                              <w:fldChar w:fldCharType="end"/>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31" type="#_x0000_t202" style="position:absolute;margin-left:454.5pt;margin-top:1.pt;width:84.25pt;height:24.25pt;z-index:-125829375;mso-wrap-distance-left:9.pt;mso-wrap-distance-right:9.pt;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pPr>
                      <w:r>
                        <w:fldChar w:fldCharType="begin"/>
                      </w:r>
                      <w:r>
                        <w:rPr/>
                        <w:instrText> HYPERLINK "mailto:info@parlament.md" </w:instrText>
                      </w:r>
                      <w:r>
                        <w:fldChar w:fldCharType="separate"/>
                      </w:r>
                      <w:r>
                        <w:rPr>
                          <w:color w:val="000000"/>
                          <w:spacing w:val="0"/>
                          <w:w w:val="100"/>
                          <w:position w:val="0"/>
                          <w:shd w:val="clear" w:color="auto" w:fill="auto"/>
                          <w:lang w:val="en-US" w:eastAsia="en-US" w:bidi="en-US"/>
                        </w:rPr>
                        <w:t>info@parlament.md</w:t>
                      </w:r>
                      <w:r>
                        <w:fldChar w:fldCharType="end"/>
                      </w:r>
                    </w:p>
                    <w:p>
                      <w:pPr>
                        <w:pStyle w:val="Style4"/>
                        <w:keepNext w:val="0"/>
                        <w:keepLines w:val="0"/>
                        <w:widowControl w:val="0"/>
                        <w:shd w:val="clear" w:color="auto" w:fill="auto"/>
                        <w:bidi w:val="0"/>
                        <w:spacing w:before="0" w:after="0" w:line="240" w:lineRule="auto"/>
                        <w:ind w:left="0" w:right="0" w:firstLine="0"/>
                        <w:jc w:val="left"/>
                      </w:pPr>
                      <w:r>
                        <w:fldChar w:fldCharType="begin"/>
                      </w:r>
                      <w:r>
                        <w:rPr/>
                        <w:instrText> HYPERLINK "http://www.parlament.md" </w:instrText>
                      </w:r>
                      <w:r>
                        <w:fldChar w:fldCharType="separate"/>
                      </w:r>
                      <w:r>
                        <w:rPr>
                          <w:color w:val="000000"/>
                          <w:spacing w:val="0"/>
                          <w:w w:val="100"/>
                          <w:position w:val="0"/>
                          <w:shd w:val="clear" w:color="auto" w:fill="auto"/>
                          <w:lang w:val="en-US" w:eastAsia="en-US" w:bidi="en-US"/>
                        </w:rPr>
                        <w:t>www.parlament.md</w:t>
                      </w:r>
                      <w:r>
                        <w:fldChar w:fldCharType="end"/>
                      </w:r>
                    </w:p>
                  </w:txbxContent>
                </v:textbox>
                <w10:wrap type="square" side="left" anchorx="page"/>
              </v:shape>
            </w:pict>
          </mc:Fallback>
        </mc:AlternateContent>
      </w:r>
      <w:r>
        <w:rPr>
          <w:color w:val="000000"/>
          <w:spacing w:val="0"/>
          <w:w w:val="100"/>
          <w:position w:val="0"/>
          <w:shd w:val="clear" w:color="auto" w:fill="auto"/>
          <w:lang w:val="en-US" w:eastAsia="en-US" w:bidi="en-US"/>
        </w:rPr>
        <w:t>Republica Moldova, MD-2004, Chisinau</w:t>
      </w:r>
    </w:p>
    <w:p>
      <w:pPr>
        <w:pStyle w:val="Style4"/>
        <w:keepNext w:val="0"/>
        <w:keepLines w:val="0"/>
        <w:widowControl w:val="0"/>
        <w:shd w:val="clear" w:color="auto" w:fill="auto"/>
        <w:bidi w:val="0"/>
        <w:spacing w:before="0" w:after="160" w:line="240" w:lineRule="auto"/>
        <w:ind w:left="0" w:right="0" w:firstLine="0"/>
        <w:jc w:val="left"/>
        <w:sectPr>
          <w:footnotePr>
            <w:pos w:val="pageBottom"/>
            <w:numFmt w:val="decimal"/>
            <w:numRestart w:val="continuous"/>
          </w:footnotePr>
          <w:type w:val="continuous"/>
          <w:pgSz w:w="11900" w:h="16840"/>
          <w:pgMar w:top="865" w:left="1674" w:right="1088" w:bottom="276" w:header="0" w:footer="3" w:gutter="0"/>
          <w:cols w:space="720"/>
          <w:noEndnote/>
          <w:rtlGutter w:val="0"/>
          <w:docGrid w:linePitch="360"/>
        </w:sectPr>
      </w:pPr>
      <w:r>
        <w:rPr>
          <w:color w:val="000000"/>
          <w:spacing w:val="0"/>
          <w:w w:val="100"/>
          <w:position w:val="0"/>
          <w:shd w:val="clear" w:color="auto" w:fill="auto"/>
          <w:lang w:val="en-US" w:eastAsia="en-US" w:bidi="en-US"/>
        </w:rPr>
        <w:t>Bd. §tefan cel Mare §i Sfant 105</w:t>
      </w:r>
    </w:p>
    <w:p>
      <w:pPr>
        <w:pStyle w:val="Style10"/>
        <w:keepNext w:val="0"/>
        <w:keepLines w:val="0"/>
        <w:widowControl w:val="0"/>
        <w:shd w:val="clear" w:color="auto" w:fill="auto"/>
        <w:bidi w:val="0"/>
        <w:spacing w:before="0" w:after="100" w:line="240" w:lineRule="auto"/>
        <w:ind w:left="0" w:right="0" w:firstLine="0"/>
        <w:jc w:val="right"/>
      </w:pPr>
      <w:r>
        <w:rPr>
          <w:color w:val="000000"/>
          <w:spacing w:val="0"/>
          <w:w w:val="100"/>
          <w:position w:val="0"/>
          <w:shd w:val="clear" w:color="auto" w:fill="auto"/>
          <w:lang w:val="en-US" w:eastAsia="en-US" w:bidi="en-US"/>
        </w:rPr>
        <w:t>Proiect</w:t>
      </w:r>
    </w:p>
    <w:p>
      <w:pPr>
        <w:pStyle w:val="Style8"/>
        <w:keepNext/>
        <w:keepLines/>
        <w:widowControl w:val="0"/>
        <w:shd w:val="clear" w:color="auto" w:fill="auto"/>
        <w:bidi w:val="0"/>
        <w:spacing w:before="0" w:after="100" w:line="240" w:lineRule="auto"/>
        <w:ind w:left="0" w:right="0" w:firstLine="0"/>
        <w:jc w:val="center"/>
      </w:pPr>
      <w:bookmarkStart w:id="10" w:name="bookmark10"/>
      <w:bookmarkStart w:id="11" w:name="bookmark11"/>
      <w:r>
        <w:rPr>
          <w:color w:val="000000"/>
          <w:spacing w:val="0"/>
          <w:w w:val="100"/>
          <w:position w:val="0"/>
          <w:shd w:val="clear" w:color="auto" w:fill="auto"/>
          <w:lang w:val="en-US" w:eastAsia="en-US" w:bidi="en-US"/>
        </w:rPr>
        <w:t>LEGE</w:t>
      </w:r>
      <w:bookmarkEnd w:id="10"/>
      <w:bookmarkEnd w:id="11"/>
    </w:p>
    <w:p>
      <w:pPr>
        <w:pStyle w:val="Style10"/>
        <w:keepNext w:val="0"/>
        <w:keepLines w:val="0"/>
        <w:widowControl w:val="0"/>
        <w:shd w:val="clear" w:color="auto" w:fill="auto"/>
        <w:bidi w:val="0"/>
        <w:spacing w:before="0" w:after="100" w:line="240" w:lineRule="auto"/>
        <w:ind w:left="0" w:right="0" w:firstLine="0"/>
        <w:jc w:val="center"/>
      </w:pPr>
      <w:r>
        <w:rPr>
          <w:b/>
          <w:bCs/>
          <w:color w:val="000000"/>
          <w:spacing w:val="0"/>
          <w:w w:val="100"/>
          <w:position w:val="0"/>
          <w:shd w:val="clear" w:color="auto" w:fill="auto"/>
          <w:lang w:val="en-US" w:eastAsia="en-US" w:bidi="en-US"/>
        </w:rPr>
        <w:t>privind modificarea Legii</w:t>
      </w:r>
    </w:p>
    <w:p>
      <w:pPr>
        <w:pStyle w:val="Style10"/>
        <w:keepNext w:val="0"/>
        <w:keepLines w:val="0"/>
        <w:widowControl w:val="0"/>
        <w:shd w:val="clear" w:color="auto" w:fill="auto"/>
        <w:bidi w:val="0"/>
        <w:spacing w:before="0" w:after="420" w:line="240" w:lineRule="auto"/>
        <w:ind w:left="0" w:right="0" w:firstLine="0"/>
        <w:jc w:val="center"/>
      </w:pPr>
      <w:r>
        <w:rPr>
          <w:b/>
          <w:bCs/>
          <w:color w:val="000000"/>
          <w:spacing w:val="0"/>
          <w:w w:val="100"/>
          <w:position w:val="0"/>
          <w:shd w:val="clear" w:color="auto" w:fill="auto"/>
          <w:lang w:val="en-US" w:eastAsia="en-US" w:bidi="en-US"/>
        </w:rPr>
        <w:t xml:space="preserve">bugetului de stat pentru anul 2021 nr. </w:t>
      </w:r>
      <w:r>
        <w:rPr>
          <w:b/>
          <w:bCs/>
          <w:color w:val="000000"/>
          <w:spacing w:val="0"/>
          <w:w w:val="100"/>
          <w:position w:val="0"/>
          <w:shd w:val="clear" w:color="auto" w:fill="auto"/>
          <w:lang w:val="ru-RU" w:eastAsia="ru-RU" w:bidi="ru-RU"/>
        </w:rPr>
        <w:t>258/2020</w:t>
      </w:r>
    </w:p>
    <w:p>
      <w:pPr>
        <w:pStyle w:val="Style10"/>
        <w:keepNext w:val="0"/>
        <w:keepLines w:val="0"/>
        <w:widowControl w:val="0"/>
        <w:shd w:val="clear" w:color="auto" w:fill="auto"/>
        <w:bidi w:val="0"/>
        <w:spacing w:before="0" w:after="320" w:line="240" w:lineRule="auto"/>
        <w:ind w:left="0" w:right="0" w:firstLine="860"/>
        <w:jc w:val="both"/>
      </w:pPr>
      <w:r>
        <w:rPr>
          <w:color w:val="000000"/>
          <w:spacing w:val="0"/>
          <w:w w:val="100"/>
          <w:position w:val="0"/>
          <w:shd w:val="clear" w:color="auto" w:fill="auto"/>
          <w:lang w:val="en-US" w:eastAsia="en-US" w:bidi="en-US"/>
        </w:rPr>
        <w:t>Parlamentul adopta prezenta lege organica.</w:t>
      </w:r>
    </w:p>
    <w:p>
      <w:pPr>
        <w:pStyle w:val="Style10"/>
        <w:keepNext w:val="0"/>
        <w:keepLines w:val="0"/>
        <w:widowControl w:val="0"/>
        <w:shd w:val="clear" w:color="auto" w:fill="auto"/>
        <w:bidi w:val="0"/>
        <w:spacing w:before="0" w:after="320" w:line="240" w:lineRule="auto"/>
        <w:ind w:left="0" w:right="0" w:firstLine="860"/>
        <w:jc w:val="both"/>
      </w:pPr>
      <w:r>
        <w:rPr>
          <w:b/>
          <w:bCs/>
          <w:color w:val="000000"/>
          <w:spacing w:val="0"/>
          <w:w w:val="100"/>
          <w:position w:val="0"/>
          <w:shd w:val="clear" w:color="auto" w:fill="auto"/>
          <w:lang w:val="en-US" w:eastAsia="en-US" w:bidi="en-US"/>
        </w:rPr>
        <w:t xml:space="preserve">Art. I. </w:t>
      </w:r>
      <w:r>
        <w:rPr>
          <w:color w:val="000000"/>
          <w:spacing w:val="0"/>
          <w:w w:val="100"/>
          <w:position w:val="0"/>
          <w:shd w:val="clear" w:color="auto" w:fill="auto"/>
          <w:lang w:val="en-US" w:eastAsia="en-US" w:bidi="en-US"/>
        </w:rPr>
        <w:t xml:space="preserve">- Legea bugetului de stat pentru anul 2021 nr. </w:t>
      </w:r>
      <w:r>
        <w:rPr>
          <w:color w:val="000000"/>
          <w:spacing w:val="0"/>
          <w:w w:val="100"/>
          <w:position w:val="0"/>
          <w:shd w:val="clear" w:color="auto" w:fill="auto"/>
          <w:lang w:val="ru-RU" w:eastAsia="ru-RU" w:bidi="ru-RU"/>
        </w:rPr>
        <w:t xml:space="preserve">258/2020 </w:t>
      </w:r>
      <w:r>
        <w:rPr>
          <w:color w:val="000000"/>
          <w:spacing w:val="0"/>
          <w:w w:val="100"/>
          <w:position w:val="0"/>
          <w:shd w:val="clear" w:color="auto" w:fill="auto"/>
          <w:lang w:val="en-US" w:eastAsia="en-US" w:bidi="en-US"/>
        </w:rPr>
        <w:t>(Monitorul Oficial al Republicii Moldova, 2020, nr.353-357, art.290), cu modificarile ulterioare, se modifica dupa cum urmeaza:</w:t>
      </w:r>
    </w:p>
    <w:p>
      <w:pPr>
        <w:pStyle w:val="Style10"/>
        <w:keepNext w:val="0"/>
        <w:keepLines w:val="0"/>
        <w:widowControl w:val="0"/>
        <w:numPr>
          <w:ilvl w:val="0"/>
          <w:numId w:val="3"/>
        </w:numPr>
        <w:shd w:val="clear" w:color="auto" w:fill="auto"/>
        <w:tabs>
          <w:tab w:pos="1109" w:val="left"/>
        </w:tabs>
        <w:bidi w:val="0"/>
        <w:spacing w:before="0" w:after="320" w:line="240" w:lineRule="auto"/>
        <w:ind w:left="0" w:right="0" w:firstLine="740"/>
        <w:jc w:val="both"/>
      </w:pPr>
      <w:r>
        <w:rPr>
          <w:color w:val="000000"/>
          <w:spacing w:val="0"/>
          <w:w w:val="100"/>
          <w:position w:val="0"/>
          <w:shd w:val="clear" w:color="auto" w:fill="auto"/>
          <w:lang w:val="en-US" w:eastAsia="en-US" w:bidi="en-US"/>
        </w:rPr>
        <w:t xml:space="preserve">La articolul 4 cifrele </w:t>
      </w:r>
      <w:r>
        <w:rPr>
          <w:color w:val="000000"/>
          <w:spacing w:val="0"/>
          <w:w w:val="100"/>
          <w:position w:val="0"/>
          <w:shd w:val="clear" w:color="auto" w:fill="auto"/>
          <w:lang w:val="ru-RU" w:eastAsia="ru-RU" w:bidi="ru-RU"/>
        </w:rPr>
        <w:t xml:space="preserve">„3800092,1” </w:t>
      </w:r>
      <w:r>
        <w:rPr>
          <w:color w:val="000000"/>
          <w:spacing w:val="0"/>
          <w:w w:val="100"/>
          <w:position w:val="0"/>
          <w:shd w:val="clear" w:color="auto" w:fill="auto"/>
          <w:lang w:val="en-US" w:eastAsia="en-US" w:bidi="en-US"/>
        </w:rPr>
        <w:t xml:space="preserve">se substituie cu cifrele </w:t>
      </w:r>
      <w:r>
        <w:rPr>
          <w:color w:val="000000"/>
          <w:spacing w:val="0"/>
          <w:w w:val="100"/>
          <w:position w:val="0"/>
          <w:shd w:val="clear" w:color="auto" w:fill="auto"/>
          <w:lang w:val="ru-RU" w:eastAsia="ru-RU" w:bidi="ru-RU"/>
        </w:rPr>
        <w:t>„3687659,3”.</w:t>
      </w:r>
    </w:p>
    <w:p>
      <w:pPr>
        <w:pStyle w:val="Style10"/>
        <w:keepNext w:val="0"/>
        <w:keepLines w:val="0"/>
        <w:widowControl w:val="0"/>
        <w:numPr>
          <w:ilvl w:val="0"/>
          <w:numId w:val="3"/>
        </w:numPr>
        <w:shd w:val="clear" w:color="auto" w:fill="auto"/>
        <w:tabs>
          <w:tab w:pos="1122" w:val="left"/>
        </w:tabs>
        <w:bidi w:val="0"/>
        <w:spacing w:before="0" w:after="320" w:line="240" w:lineRule="auto"/>
        <w:ind w:left="0" w:right="0" w:firstLine="740"/>
        <w:jc w:val="both"/>
      </w:pPr>
      <w:r>
        <w:rPr>
          <w:color w:val="000000"/>
          <w:spacing w:val="0"/>
          <w:w w:val="100"/>
          <w:position w:val="0"/>
          <w:shd w:val="clear" w:color="auto" w:fill="auto"/>
          <w:lang w:val="en-US" w:eastAsia="en-US" w:bidi="en-US"/>
        </w:rPr>
        <w:t xml:space="preserve">La articolul 8 cifrele </w:t>
      </w:r>
      <w:r>
        <w:rPr>
          <w:color w:val="000000"/>
          <w:spacing w:val="0"/>
          <w:w w:val="100"/>
          <w:position w:val="0"/>
          <w:shd w:val="clear" w:color="auto" w:fill="auto"/>
          <w:lang w:val="ru-RU" w:eastAsia="ru-RU" w:bidi="ru-RU"/>
        </w:rPr>
        <w:t xml:space="preserve">„36350,6” </w:t>
      </w:r>
      <w:r>
        <w:rPr>
          <w:color w:val="000000"/>
          <w:spacing w:val="0"/>
          <w:w w:val="100"/>
          <w:position w:val="0"/>
          <w:shd w:val="clear" w:color="auto" w:fill="auto"/>
          <w:lang w:val="en-US" w:eastAsia="en-US" w:bidi="en-US"/>
        </w:rPr>
        <w:t xml:space="preserve">se substituie cu cifrele </w:t>
      </w:r>
      <w:r>
        <w:rPr>
          <w:color w:val="000000"/>
          <w:spacing w:val="0"/>
          <w:w w:val="100"/>
          <w:position w:val="0"/>
          <w:shd w:val="clear" w:color="auto" w:fill="auto"/>
          <w:lang w:val="ru-RU" w:eastAsia="ru-RU" w:bidi="ru-RU"/>
        </w:rPr>
        <w:t>„36805,3”.</w:t>
      </w:r>
    </w:p>
    <w:p>
      <w:pPr>
        <w:pStyle w:val="Style10"/>
        <w:keepNext w:val="0"/>
        <w:keepLines w:val="0"/>
        <w:widowControl w:val="0"/>
        <w:numPr>
          <w:ilvl w:val="0"/>
          <w:numId w:val="3"/>
        </w:numPr>
        <w:shd w:val="clear" w:color="auto" w:fill="auto"/>
        <w:tabs>
          <w:tab w:pos="1112" w:val="left"/>
        </w:tabs>
        <w:bidi w:val="0"/>
        <w:spacing w:before="0" w:after="320" w:line="240" w:lineRule="auto"/>
        <w:ind w:left="0" w:right="0" w:firstLine="740"/>
        <w:jc w:val="both"/>
      </w:pPr>
      <w:r>
        <w:rPr>
          <w:color w:val="000000"/>
          <w:spacing w:val="0"/>
          <w:w w:val="100"/>
          <w:position w:val="0"/>
          <w:shd w:val="clear" w:color="auto" w:fill="auto"/>
          <w:lang w:val="en-US" w:eastAsia="en-US" w:bidi="en-US"/>
        </w:rPr>
        <w:t>La anexa nr. 1 pozitiile „Cheltuieli, total”, „Transferuri acordate in cadrul bugetului public national”, „Sold bugetar”, „Surse de finantare, total”, „Datorii” si „Datorii interne” vor avea urmatorul cuprins:</w:t>
      </w:r>
    </w:p>
    <w:tbl>
      <w:tblPr>
        <w:tblOverlap w:val="never"/>
        <w:jc w:val="center"/>
        <w:tblLayout w:type="fixed"/>
      </w:tblPr>
      <w:tblGrid>
        <w:gridCol w:w="6576"/>
        <w:gridCol w:w="907"/>
        <w:gridCol w:w="1541"/>
      </w:tblGrid>
      <w:tr>
        <w:trPr>
          <w:trHeight w:val="403" w:hRule="exact"/>
        </w:trPr>
        <w:tc>
          <w:tcPr>
            <w:tcBorders>
              <w:top w:val="single" w:sz="4"/>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rPr>
                <w:sz w:val="24"/>
                <w:szCs w:val="24"/>
              </w:rPr>
            </w:pPr>
            <w:r>
              <w:rPr>
                <w:b/>
                <w:bCs/>
                <w:color w:val="000000"/>
                <w:spacing w:val="0"/>
                <w:w w:val="100"/>
                <w:position w:val="0"/>
                <w:sz w:val="24"/>
                <w:szCs w:val="24"/>
                <w:shd w:val="clear" w:color="auto" w:fill="auto"/>
                <w:lang w:val="en-US" w:eastAsia="en-US" w:bidi="en-US"/>
              </w:rPr>
              <w:t>Cheltuieli, total</w:t>
            </w:r>
          </w:p>
        </w:tc>
        <w:tc>
          <w:tcPr>
            <w:tcBorders>
              <w:top w:val="single" w:sz="4"/>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rPr>
                <w:sz w:val="24"/>
                <w:szCs w:val="24"/>
              </w:rPr>
            </w:pPr>
            <w:r>
              <w:rPr>
                <w:b/>
                <w:bCs/>
                <w:color w:val="000000"/>
                <w:spacing w:val="0"/>
                <w:w w:val="100"/>
                <w:position w:val="0"/>
                <w:sz w:val="24"/>
                <w:szCs w:val="24"/>
                <w:shd w:val="clear" w:color="auto" w:fill="auto"/>
                <w:lang w:val="en-US" w:eastAsia="en-US" w:bidi="en-US"/>
              </w:rPr>
              <w:t>2+3</w:t>
            </w:r>
          </w:p>
        </w:tc>
        <w:tc>
          <w:tcPr>
            <w:tcBorders>
              <w:top w:val="single" w:sz="4"/>
              <w:left w:val="single" w:sz="4"/>
              <w:righ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280"/>
              <w:jc w:val="left"/>
              <w:rPr>
                <w:sz w:val="24"/>
                <w:szCs w:val="24"/>
              </w:rPr>
            </w:pPr>
            <w:r>
              <w:rPr>
                <w:b/>
                <w:bCs/>
                <w:color w:val="000000"/>
                <w:spacing w:val="0"/>
                <w:w w:val="100"/>
                <w:position w:val="0"/>
                <w:sz w:val="24"/>
                <w:szCs w:val="24"/>
                <w:shd w:val="clear" w:color="auto" w:fill="auto"/>
                <w:lang w:val="en-US" w:eastAsia="en-US" w:bidi="en-US"/>
              </w:rPr>
              <w:t>56008134,7</w:t>
            </w:r>
          </w:p>
        </w:tc>
      </w:tr>
      <w:tr>
        <w:trPr>
          <w:trHeight w:val="470" w:hRule="exact"/>
        </w:trPr>
        <w:tc>
          <w:tcPr>
            <w:tcBorders>
              <w:top w:val="single" w:sz="4"/>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en-US" w:eastAsia="en-US" w:bidi="en-US"/>
              </w:rPr>
              <w:t>Transferuri acordate in cadrul bugetului public national</w:t>
            </w:r>
          </w:p>
        </w:tc>
        <w:tc>
          <w:tcPr>
            <w:tcBorders>
              <w:top w:val="single" w:sz="4"/>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rPr>
                <w:sz w:val="24"/>
                <w:szCs w:val="24"/>
              </w:rPr>
            </w:pPr>
            <w:r>
              <w:rPr>
                <w:b/>
                <w:bCs/>
                <w:color w:val="000000"/>
                <w:spacing w:val="0"/>
                <w:w w:val="100"/>
                <w:position w:val="0"/>
                <w:sz w:val="24"/>
                <w:szCs w:val="24"/>
                <w:shd w:val="clear" w:color="auto" w:fill="auto"/>
                <w:lang w:val="en-US" w:eastAsia="en-US" w:bidi="en-US"/>
              </w:rPr>
              <w:t>29</w:t>
            </w:r>
          </w:p>
        </w:tc>
        <w:tc>
          <w:tcPr>
            <w:tcBorders>
              <w:top w:val="single" w:sz="4"/>
              <w:left w:val="single" w:sz="4"/>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280"/>
              <w:jc w:val="left"/>
              <w:rPr>
                <w:sz w:val="24"/>
                <w:szCs w:val="24"/>
              </w:rPr>
            </w:pPr>
            <w:r>
              <w:rPr>
                <w:b/>
                <w:bCs/>
                <w:color w:val="000000"/>
                <w:spacing w:val="0"/>
                <w:w w:val="100"/>
                <w:position w:val="0"/>
                <w:sz w:val="24"/>
                <w:szCs w:val="24"/>
                <w:shd w:val="clear" w:color="auto" w:fill="auto"/>
                <w:lang w:val="en-US" w:eastAsia="en-US" w:bidi="en-US"/>
              </w:rPr>
              <w:t>31100635,1</w:t>
            </w:r>
          </w:p>
        </w:tc>
      </w:tr>
      <w:tr>
        <w:trPr>
          <w:trHeight w:val="394" w:hRule="exact"/>
        </w:trPr>
        <w:tc>
          <w:tcPr>
            <w:tcBorders>
              <w:top w:val="single" w:sz="4"/>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rPr>
                <w:sz w:val="24"/>
                <w:szCs w:val="24"/>
              </w:rPr>
            </w:pPr>
            <w:r>
              <w:rPr>
                <w:b/>
                <w:bCs/>
                <w:color w:val="000000"/>
                <w:spacing w:val="0"/>
                <w:w w:val="100"/>
                <w:position w:val="0"/>
                <w:sz w:val="24"/>
                <w:szCs w:val="24"/>
                <w:shd w:val="clear" w:color="auto" w:fill="auto"/>
                <w:lang w:val="en-US" w:eastAsia="en-US" w:bidi="en-US"/>
              </w:rPr>
              <w:t>Sold bugetar</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rPr>
                <w:sz w:val="24"/>
                <w:szCs w:val="24"/>
              </w:rPr>
            </w:pPr>
            <w:r>
              <w:rPr>
                <w:b/>
                <w:bCs/>
                <w:color w:val="000000"/>
                <w:spacing w:val="0"/>
                <w:w w:val="100"/>
                <w:position w:val="0"/>
                <w:sz w:val="24"/>
                <w:szCs w:val="24"/>
                <w:shd w:val="clear" w:color="auto" w:fill="auto"/>
                <w:lang w:val="en-US" w:eastAsia="en-US" w:bidi="en-US"/>
              </w:rPr>
              <w:t>-14592734,7</w:t>
            </w:r>
          </w:p>
        </w:tc>
      </w:tr>
      <w:tr>
        <w:trPr>
          <w:trHeight w:val="394" w:hRule="exact"/>
        </w:trPr>
        <w:tc>
          <w:tcPr>
            <w:tcBorders>
              <w:top w:val="single" w:sz="4"/>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rPr>
                <w:sz w:val="24"/>
                <w:szCs w:val="24"/>
              </w:rPr>
            </w:pPr>
            <w:r>
              <w:rPr>
                <w:b/>
                <w:bCs/>
                <w:color w:val="000000"/>
                <w:spacing w:val="0"/>
                <w:w w:val="100"/>
                <w:position w:val="0"/>
                <w:sz w:val="24"/>
                <w:szCs w:val="24"/>
                <w:shd w:val="clear" w:color="auto" w:fill="auto"/>
                <w:lang w:val="en-US" w:eastAsia="en-US" w:bidi="en-US"/>
              </w:rPr>
              <w:t>Surse de finantare, total</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280"/>
              <w:jc w:val="left"/>
              <w:rPr>
                <w:sz w:val="24"/>
                <w:szCs w:val="24"/>
              </w:rPr>
            </w:pPr>
            <w:r>
              <w:rPr>
                <w:b/>
                <w:bCs/>
                <w:color w:val="000000"/>
                <w:spacing w:val="0"/>
                <w:w w:val="100"/>
                <w:position w:val="0"/>
                <w:sz w:val="24"/>
                <w:szCs w:val="24"/>
                <w:shd w:val="clear" w:color="auto" w:fill="auto"/>
                <w:lang w:val="en-US" w:eastAsia="en-US" w:bidi="en-US"/>
              </w:rPr>
              <w:t>14592734,7</w:t>
            </w:r>
          </w:p>
        </w:tc>
      </w:tr>
      <w:tr>
        <w:trPr>
          <w:trHeight w:val="394" w:hRule="exact"/>
        </w:trPr>
        <w:tc>
          <w:tcPr>
            <w:tcBorders>
              <w:top w:val="single" w:sz="4"/>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en-US" w:eastAsia="en-US" w:bidi="en-US"/>
              </w:rPr>
              <w:t>Datorii</w:t>
            </w:r>
          </w:p>
        </w:tc>
        <w:tc>
          <w:tcPr>
            <w:tcBorders>
              <w:top w:val="single" w:sz="4"/>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en-US" w:eastAsia="en-US" w:bidi="en-US"/>
              </w:rPr>
              <w:t>5</w:t>
            </w:r>
          </w:p>
        </w:tc>
        <w:tc>
          <w:tcPr>
            <w:tcBorders>
              <w:top w:val="single" w:sz="4"/>
              <w:left w:val="single" w:sz="4"/>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280"/>
              <w:jc w:val="left"/>
              <w:rPr>
                <w:sz w:val="24"/>
                <w:szCs w:val="24"/>
              </w:rPr>
            </w:pPr>
            <w:r>
              <w:rPr>
                <w:color w:val="000000"/>
                <w:spacing w:val="0"/>
                <w:w w:val="100"/>
                <w:position w:val="0"/>
                <w:sz w:val="24"/>
                <w:szCs w:val="24"/>
                <w:shd w:val="clear" w:color="auto" w:fill="auto"/>
                <w:lang w:val="en-US" w:eastAsia="en-US" w:bidi="en-US"/>
              </w:rPr>
              <w:t>14855183,3</w:t>
            </w:r>
          </w:p>
        </w:tc>
      </w:tr>
      <w:tr>
        <w:trPr>
          <w:trHeight w:val="331" w:hRule="exact"/>
        </w:trPr>
        <w:tc>
          <w:tcPr>
            <w:tcBorders>
              <w:top w:val="single" w:sz="4"/>
              <w:left w:val="single" w:sz="4"/>
              <w:bottom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en-US" w:eastAsia="en-US" w:bidi="en-US"/>
              </w:rPr>
              <w:t>Datorii interne</w:t>
            </w:r>
          </w:p>
        </w:tc>
        <w:tc>
          <w:tcPr>
            <w:tcBorders>
              <w:top w:val="single" w:sz="4"/>
              <w:left w:val="single" w:sz="4"/>
              <w:bottom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en-US" w:eastAsia="en-US" w:bidi="en-US"/>
              </w:rPr>
              <w:t>51</w:t>
            </w:r>
          </w:p>
        </w:tc>
        <w:tc>
          <w:tcPr>
            <w:tcBorders>
              <w:top w:val="single" w:sz="4"/>
              <w:left w:val="single" w:sz="4"/>
              <w:bottom w:val="single" w:sz="4"/>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rPr>
                <w:sz w:val="24"/>
                <w:szCs w:val="24"/>
              </w:rPr>
            </w:pPr>
            <w:r>
              <w:rPr>
                <w:color w:val="000000"/>
                <w:spacing w:val="0"/>
                <w:w w:val="100"/>
                <w:position w:val="0"/>
                <w:sz w:val="24"/>
                <w:szCs w:val="24"/>
                <w:shd w:val="clear" w:color="auto" w:fill="auto"/>
                <w:lang w:val="en-US" w:eastAsia="en-US" w:bidi="en-US"/>
              </w:rPr>
              <w:t>7048534,7</w:t>
            </w:r>
          </w:p>
        </w:tc>
      </w:tr>
    </w:tbl>
    <w:p>
      <w:pPr>
        <w:widowControl w:val="0"/>
        <w:spacing w:after="319" w:line="1" w:lineRule="exact"/>
      </w:pPr>
    </w:p>
    <w:p>
      <w:pPr>
        <w:pStyle w:val="Style10"/>
        <w:keepNext w:val="0"/>
        <w:keepLines w:val="0"/>
        <w:widowControl w:val="0"/>
        <w:numPr>
          <w:ilvl w:val="0"/>
          <w:numId w:val="3"/>
        </w:numPr>
        <w:shd w:val="clear" w:color="auto" w:fill="auto"/>
        <w:tabs>
          <w:tab w:pos="1232" w:val="left"/>
        </w:tabs>
        <w:bidi w:val="0"/>
        <w:spacing w:before="0" w:after="320" w:line="240" w:lineRule="auto"/>
        <w:ind w:left="0" w:right="0" w:firstLine="860"/>
        <w:jc w:val="both"/>
      </w:pPr>
      <w:r>
        <w:rPr>
          <w:color w:val="000000"/>
          <w:spacing w:val="0"/>
          <w:w w:val="100"/>
          <w:position w:val="0"/>
          <w:shd w:val="clear" w:color="auto" w:fill="auto"/>
          <w:lang w:val="en-US" w:eastAsia="en-US" w:bidi="en-US"/>
        </w:rPr>
        <w:t>La anexa nr. 2 pozitiile „Surse de finantare, total”, „Datorii”, „Datorii interne”, „Valori mobiliare de stat, cu exceptia actiunilor” si „Valori mobiliare de stat emise pe piata primara” vor avea urmatorul cuprins:</w:t>
      </w:r>
    </w:p>
    <w:tbl>
      <w:tblPr>
        <w:tblOverlap w:val="never"/>
        <w:jc w:val="center"/>
        <w:tblLayout w:type="fixed"/>
      </w:tblPr>
      <w:tblGrid>
        <w:gridCol w:w="6576"/>
        <w:gridCol w:w="883"/>
        <w:gridCol w:w="1555"/>
      </w:tblGrid>
      <w:tr>
        <w:trPr>
          <w:trHeight w:val="326" w:hRule="exact"/>
        </w:trPr>
        <w:tc>
          <w:tcPr>
            <w:tcBorders>
              <w:top w:val="single" w:sz="4"/>
              <w:left w:val="single" w:sz="4"/>
              <w:bottom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rPr>
                <w:sz w:val="24"/>
                <w:szCs w:val="24"/>
              </w:rPr>
            </w:pPr>
            <w:r>
              <w:rPr>
                <w:b/>
                <w:bCs/>
                <w:color w:val="000000"/>
                <w:spacing w:val="0"/>
                <w:w w:val="100"/>
                <w:position w:val="0"/>
                <w:sz w:val="24"/>
                <w:szCs w:val="24"/>
                <w:shd w:val="clear" w:color="auto" w:fill="auto"/>
                <w:lang w:val="en-US" w:eastAsia="en-US" w:bidi="en-US"/>
              </w:rPr>
              <w:t>Surse de finantare, total</w:t>
            </w: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rPr>
                <w:sz w:val="24"/>
                <w:szCs w:val="24"/>
              </w:rPr>
            </w:pPr>
            <w:r>
              <w:rPr>
                <w:b/>
                <w:bCs/>
                <w:color w:val="000000"/>
                <w:spacing w:val="0"/>
                <w:w w:val="100"/>
                <w:position w:val="0"/>
                <w:sz w:val="24"/>
                <w:szCs w:val="24"/>
                <w:shd w:val="clear" w:color="auto" w:fill="auto"/>
                <w:lang w:val="en-US" w:eastAsia="en-US" w:bidi="en-US"/>
              </w:rPr>
              <w:t>14592734,7</w:t>
            </w:r>
          </w:p>
        </w:tc>
      </w:tr>
    </w:tbl>
    <w:p>
      <w:pPr>
        <w:pStyle w:val="Style20"/>
        <w:keepNext w:val="0"/>
        <w:keepLines w:val="0"/>
        <w:widowControl w:val="0"/>
        <w:shd w:val="clear" w:color="auto" w:fill="auto"/>
        <w:tabs>
          <w:tab w:leader="underscore" w:pos="6528" w:val="left"/>
          <w:tab w:leader="underscore" w:pos="7411" w:val="left"/>
        </w:tabs>
        <w:bidi w:val="0"/>
        <w:spacing w:before="0" w:after="0" w:line="240" w:lineRule="auto"/>
        <w:ind w:left="86" w:right="0" w:firstLine="0"/>
        <w:jc w:val="left"/>
        <w:rPr>
          <w:sz w:val="24"/>
          <w:szCs w:val="24"/>
        </w:rPr>
      </w:pPr>
      <w:r>
        <w:rPr>
          <w:b/>
          <w:bCs/>
          <w:color w:val="000000"/>
          <w:spacing w:val="0"/>
          <w:w w:val="100"/>
          <w:position w:val="0"/>
          <w:sz w:val="24"/>
          <w:szCs w:val="24"/>
          <w:u w:val="single"/>
          <w:shd w:val="clear" w:color="auto" w:fill="auto"/>
          <w:lang w:val="en-US" w:eastAsia="en-US" w:bidi="en-US"/>
        </w:rPr>
        <w:t>Surse de finantare, total</w:t>
      </w:r>
      <w:r>
        <w:rPr>
          <w:b/>
          <w:bCs/>
          <w:color w:val="000000"/>
          <w:spacing w:val="0"/>
          <w:w w:val="100"/>
          <w:position w:val="0"/>
          <w:sz w:val="24"/>
          <w:szCs w:val="24"/>
          <w:shd w:val="clear" w:color="auto" w:fill="auto"/>
          <w:lang w:val="en-US" w:eastAsia="en-US" w:bidi="en-US"/>
        </w:rPr>
        <w:tab/>
        <w:tab/>
        <w:t xml:space="preserve"> </w:t>
      </w:r>
      <w:r>
        <w:rPr>
          <w:b/>
          <w:bCs/>
          <w:color w:val="000000"/>
          <w:spacing w:val="0"/>
          <w:w w:val="100"/>
          <w:position w:val="0"/>
          <w:sz w:val="24"/>
          <w:szCs w:val="24"/>
          <w:u w:val="single"/>
          <w:shd w:val="clear" w:color="auto" w:fill="auto"/>
          <w:lang w:val="en-US" w:eastAsia="en-US" w:bidi="en-US"/>
        </w:rPr>
        <w:t>14592734,7</w:t>
      </w:r>
    </w:p>
    <w:p>
      <w:pPr>
        <w:widowControl w:val="0"/>
        <w:spacing w:after="99" w:line="1" w:lineRule="exact"/>
      </w:pPr>
    </w:p>
    <w:tbl>
      <w:tblPr>
        <w:tblOverlap w:val="never"/>
        <w:jc w:val="center"/>
        <w:tblLayout w:type="fixed"/>
      </w:tblPr>
      <w:tblGrid>
        <w:gridCol w:w="6576"/>
        <w:gridCol w:w="902"/>
        <w:gridCol w:w="1536"/>
      </w:tblGrid>
      <w:tr>
        <w:trPr>
          <w:trHeight w:val="317" w:hRule="exact"/>
        </w:trPr>
        <w:tc>
          <w:tcPr>
            <w:tcBorders>
              <w:top w:val="single" w:sz="4"/>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Datorii</w:t>
            </w:r>
          </w:p>
        </w:tc>
        <w:tc>
          <w:tcPr>
            <w:tcBorders>
              <w:top w:val="single" w:sz="4"/>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rPr>
                <w:sz w:val="24"/>
                <w:szCs w:val="24"/>
              </w:rPr>
            </w:pPr>
            <w:r>
              <w:rPr>
                <w:b/>
                <w:bCs/>
                <w:color w:val="000000"/>
                <w:spacing w:val="0"/>
                <w:w w:val="100"/>
                <w:position w:val="0"/>
                <w:sz w:val="24"/>
                <w:szCs w:val="24"/>
                <w:shd w:val="clear" w:color="auto" w:fill="auto"/>
                <w:lang w:val="en-US" w:eastAsia="en-US" w:bidi="en-US"/>
              </w:rPr>
              <w:t>5</w:t>
            </w:r>
          </w:p>
        </w:tc>
        <w:tc>
          <w:tcPr>
            <w:tcBorders>
              <w:top w:val="single" w:sz="4"/>
              <w:left w:val="single" w:sz="4"/>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rPr>
                <w:sz w:val="24"/>
                <w:szCs w:val="24"/>
              </w:rPr>
            </w:pPr>
            <w:r>
              <w:rPr>
                <w:b/>
                <w:bCs/>
                <w:color w:val="000000"/>
                <w:spacing w:val="0"/>
                <w:w w:val="100"/>
                <w:position w:val="0"/>
                <w:sz w:val="24"/>
                <w:szCs w:val="24"/>
                <w:shd w:val="clear" w:color="auto" w:fill="auto"/>
                <w:lang w:val="en-US" w:eastAsia="en-US" w:bidi="en-US"/>
              </w:rPr>
              <w:t>14855183,3</w:t>
            </w:r>
          </w:p>
        </w:tc>
      </w:tr>
      <w:tr>
        <w:trPr>
          <w:trHeight w:val="322" w:hRule="exact"/>
        </w:trPr>
        <w:tc>
          <w:tcPr>
            <w:tcBorders>
              <w:top w:val="single" w:sz="4"/>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rPr>
                <w:sz w:val="22"/>
                <w:szCs w:val="22"/>
              </w:rPr>
            </w:pPr>
            <w:r>
              <w:rPr>
                <w:b/>
                <w:bCs/>
                <w:i/>
                <w:iCs/>
                <w:color w:val="000000"/>
                <w:spacing w:val="0"/>
                <w:w w:val="100"/>
                <w:position w:val="0"/>
                <w:sz w:val="22"/>
                <w:szCs w:val="22"/>
                <w:shd w:val="clear" w:color="auto" w:fill="auto"/>
                <w:lang w:val="en-US" w:eastAsia="en-US" w:bidi="en-US"/>
              </w:rPr>
              <w:t>Datorii interne</w:t>
            </w:r>
          </w:p>
        </w:tc>
        <w:tc>
          <w:tcPr>
            <w:tcBorders>
              <w:top w:val="single" w:sz="4"/>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rPr>
                <w:sz w:val="24"/>
                <w:szCs w:val="24"/>
              </w:rPr>
            </w:pPr>
            <w:r>
              <w:rPr>
                <w:b/>
                <w:bCs/>
                <w:i/>
                <w:iCs/>
                <w:color w:val="000000"/>
                <w:spacing w:val="0"/>
                <w:w w:val="100"/>
                <w:position w:val="0"/>
                <w:sz w:val="24"/>
                <w:szCs w:val="24"/>
                <w:shd w:val="clear" w:color="auto" w:fill="auto"/>
                <w:lang w:val="en-US" w:eastAsia="en-US" w:bidi="en-US"/>
              </w:rPr>
              <w:t>51</w:t>
            </w:r>
          </w:p>
        </w:tc>
        <w:tc>
          <w:tcPr>
            <w:tcBorders>
              <w:top w:val="single" w:sz="4"/>
              <w:left w:val="single" w:sz="4"/>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jc w:val="left"/>
              <w:rPr>
                <w:sz w:val="24"/>
                <w:szCs w:val="24"/>
              </w:rPr>
            </w:pPr>
            <w:r>
              <w:rPr>
                <w:b/>
                <w:bCs/>
                <w:i/>
                <w:iCs/>
                <w:color w:val="000000"/>
                <w:spacing w:val="0"/>
                <w:w w:val="100"/>
                <w:position w:val="0"/>
                <w:sz w:val="24"/>
                <w:szCs w:val="24"/>
                <w:shd w:val="clear" w:color="auto" w:fill="auto"/>
                <w:lang w:val="en-US" w:eastAsia="en-US" w:bidi="en-US"/>
              </w:rPr>
              <w:t>7048534,7</w:t>
            </w:r>
          </w:p>
        </w:tc>
      </w:tr>
      <w:tr>
        <w:trPr>
          <w:trHeight w:val="317" w:hRule="exact"/>
        </w:trPr>
        <w:tc>
          <w:tcPr>
            <w:tcBorders>
              <w:top w:val="single" w:sz="4"/>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Valori mobiliare de stat, cu exceptia actiunilor</w:t>
            </w:r>
          </w:p>
        </w:tc>
        <w:tc>
          <w:tcPr>
            <w:tcBorders>
              <w:top w:val="single" w:sz="4"/>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en-US" w:eastAsia="en-US" w:bidi="en-US"/>
              </w:rPr>
              <w:t>513</w:t>
            </w:r>
          </w:p>
        </w:tc>
        <w:tc>
          <w:tcPr>
            <w:tcBorders>
              <w:top w:val="single" w:sz="4"/>
              <w:left w:val="single" w:sz="4"/>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jc w:val="left"/>
              <w:rPr>
                <w:sz w:val="24"/>
                <w:szCs w:val="24"/>
              </w:rPr>
            </w:pPr>
            <w:r>
              <w:rPr>
                <w:color w:val="000000"/>
                <w:spacing w:val="0"/>
                <w:w w:val="100"/>
                <w:position w:val="0"/>
                <w:sz w:val="24"/>
                <w:szCs w:val="24"/>
                <w:shd w:val="clear" w:color="auto" w:fill="auto"/>
                <w:lang w:val="en-US" w:eastAsia="en-US" w:bidi="en-US"/>
              </w:rPr>
              <w:t>7098534,7</w:t>
            </w:r>
          </w:p>
        </w:tc>
      </w:tr>
      <w:tr>
        <w:trPr>
          <w:trHeight w:val="331" w:hRule="exact"/>
        </w:trPr>
        <w:tc>
          <w:tcPr>
            <w:tcBorders>
              <w:top w:val="single" w:sz="4"/>
              <w:left w:val="single" w:sz="4"/>
              <w:bottom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Valori mobiliare de stat emise pe piata primara</w:t>
            </w:r>
          </w:p>
        </w:tc>
        <w:tc>
          <w:tcPr>
            <w:tcBorders>
              <w:top w:val="single" w:sz="4"/>
              <w:left w:val="single" w:sz="4"/>
              <w:bottom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en-US" w:eastAsia="en-US" w:bidi="en-US"/>
              </w:rPr>
              <w:t>5131</w:t>
            </w:r>
          </w:p>
        </w:tc>
        <w:tc>
          <w:tcPr>
            <w:tcBorders>
              <w:top w:val="single" w:sz="4"/>
              <w:left w:val="single" w:sz="4"/>
              <w:bottom w:val="single" w:sz="4"/>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jc w:val="left"/>
              <w:rPr>
                <w:sz w:val="24"/>
                <w:szCs w:val="24"/>
              </w:rPr>
            </w:pPr>
            <w:r>
              <w:rPr>
                <w:color w:val="000000"/>
                <w:spacing w:val="0"/>
                <w:w w:val="100"/>
                <w:position w:val="0"/>
                <w:sz w:val="24"/>
                <w:szCs w:val="24"/>
                <w:shd w:val="clear" w:color="auto" w:fill="auto"/>
                <w:lang w:val="en-US" w:eastAsia="en-US" w:bidi="en-US"/>
              </w:rPr>
              <w:t>7358534,7</w:t>
            </w:r>
          </w:p>
        </w:tc>
      </w:tr>
    </w:tbl>
    <w:p>
      <w:pPr>
        <w:widowControl w:val="0"/>
        <w:spacing w:after="319" w:line="1" w:lineRule="exact"/>
      </w:pPr>
    </w:p>
    <w:p>
      <w:pPr>
        <w:pStyle w:val="Style10"/>
        <w:keepNext w:val="0"/>
        <w:keepLines w:val="0"/>
        <w:widowControl w:val="0"/>
        <w:numPr>
          <w:ilvl w:val="0"/>
          <w:numId w:val="3"/>
        </w:numPr>
        <w:shd w:val="clear" w:color="auto" w:fill="auto"/>
        <w:tabs>
          <w:tab w:pos="1233" w:val="left"/>
        </w:tabs>
        <w:bidi w:val="0"/>
        <w:spacing w:before="0" w:after="0" w:line="240" w:lineRule="auto"/>
        <w:ind w:left="0" w:right="0" w:firstLine="860"/>
        <w:jc w:val="both"/>
      </w:pPr>
      <w:r>
        <w:rPr>
          <w:color w:val="000000"/>
          <w:spacing w:val="0"/>
          <w:w w:val="100"/>
          <w:position w:val="0"/>
          <w:shd w:val="clear" w:color="auto" w:fill="auto"/>
          <w:lang w:val="en-US" w:eastAsia="en-US" w:bidi="en-US"/>
        </w:rPr>
        <w:t>La anexa nr. 3, sectiunea 3.1 Cheltuieli:</w:t>
      </w:r>
    </w:p>
    <w:p>
      <w:pPr>
        <w:pStyle w:val="Style28"/>
        <w:keepNext w:val="0"/>
        <w:keepLines w:val="0"/>
        <w:widowControl w:val="0"/>
        <w:shd w:val="clear" w:color="auto" w:fill="auto"/>
        <w:tabs>
          <w:tab w:pos="3349" w:val="left"/>
        </w:tabs>
        <w:bidi w:val="0"/>
        <w:spacing w:before="0" w:after="0"/>
        <w:ind w:right="0" w:firstLine="0"/>
        <w:jc w:val="left"/>
      </w:pPr>
      <w:r>
        <w:rPr>
          <w:color w:val="000000"/>
          <w:spacing w:val="0"/>
          <w:w w:val="100"/>
          <w:position w:val="0"/>
          <w:shd w:val="clear" w:color="auto" w:fill="auto"/>
          <w:lang w:val="en-US" w:eastAsia="en-US" w:bidi="en-US"/>
        </w:rPr>
        <w:t>~</w:t>
        <w:tab/>
        <w:t>5</w:t>
      </w:r>
      <w:r>
        <w:br w:type="page"/>
      </w:r>
    </w:p>
    <w:p>
      <w:pPr>
        <w:pStyle w:val="Style10"/>
        <w:keepNext w:val="0"/>
        <w:keepLines w:val="0"/>
        <w:widowControl w:val="0"/>
        <w:shd w:val="clear" w:color="auto" w:fill="auto"/>
        <w:bidi w:val="0"/>
        <w:spacing w:before="0" w:after="0" w:line="240" w:lineRule="auto"/>
        <w:ind w:left="0" w:right="0" w:firstLine="880"/>
        <w:jc w:val="both"/>
      </w:pPr>
      <w:r>
        <w:rPr>
          <w:color w:val="000000"/>
          <w:spacing w:val="0"/>
          <w:w w:val="100"/>
          <w:position w:val="0"/>
          <w:shd w:val="clear" w:color="auto" w:fill="auto"/>
          <w:lang w:val="en-US" w:eastAsia="en-US" w:bidi="en-US"/>
        </w:rPr>
        <w:t>a) in compartimentul „Actiuni generale”:</w:t>
      </w:r>
    </w:p>
    <w:p>
      <w:pPr>
        <w:pStyle w:val="Style10"/>
        <w:keepNext w:val="0"/>
        <w:keepLines w:val="0"/>
        <w:widowControl w:val="0"/>
        <w:shd w:val="clear" w:color="auto" w:fill="auto"/>
        <w:bidi w:val="0"/>
        <w:spacing w:before="0" w:after="300" w:line="240" w:lineRule="auto"/>
        <w:ind w:left="0" w:right="0" w:firstLine="880"/>
        <w:jc w:val="both"/>
      </w:pPr>
      <w:r>
        <w:rPr>
          <w:color w:val="000000"/>
          <w:spacing w:val="0"/>
          <w:w w:val="100"/>
          <w:position w:val="0"/>
          <w:shd w:val="clear" w:color="auto" w:fill="auto"/>
          <w:lang w:val="en-US" w:eastAsia="en-US" w:bidi="en-US"/>
        </w:rPr>
        <w:t>- pozitia „Cheltuieli si active nefinanciare, total” va avea urmatorul cuprins:</w:t>
      </w:r>
    </w:p>
    <w:tbl>
      <w:tblPr>
        <w:tblOverlap w:val="never"/>
        <w:jc w:val="center"/>
        <w:tblLayout w:type="fixed"/>
      </w:tblPr>
      <w:tblGrid>
        <w:gridCol w:w="6552"/>
        <w:gridCol w:w="922"/>
        <w:gridCol w:w="1493"/>
      </w:tblGrid>
      <w:tr>
        <w:trPr>
          <w:trHeight w:val="370" w:hRule="exact"/>
        </w:trPr>
        <w:tc>
          <w:tcPr>
            <w:tcBorders>
              <w:top w:val="single" w:sz="4"/>
              <w:left w:val="single" w:sz="4"/>
              <w:bottom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rPr>
                <w:sz w:val="24"/>
                <w:szCs w:val="24"/>
              </w:rPr>
            </w:pPr>
            <w:r>
              <w:rPr>
                <w:b/>
                <w:bCs/>
                <w:color w:val="000000"/>
                <w:spacing w:val="0"/>
                <w:w w:val="100"/>
                <w:position w:val="0"/>
                <w:sz w:val="24"/>
                <w:szCs w:val="24"/>
                <w:shd w:val="clear" w:color="auto" w:fill="auto"/>
                <w:lang w:val="en-US" w:eastAsia="en-US" w:bidi="en-US"/>
              </w:rPr>
              <w:t>Cheltuieli si active nefinanciare, total</w:t>
            </w:r>
          </w:p>
        </w:tc>
        <w:tc>
          <w:tcPr>
            <w:tcBorders>
              <w:top w:val="single" w:sz="4"/>
              <w:left w:val="single" w:sz="4"/>
              <w:bottom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rPr>
                <w:sz w:val="24"/>
                <w:szCs w:val="24"/>
              </w:rPr>
            </w:pPr>
            <w:r>
              <w:rPr>
                <w:b/>
                <w:bCs/>
                <w:color w:val="000000"/>
                <w:spacing w:val="0"/>
                <w:w w:val="100"/>
                <w:position w:val="0"/>
                <w:sz w:val="24"/>
                <w:szCs w:val="24"/>
                <w:shd w:val="clear" w:color="auto" w:fill="auto"/>
                <w:lang w:val="en-US" w:eastAsia="en-US" w:bidi="en-US"/>
              </w:rPr>
              <w:t>2+3</w:t>
            </w:r>
          </w:p>
        </w:tc>
        <w:tc>
          <w:tcPr>
            <w:tcBorders>
              <w:top w:val="single" w:sz="4"/>
              <w:left w:val="single" w:sz="4"/>
              <w:bottom w:val="single" w:sz="4"/>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rPr>
                <w:sz w:val="24"/>
                <w:szCs w:val="24"/>
              </w:rPr>
            </w:pPr>
            <w:r>
              <w:rPr>
                <w:b/>
                <w:bCs/>
                <w:color w:val="000000"/>
                <w:spacing w:val="0"/>
                <w:w w:val="100"/>
                <w:position w:val="0"/>
                <w:sz w:val="24"/>
                <w:szCs w:val="24"/>
                <w:shd w:val="clear" w:color="auto" w:fill="auto"/>
                <w:lang w:val="en-US" w:eastAsia="en-US" w:bidi="en-US"/>
              </w:rPr>
              <w:t>33843325,6</w:t>
            </w:r>
          </w:p>
        </w:tc>
      </w:tr>
    </w:tbl>
    <w:p>
      <w:pPr>
        <w:widowControl w:val="0"/>
        <w:spacing w:after="299" w:line="1" w:lineRule="exact"/>
      </w:pPr>
    </w:p>
    <w:p>
      <w:pPr>
        <w:pStyle w:val="Style10"/>
        <w:keepNext w:val="0"/>
        <w:keepLines w:val="0"/>
        <w:widowControl w:val="0"/>
        <w:shd w:val="clear" w:color="auto" w:fill="auto"/>
        <w:bidi w:val="0"/>
        <w:spacing w:before="0" w:after="300" w:line="240" w:lineRule="auto"/>
        <w:ind w:left="0" w:right="0" w:firstLine="880"/>
        <w:jc w:val="both"/>
      </w:pPr>
      <w:r>
        <w:rPr>
          <w:color w:val="000000"/>
          <w:spacing w:val="0"/>
          <w:w w:val="100"/>
          <w:position w:val="0"/>
          <w:shd w:val="clear" w:color="auto" w:fill="auto"/>
          <w:lang w:val="en-US" w:eastAsia="en-US" w:bidi="en-US"/>
        </w:rPr>
        <w:t>- in subcompartimentul „Protectie sociala” pozitiile „Cheltuieli si active nefinanciare, total”, „Protectia sociala a persoanelor in situatii de risc” si „Sustinerea sistemului public de asigurari sociale” vor avea urmatorul cuprins:</w:t>
      </w:r>
    </w:p>
    <w:tbl>
      <w:tblPr>
        <w:tblOverlap w:val="never"/>
        <w:jc w:val="center"/>
        <w:tblLayout w:type="fixed"/>
      </w:tblPr>
      <w:tblGrid>
        <w:gridCol w:w="6528"/>
        <w:gridCol w:w="955"/>
        <w:gridCol w:w="1541"/>
      </w:tblGrid>
      <w:tr>
        <w:trPr>
          <w:trHeight w:val="403" w:hRule="exact"/>
        </w:trPr>
        <w:tc>
          <w:tcPr>
            <w:tcBorders>
              <w:top w:val="single" w:sz="4"/>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en-US" w:eastAsia="en-US" w:bidi="en-US"/>
              </w:rPr>
              <w:t>Cheltuieli si active nefinanciare, total</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right"/>
              <w:rPr>
                <w:sz w:val="24"/>
                <w:szCs w:val="24"/>
              </w:rPr>
            </w:pPr>
            <w:r>
              <w:rPr>
                <w:color w:val="000000"/>
                <w:spacing w:val="0"/>
                <w:w w:val="100"/>
                <w:position w:val="0"/>
                <w:sz w:val="24"/>
                <w:szCs w:val="24"/>
                <w:shd w:val="clear" w:color="auto" w:fill="auto"/>
                <w:lang w:val="en-US" w:eastAsia="en-US" w:bidi="en-US"/>
              </w:rPr>
              <w:t>11461669,3</w:t>
            </w:r>
          </w:p>
        </w:tc>
      </w:tr>
      <w:tr>
        <w:trPr>
          <w:trHeight w:val="384" w:hRule="exact"/>
        </w:trPr>
        <w:tc>
          <w:tcPr>
            <w:tcBorders>
              <w:top w:val="single" w:sz="4"/>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rPr>
                <w:sz w:val="24"/>
                <w:szCs w:val="24"/>
              </w:rPr>
            </w:pPr>
            <w:r>
              <w:rPr>
                <w:i/>
                <w:iCs/>
                <w:color w:val="000000"/>
                <w:spacing w:val="0"/>
                <w:w w:val="100"/>
                <w:position w:val="0"/>
                <w:sz w:val="24"/>
                <w:szCs w:val="24"/>
                <w:shd w:val="clear" w:color="auto" w:fill="auto"/>
                <w:lang w:val="en-US" w:eastAsia="en-US" w:bidi="en-US"/>
              </w:rPr>
              <w:t>Protectia sociala a persoanelor in situatii de risc</w:t>
            </w:r>
          </w:p>
        </w:tc>
        <w:tc>
          <w:tcPr>
            <w:tcBorders>
              <w:top w:val="single" w:sz="4"/>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rPr>
                <w:sz w:val="24"/>
                <w:szCs w:val="24"/>
              </w:rPr>
            </w:pPr>
            <w:r>
              <w:rPr>
                <w:i/>
                <w:iCs/>
                <w:color w:val="000000"/>
                <w:spacing w:val="0"/>
                <w:w w:val="100"/>
                <w:position w:val="0"/>
                <w:sz w:val="24"/>
                <w:szCs w:val="24"/>
                <w:shd w:val="clear" w:color="auto" w:fill="auto"/>
                <w:lang w:val="en-US" w:eastAsia="en-US" w:bidi="en-US"/>
              </w:rPr>
              <w:t>9015</w:t>
            </w:r>
          </w:p>
        </w:tc>
        <w:tc>
          <w:tcPr>
            <w:tcBorders>
              <w:top w:val="single" w:sz="4"/>
              <w:left w:val="single" w:sz="4"/>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rPr>
                <w:sz w:val="24"/>
                <w:szCs w:val="24"/>
              </w:rPr>
            </w:pPr>
            <w:r>
              <w:rPr>
                <w:i/>
                <w:iCs/>
                <w:color w:val="000000"/>
                <w:spacing w:val="0"/>
                <w:w w:val="100"/>
                <w:position w:val="0"/>
                <w:sz w:val="24"/>
                <w:szCs w:val="24"/>
                <w:shd w:val="clear" w:color="auto" w:fill="auto"/>
                <w:lang w:val="en-US" w:eastAsia="en-US" w:bidi="en-US"/>
              </w:rPr>
              <w:t>6165886,5</w:t>
            </w:r>
          </w:p>
        </w:tc>
      </w:tr>
      <w:tr>
        <w:trPr>
          <w:trHeight w:val="317" w:hRule="exact"/>
        </w:trPr>
        <w:tc>
          <w:tcPr>
            <w:tcBorders>
              <w:top w:val="single" w:sz="4"/>
              <w:left w:val="single" w:sz="4"/>
              <w:bottom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rPr>
                <w:sz w:val="24"/>
                <w:szCs w:val="24"/>
              </w:rPr>
            </w:pPr>
            <w:r>
              <w:rPr>
                <w:i/>
                <w:iCs/>
                <w:color w:val="000000"/>
                <w:spacing w:val="0"/>
                <w:w w:val="100"/>
                <w:position w:val="0"/>
                <w:sz w:val="24"/>
                <w:szCs w:val="24"/>
                <w:shd w:val="clear" w:color="auto" w:fill="auto"/>
                <w:lang w:val="en-US" w:eastAsia="en-US" w:bidi="en-US"/>
              </w:rPr>
              <w:t>Sustinerea sistemului public de asigurari sociale</w:t>
            </w:r>
          </w:p>
        </w:tc>
        <w:tc>
          <w:tcPr>
            <w:tcBorders>
              <w:top w:val="single" w:sz="4"/>
              <w:left w:val="single" w:sz="4"/>
              <w:bottom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rPr>
                <w:sz w:val="24"/>
                <w:szCs w:val="24"/>
              </w:rPr>
            </w:pPr>
            <w:r>
              <w:rPr>
                <w:i/>
                <w:iCs/>
                <w:color w:val="000000"/>
                <w:spacing w:val="0"/>
                <w:w w:val="100"/>
                <w:position w:val="0"/>
                <w:sz w:val="24"/>
                <w:szCs w:val="24"/>
                <w:shd w:val="clear" w:color="auto" w:fill="auto"/>
                <w:lang w:val="en-US" w:eastAsia="en-US" w:bidi="en-US"/>
              </w:rPr>
              <w:t>9016</w:t>
            </w:r>
          </w:p>
        </w:tc>
        <w:tc>
          <w:tcPr>
            <w:tcBorders>
              <w:top w:val="single" w:sz="4"/>
              <w:left w:val="single" w:sz="4"/>
              <w:bottom w:val="single" w:sz="4"/>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rPr>
                <w:sz w:val="24"/>
                <w:szCs w:val="24"/>
              </w:rPr>
            </w:pPr>
            <w:r>
              <w:rPr>
                <w:i/>
                <w:iCs/>
                <w:color w:val="000000"/>
                <w:spacing w:val="0"/>
                <w:w w:val="100"/>
                <w:position w:val="0"/>
                <w:sz w:val="24"/>
                <w:szCs w:val="24"/>
                <w:shd w:val="clear" w:color="auto" w:fill="auto"/>
                <w:lang w:val="en-US" w:eastAsia="en-US" w:bidi="en-US"/>
              </w:rPr>
              <w:t>3687659,3</w:t>
            </w:r>
          </w:p>
        </w:tc>
      </w:tr>
    </w:tbl>
    <w:p>
      <w:pPr>
        <w:widowControl w:val="0"/>
        <w:spacing w:after="299" w:line="1" w:lineRule="exact"/>
      </w:pPr>
    </w:p>
    <w:p>
      <w:pPr>
        <w:pStyle w:val="Style20"/>
        <w:keepNext w:val="0"/>
        <w:keepLines w:val="0"/>
        <w:widowControl w:val="0"/>
        <w:shd w:val="clear" w:color="auto" w:fill="auto"/>
        <w:bidi w:val="0"/>
        <w:spacing w:before="0" w:after="0" w:line="240" w:lineRule="auto"/>
        <w:ind w:left="518" w:right="0" w:firstLine="0"/>
        <w:jc w:val="left"/>
      </w:pPr>
      <w:r>
        <w:rPr>
          <w:color w:val="000000"/>
          <w:spacing w:val="0"/>
          <w:w w:val="100"/>
          <w:position w:val="0"/>
          <w:shd w:val="clear" w:color="auto" w:fill="auto"/>
          <w:lang w:val="en-US" w:eastAsia="en-US" w:bidi="en-US"/>
        </w:rPr>
        <w:t>b) pozitia „TOTAL” va avea urmatorul cuprins:</w:t>
      </w:r>
    </w:p>
    <w:tbl>
      <w:tblPr>
        <w:tblOverlap w:val="never"/>
        <w:jc w:val="center"/>
        <w:tblLayout w:type="fixed"/>
      </w:tblPr>
      <w:tblGrid>
        <w:gridCol w:w="6576"/>
        <w:gridCol w:w="883"/>
        <w:gridCol w:w="1555"/>
      </w:tblGrid>
      <w:tr>
        <w:trPr>
          <w:trHeight w:val="302" w:hRule="exact"/>
        </w:trPr>
        <w:tc>
          <w:tcPr>
            <w:tcBorders>
              <w:top w:val="single" w:sz="4"/>
              <w:left w:val="single" w:sz="4"/>
              <w:bottom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rPr>
                <w:sz w:val="24"/>
                <w:szCs w:val="24"/>
              </w:rPr>
            </w:pPr>
            <w:r>
              <w:rPr>
                <w:b/>
                <w:bCs/>
                <w:color w:val="000000"/>
                <w:spacing w:val="0"/>
                <w:w w:val="100"/>
                <w:position w:val="0"/>
                <w:sz w:val="24"/>
                <w:szCs w:val="24"/>
                <w:shd w:val="clear" w:color="auto" w:fill="auto"/>
                <w:lang w:val="en-US" w:eastAsia="en-US" w:bidi="en-US"/>
              </w:rPr>
              <w:t>TOTAL</w:t>
            </w: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rPr>
                <w:sz w:val="24"/>
                <w:szCs w:val="24"/>
              </w:rPr>
            </w:pPr>
            <w:r>
              <w:rPr>
                <w:b/>
                <w:bCs/>
                <w:color w:val="000000"/>
                <w:spacing w:val="0"/>
                <w:w w:val="100"/>
                <w:position w:val="0"/>
                <w:sz w:val="24"/>
                <w:szCs w:val="24"/>
                <w:shd w:val="clear" w:color="auto" w:fill="auto"/>
                <w:lang w:val="en-US" w:eastAsia="en-US" w:bidi="en-US"/>
              </w:rPr>
              <w:t>56008134,7</w:t>
            </w:r>
          </w:p>
        </w:tc>
      </w:tr>
    </w:tbl>
    <w:p>
      <w:pPr>
        <w:widowControl w:val="0"/>
        <w:spacing w:after="299" w:line="1" w:lineRule="exact"/>
      </w:pPr>
    </w:p>
    <w:p>
      <w:pPr>
        <w:pStyle w:val="Style10"/>
        <w:keepNext w:val="0"/>
        <w:keepLines w:val="0"/>
        <w:widowControl w:val="0"/>
        <w:numPr>
          <w:ilvl w:val="0"/>
          <w:numId w:val="3"/>
        </w:numPr>
        <w:shd w:val="clear" w:color="auto" w:fill="auto"/>
        <w:tabs>
          <w:tab w:pos="1227" w:val="left"/>
        </w:tabs>
        <w:bidi w:val="0"/>
        <w:spacing w:before="0" w:after="300" w:line="240" w:lineRule="auto"/>
        <w:ind w:left="0" w:right="0" w:firstLine="880"/>
        <w:jc w:val="both"/>
      </w:pPr>
      <w:r>
        <w:rPr>
          <w:color w:val="000000"/>
          <w:spacing w:val="0"/>
          <w:w w:val="100"/>
          <w:position w:val="0"/>
          <w:shd w:val="clear" w:color="auto" w:fill="auto"/>
          <w:lang w:val="en-US" w:eastAsia="en-US" w:bidi="en-US"/>
        </w:rPr>
        <w:t>La anexa nr. 3, sectiunea 3.2 Resurse, pozitiile „Actiuni generale” si „Total” vor ava urmatorul cuprins:</w:t>
      </w:r>
    </w:p>
    <w:tbl>
      <w:tblPr>
        <w:tblOverlap w:val="never"/>
        <w:jc w:val="center"/>
        <w:tblLayout w:type="fixed"/>
      </w:tblPr>
      <w:tblGrid>
        <w:gridCol w:w="3398"/>
        <w:gridCol w:w="859"/>
        <w:gridCol w:w="1258"/>
        <w:gridCol w:w="1262"/>
        <w:gridCol w:w="1042"/>
        <w:gridCol w:w="1162"/>
      </w:tblGrid>
      <w:tr>
        <w:trPr>
          <w:trHeight w:val="341" w:hRule="exact"/>
        </w:trPr>
        <w:tc>
          <w:tcPr>
            <w:tcBorders>
              <w:top w:val="single" w:sz="4"/>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Actiuni generale</w:t>
            </w:r>
          </w:p>
        </w:tc>
        <w:tc>
          <w:tcPr>
            <w:tcBorders>
              <w:top w:val="single" w:sz="4"/>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0799</w:t>
            </w:r>
          </w:p>
        </w:tc>
        <w:tc>
          <w:tcPr>
            <w:tcBorders>
              <w:top w:val="single" w:sz="4"/>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33843325,6</w:t>
            </w:r>
          </w:p>
        </w:tc>
        <w:tc>
          <w:tcPr>
            <w:tcBorders>
              <w:top w:val="single" w:sz="4"/>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33843325,6</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485" w:hRule="exact"/>
        </w:trPr>
        <w:tc>
          <w:tcPr>
            <w:tcBorders>
              <w:top w:val="single" w:sz="4"/>
              <w:left w:val="single" w:sz="4"/>
              <w:bottom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TOTAL</w:t>
            </w: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56008134,7</w:t>
            </w:r>
          </w:p>
        </w:tc>
        <w:tc>
          <w:tcPr>
            <w:tcBorders>
              <w:top w:val="single" w:sz="4"/>
              <w:left w:val="single" w:sz="4"/>
              <w:bottom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52176443,2</w:t>
            </w:r>
          </w:p>
        </w:tc>
        <w:tc>
          <w:tcPr>
            <w:tcBorders>
              <w:top w:val="single" w:sz="4"/>
              <w:left w:val="single" w:sz="4"/>
              <w:bottom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853918,4</w:t>
            </w:r>
          </w:p>
        </w:tc>
        <w:tc>
          <w:tcPr>
            <w:tcBorders>
              <w:top w:val="single" w:sz="4"/>
              <w:left w:val="single" w:sz="4"/>
              <w:bottom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2977773,1</w:t>
            </w:r>
          </w:p>
        </w:tc>
      </w:tr>
    </w:tbl>
    <w:p>
      <w:pPr>
        <w:widowControl w:val="0"/>
        <w:spacing w:after="299" w:line="1" w:lineRule="exact"/>
      </w:pPr>
    </w:p>
    <w:p>
      <w:pPr>
        <w:pStyle w:val="Style10"/>
        <w:keepNext w:val="0"/>
        <w:keepLines w:val="0"/>
        <w:widowControl w:val="0"/>
        <w:numPr>
          <w:ilvl w:val="0"/>
          <w:numId w:val="3"/>
        </w:numPr>
        <w:shd w:val="clear" w:color="auto" w:fill="auto"/>
        <w:tabs>
          <w:tab w:pos="1237" w:val="left"/>
        </w:tabs>
        <w:bidi w:val="0"/>
        <w:spacing w:before="0" w:after="300" w:line="240" w:lineRule="auto"/>
        <w:ind w:left="0" w:right="0" w:firstLine="880"/>
        <w:jc w:val="both"/>
      </w:pPr>
      <w:r>
        <w:rPr>
          <w:color w:val="000000"/>
          <w:spacing w:val="0"/>
          <w:w w:val="100"/>
          <w:position w:val="0"/>
          <w:shd w:val="clear" w:color="auto" w:fill="auto"/>
          <w:lang w:val="en-US" w:eastAsia="en-US" w:bidi="en-US"/>
        </w:rPr>
        <w:t>La anexa nr. 4 pozitiile „Protectie sociala”, „Alte servicii in domeniul protectiei sociale neatribuite la alte grupe” si „Total” vor avea urmatorul cuprins:</w:t>
      </w:r>
    </w:p>
    <w:tbl>
      <w:tblPr>
        <w:tblOverlap w:val="never"/>
        <w:jc w:val="center"/>
        <w:tblLayout w:type="fixed"/>
      </w:tblPr>
      <w:tblGrid>
        <w:gridCol w:w="6557"/>
        <w:gridCol w:w="898"/>
        <w:gridCol w:w="1651"/>
      </w:tblGrid>
      <w:tr>
        <w:trPr>
          <w:trHeight w:val="398" w:hRule="exact"/>
        </w:trPr>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left"/>
              <w:rPr>
                <w:sz w:val="24"/>
                <w:szCs w:val="24"/>
              </w:rPr>
            </w:pPr>
            <w:r>
              <w:rPr>
                <w:b/>
                <w:bCs/>
                <w:color w:val="000000"/>
                <w:spacing w:val="0"/>
                <w:w w:val="100"/>
                <w:position w:val="0"/>
                <w:sz w:val="24"/>
                <w:szCs w:val="24"/>
                <w:shd w:val="clear" w:color="auto" w:fill="auto"/>
                <w:lang w:val="en-US" w:eastAsia="en-US" w:bidi="en-US"/>
              </w:rPr>
              <w:t>Protectie sociala</w:t>
            </w:r>
          </w:p>
          <w:p>
            <w:pPr>
              <w:pStyle w:val="Style16"/>
              <w:keepNext w:val="0"/>
              <w:keepLines w:val="0"/>
              <w:widowControl w:val="0"/>
              <w:shd w:val="clear" w:color="auto" w:fill="auto"/>
              <w:tabs>
                <w:tab w:leader="underscore" w:pos="782" w:val="left"/>
                <w:tab w:leader="underscore" w:pos="6533" w:val="left"/>
              </w:tabs>
              <w:bidi w:val="0"/>
              <w:spacing w:before="0" w:after="0" w:line="180" w:lineRule="auto"/>
              <w:ind w:left="0" w:right="0" w:firstLine="0"/>
              <w:jc w:val="left"/>
              <w:rPr>
                <w:sz w:val="8"/>
                <w:szCs w:val="8"/>
              </w:rPr>
            </w:pPr>
            <w:r>
              <w:rPr>
                <w:b/>
                <w:bCs/>
                <w:color w:val="000000"/>
                <w:spacing w:val="0"/>
                <w:w w:val="100"/>
                <w:position w:val="0"/>
                <w:sz w:val="8"/>
                <w:szCs w:val="8"/>
                <w:shd w:val="clear" w:color="auto" w:fill="auto"/>
                <w:lang w:val="en-US" w:eastAsia="en-US" w:bidi="en-US"/>
              </w:rPr>
              <w:tab/>
              <w:t>2</w:t>
              <w:tab/>
            </w:r>
          </w:p>
        </w:tc>
        <w:tc>
          <w:tcPr>
            <w:tcBorders>
              <w:top w:val="single" w:sz="4"/>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10</w:t>
            </w:r>
          </w:p>
        </w:tc>
        <w:tc>
          <w:tcPr>
            <w:tcBorders>
              <w:top w:val="single" w:sz="4"/>
              <w:left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460"/>
              <w:jc w:val="left"/>
              <w:rPr>
                <w:sz w:val="22"/>
                <w:szCs w:val="22"/>
              </w:rPr>
            </w:pPr>
            <w:r>
              <w:rPr>
                <w:b/>
                <w:bCs/>
                <w:color w:val="000000"/>
                <w:spacing w:val="0"/>
                <w:w w:val="100"/>
                <w:position w:val="0"/>
                <w:sz w:val="22"/>
                <w:szCs w:val="22"/>
                <w:shd w:val="clear" w:color="auto" w:fill="auto"/>
                <w:lang w:val="en-US" w:eastAsia="en-US" w:bidi="en-US"/>
              </w:rPr>
              <w:t>12138890,8</w:t>
            </w:r>
          </w:p>
        </w:tc>
      </w:tr>
      <w:tr>
        <w:trPr>
          <w:trHeight w:val="634" w:hRule="exact"/>
        </w:trPr>
        <w:tc>
          <w:tcPr>
            <w:tcBorders>
              <w:top w:val="single" w:sz="4"/>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en-US" w:eastAsia="en-US" w:bidi="en-US"/>
              </w:rPr>
              <w:t>Alte servicii in domeniul protectiei sociale neatribuite la alte grupe</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109</w:t>
            </w:r>
          </w:p>
        </w:tc>
        <w:tc>
          <w:tcPr>
            <w:tcBorders>
              <w:top w:val="single" w:sz="4"/>
              <w:left w:val="single" w:sz="4"/>
              <w:righ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460"/>
              <w:jc w:val="left"/>
              <w:rPr>
                <w:sz w:val="22"/>
                <w:szCs w:val="22"/>
              </w:rPr>
            </w:pPr>
            <w:r>
              <w:rPr>
                <w:color w:val="000000"/>
                <w:spacing w:val="0"/>
                <w:w w:val="100"/>
                <w:position w:val="0"/>
                <w:sz w:val="22"/>
                <w:szCs w:val="22"/>
                <w:shd w:val="clear" w:color="auto" w:fill="auto"/>
                <w:lang w:val="en-US" w:eastAsia="en-US" w:bidi="en-US"/>
              </w:rPr>
              <w:t>11509417,7</w:t>
            </w:r>
          </w:p>
        </w:tc>
      </w:tr>
      <w:tr>
        <w:trPr>
          <w:trHeight w:val="331" w:hRule="exact"/>
        </w:trPr>
        <w:tc>
          <w:tcPr>
            <w:tcBorders>
              <w:top w:val="single" w:sz="4"/>
              <w:left w:val="single" w:sz="4"/>
              <w:bottom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rPr>
                <w:sz w:val="24"/>
                <w:szCs w:val="24"/>
              </w:rPr>
            </w:pPr>
            <w:r>
              <w:rPr>
                <w:b/>
                <w:bCs/>
                <w:color w:val="000000"/>
                <w:spacing w:val="0"/>
                <w:w w:val="100"/>
                <w:position w:val="0"/>
                <w:sz w:val="24"/>
                <w:szCs w:val="24"/>
                <w:shd w:val="clear" w:color="auto" w:fill="auto"/>
                <w:lang w:val="en-US" w:eastAsia="en-US" w:bidi="en-US"/>
              </w:rPr>
              <w:t>TOTAL</w:t>
            </w: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right"/>
              <w:rPr>
                <w:sz w:val="22"/>
                <w:szCs w:val="22"/>
              </w:rPr>
            </w:pPr>
            <w:r>
              <w:rPr>
                <w:b/>
                <w:bCs/>
                <w:color w:val="000000"/>
                <w:spacing w:val="0"/>
                <w:w w:val="100"/>
                <w:position w:val="0"/>
                <w:sz w:val="22"/>
                <w:szCs w:val="22"/>
                <w:shd w:val="clear" w:color="auto" w:fill="auto"/>
                <w:lang w:val="en-US" w:eastAsia="en-US" w:bidi="en-US"/>
              </w:rPr>
              <w:t>56008134,7</w:t>
            </w:r>
          </w:p>
        </w:tc>
      </w:tr>
    </w:tbl>
    <w:p>
      <w:pPr>
        <w:widowControl w:val="0"/>
        <w:spacing w:after="299" w:line="1" w:lineRule="exact"/>
      </w:pPr>
    </w:p>
    <w:p>
      <w:pPr>
        <w:pStyle w:val="Style10"/>
        <w:keepNext w:val="0"/>
        <w:keepLines w:val="0"/>
        <w:widowControl w:val="0"/>
        <w:shd w:val="clear" w:color="auto" w:fill="auto"/>
        <w:bidi w:val="0"/>
        <w:spacing w:before="0" w:after="640" w:line="240" w:lineRule="auto"/>
        <w:ind w:left="0" w:right="0" w:firstLine="880"/>
        <w:jc w:val="both"/>
      </w:pPr>
      <w:r>
        <w:rPr>
          <w:b/>
          <w:bCs/>
          <w:color w:val="000000"/>
          <w:spacing w:val="0"/>
          <w:w w:val="100"/>
          <w:position w:val="0"/>
          <w:shd w:val="clear" w:color="auto" w:fill="auto"/>
          <w:lang w:val="en-US" w:eastAsia="en-US" w:bidi="en-US"/>
        </w:rPr>
        <w:t xml:space="preserve">Art. II. </w:t>
      </w:r>
      <w:r>
        <w:rPr>
          <w:color w:val="000000"/>
          <w:spacing w:val="0"/>
          <w:w w:val="100"/>
          <w:position w:val="0"/>
          <w:shd w:val="clear" w:color="auto" w:fill="auto"/>
          <w:lang w:val="en-US" w:eastAsia="en-US" w:bidi="en-US"/>
        </w:rPr>
        <w:t>- Prezenta lege intra in vigoare la data publicarii in Monitorul Oficial al Republicii Moldova.</w:t>
      </w:r>
    </w:p>
    <w:p>
      <w:pPr>
        <w:pStyle w:val="Style10"/>
        <w:keepNext w:val="0"/>
        <w:keepLines w:val="0"/>
        <w:widowControl w:val="0"/>
        <w:shd w:val="clear" w:color="auto" w:fill="auto"/>
        <w:bidi w:val="0"/>
        <w:spacing w:before="0" w:after="300" w:line="240" w:lineRule="auto"/>
        <w:ind w:left="0" w:right="0" w:firstLine="940"/>
        <w:jc w:val="left"/>
        <w:sectPr>
          <w:footerReference w:type="default" r:id="rId9"/>
          <w:footnotePr>
            <w:pos w:val="pageBottom"/>
            <w:numFmt w:val="decimal"/>
            <w:numRestart w:val="continuous"/>
          </w:footnotePr>
          <w:pgSz w:w="11900" w:h="16840"/>
          <w:pgMar w:top="1862" w:left="1227" w:right="1231" w:bottom="1799" w:header="1434" w:footer="3" w:gutter="0"/>
          <w:pgNumType w:start="1"/>
          <w:cols w:space="720"/>
          <w:noEndnote/>
          <w:rtlGutter w:val="0"/>
          <w:docGrid w:linePitch="360"/>
        </w:sectPr>
      </w:pPr>
      <w:r>
        <w:rPr>
          <w:b/>
          <w:bCs/>
          <w:color w:val="000000"/>
          <w:spacing w:val="0"/>
          <w:w w:val="100"/>
          <w:position w:val="0"/>
          <w:shd w:val="clear" w:color="auto" w:fill="auto"/>
          <w:lang w:val="en-US" w:eastAsia="en-US" w:bidi="en-US"/>
        </w:rPr>
        <w:t>PRE^EDINTELE PARLAMENTULUI</w:t>
      </w:r>
    </w:p>
    <w:p>
      <w:pPr>
        <w:pStyle w:val="Style10"/>
        <w:keepNext w:val="0"/>
        <w:keepLines w:val="0"/>
        <w:widowControl w:val="0"/>
        <w:shd w:val="clear" w:color="auto" w:fill="auto"/>
        <w:bidi w:val="0"/>
        <w:spacing w:before="0" w:after="0" w:line="329" w:lineRule="auto"/>
        <w:ind w:left="0" w:right="0" w:firstLine="0"/>
        <w:jc w:val="center"/>
      </w:pPr>
      <w:r>
        <w:rPr>
          <w:b/>
          <w:bCs/>
          <w:color w:val="000000"/>
          <w:spacing w:val="0"/>
          <w:w w:val="100"/>
          <w:position w:val="0"/>
          <w:shd w:val="clear" w:color="auto" w:fill="auto"/>
          <w:lang w:val="en-US" w:eastAsia="en-US" w:bidi="en-US"/>
        </w:rPr>
        <w:t>Nota informativa</w:t>
      </w:r>
    </w:p>
    <w:p>
      <w:pPr>
        <w:pStyle w:val="Style10"/>
        <w:keepNext w:val="0"/>
        <w:keepLines w:val="0"/>
        <w:widowControl w:val="0"/>
        <w:shd w:val="clear" w:color="auto" w:fill="auto"/>
        <w:bidi w:val="0"/>
        <w:spacing w:before="0" w:after="440" w:line="329" w:lineRule="auto"/>
        <w:ind w:left="0" w:right="0" w:firstLine="0"/>
        <w:jc w:val="center"/>
      </w:pPr>
      <w:r>
        <w:rPr>
          <w:b/>
          <w:bCs/>
          <w:color w:val="000000"/>
          <w:spacing w:val="0"/>
          <w:w w:val="100"/>
          <w:position w:val="0"/>
          <w:shd w:val="clear" w:color="auto" w:fill="auto"/>
          <w:lang w:val="en-US" w:eastAsia="en-US" w:bidi="en-US"/>
        </w:rPr>
        <w:t>la proiectul de lege privind modificarea Legii</w:t>
        <w:br/>
        <w:t>bugetului de stat pentru anul 2021 nr. 258/2020</w:t>
      </w:r>
    </w:p>
    <w:p>
      <w:pPr>
        <w:pStyle w:val="Style10"/>
        <w:keepNext w:val="0"/>
        <w:keepLines w:val="0"/>
        <w:widowControl w:val="0"/>
        <w:shd w:val="clear" w:color="auto" w:fill="auto"/>
        <w:bidi w:val="0"/>
        <w:spacing w:before="0" w:line="240" w:lineRule="auto"/>
        <w:ind w:left="0" w:right="0" w:firstLine="720"/>
        <w:jc w:val="both"/>
      </w:pPr>
      <w:r>
        <w:rPr>
          <w:color w:val="000000"/>
          <w:spacing w:val="0"/>
          <w:w w:val="100"/>
          <w:position w:val="0"/>
          <w:shd w:val="clear" w:color="auto" w:fill="auto"/>
          <w:lang w:val="en-US" w:eastAsia="en-US" w:bidi="en-US"/>
        </w:rPr>
        <w:t xml:space="preserve">La 12 martie 2021 Parlamentul a adoptat Legea pentru modificarea unor acte normative nr. 27/2021, prin care a fost modificat mecanismul de indexare al pensiilor. Modificarea respectiva necesita alocarea suplimentara a mijloacelor bugetare, in special transferuri de la bugetul de stat catre bugetul asigurarilor sociale de stat. Astfel, prin Legea respectiva au fost modificate Legea bugetului asigurarilor sociale de stat nr. </w:t>
      </w:r>
      <w:r>
        <w:rPr>
          <w:color w:val="000000"/>
          <w:spacing w:val="0"/>
          <w:w w:val="100"/>
          <w:position w:val="0"/>
          <w:shd w:val="clear" w:color="auto" w:fill="auto"/>
          <w:lang w:val="ru-RU" w:eastAsia="ru-RU" w:bidi="ru-RU"/>
        </w:rPr>
        <w:t xml:space="preserve">255/2020 </w:t>
      </w:r>
      <w:r>
        <w:rPr>
          <w:color w:val="000000"/>
          <w:spacing w:val="0"/>
          <w:w w:val="100"/>
          <w:position w:val="0"/>
          <w:shd w:val="clear" w:color="auto" w:fill="auto"/>
          <w:lang w:val="en-US" w:eastAsia="en-US" w:bidi="en-US"/>
        </w:rPr>
        <w:t>si Legea bugetului de stat pentru anul 2021 nr. 258/2020.</w:t>
      </w:r>
    </w:p>
    <w:p>
      <w:pPr>
        <w:pStyle w:val="Style10"/>
        <w:keepNext w:val="0"/>
        <w:keepLines w:val="0"/>
        <w:widowControl w:val="0"/>
        <w:shd w:val="clear" w:color="auto" w:fill="auto"/>
        <w:bidi w:val="0"/>
        <w:spacing w:before="0" w:line="240" w:lineRule="auto"/>
        <w:ind w:left="0" w:right="0" w:firstLine="720"/>
        <w:jc w:val="both"/>
      </w:pPr>
      <w:r>
        <w:rPr>
          <w:color w:val="000000"/>
          <w:spacing w:val="0"/>
          <w:w w:val="100"/>
          <w:position w:val="0"/>
          <w:shd w:val="clear" w:color="auto" w:fill="auto"/>
          <w:lang w:val="en-US" w:eastAsia="en-US" w:bidi="en-US"/>
        </w:rPr>
        <w:t>Modificarile adoptate la Legea bugetului de stat au majorat cheltuielile totale, a deficitului si a transferurilor la bugetul asigurarilor sociale de stat. Modificarile mentionate sunt incomplete, context in care sunt necesare modificari suplimentare si anume:</w:t>
      </w:r>
    </w:p>
    <w:p>
      <w:pPr>
        <w:pStyle w:val="Style10"/>
        <w:keepNext w:val="0"/>
        <w:keepLines w:val="0"/>
        <w:widowControl w:val="0"/>
        <w:numPr>
          <w:ilvl w:val="0"/>
          <w:numId w:val="5"/>
        </w:numPr>
        <w:shd w:val="clear" w:color="auto" w:fill="auto"/>
        <w:tabs>
          <w:tab w:pos="1076" w:val="left"/>
        </w:tabs>
        <w:bidi w:val="0"/>
        <w:spacing w:before="0" w:after="0" w:line="240" w:lineRule="auto"/>
        <w:ind w:left="1080" w:right="0" w:hanging="360"/>
        <w:jc w:val="both"/>
      </w:pPr>
      <w:r>
        <w:rPr>
          <w:color w:val="000000"/>
          <w:spacing w:val="0"/>
          <w:w w:val="100"/>
          <w:position w:val="0"/>
          <w:shd w:val="clear" w:color="auto" w:fill="auto"/>
          <w:lang w:val="en-US" w:eastAsia="en-US" w:bidi="en-US"/>
        </w:rPr>
        <w:t>Modificarea punctului 2 - deoarece din transferurile suplimentare in suma de 608534,7 mii lei alocate bugetului asigurarilor sociale de stat, 496101,9 mii lei constituie transferuri pentru acoperirea deficitului bugetului asigurarilor sociale de stat, si 112432,8 mii lei - pentru acoperirea cheltuielilor, legate de plata pensiilor si alocatiilor din contul bugetului de stat;</w:t>
      </w:r>
    </w:p>
    <w:p>
      <w:pPr>
        <w:pStyle w:val="Style10"/>
        <w:keepNext w:val="0"/>
        <w:keepLines w:val="0"/>
        <w:widowControl w:val="0"/>
        <w:numPr>
          <w:ilvl w:val="0"/>
          <w:numId w:val="5"/>
        </w:numPr>
        <w:shd w:val="clear" w:color="auto" w:fill="auto"/>
        <w:tabs>
          <w:tab w:pos="1076" w:val="left"/>
        </w:tabs>
        <w:bidi w:val="0"/>
        <w:spacing w:before="0" w:after="0" w:line="240" w:lineRule="auto"/>
        <w:ind w:left="1080" w:right="0" w:hanging="360"/>
        <w:jc w:val="both"/>
      </w:pPr>
      <w:r>
        <w:rPr>
          <w:color w:val="000000"/>
          <w:spacing w:val="0"/>
          <w:w w:val="100"/>
          <w:position w:val="0"/>
          <w:shd w:val="clear" w:color="auto" w:fill="auto"/>
          <w:lang w:val="en-US" w:eastAsia="en-US" w:bidi="en-US"/>
        </w:rPr>
        <w:t>Modificarea anexei nr. 1 - corectarea sumei cheltuielilor, transferurilor de la bugetul de stat, a deficitului si a surselor de finantare a soldului bugetar din contul emisiunii suplimentare a valorilor mobiliare de stat;</w:t>
      </w:r>
    </w:p>
    <w:p>
      <w:pPr>
        <w:pStyle w:val="Style10"/>
        <w:keepNext w:val="0"/>
        <w:keepLines w:val="0"/>
        <w:widowControl w:val="0"/>
        <w:numPr>
          <w:ilvl w:val="0"/>
          <w:numId w:val="5"/>
        </w:numPr>
        <w:shd w:val="clear" w:color="auto" w:fill="auto"/>
        <w:tabs>
          <w:tab w:pos="1076" w:val="left"/>
        </w:tabs>
        <w:bidi w:val="0"/>
        <w:spacing w:before="0" w:after="0" w:line="240" w:lineRule="auto"/>
        <w:ind w:left="1080" w:right="0" w:hanging="360"/>
        <w:jc w:val="both"/>
      </w:pPr>
      <w:r>
        <w:rPr>
          <w:color w:val="000000"/>
          <w:spacing w:val="0"/>
          <w:w w:val="100"/>
          <w:position w:val="0"/>
          <w:shd w:val="clear" w:color="auto" w:fill="auto"/>
          <w:lang w:val="en-US" w:eastAsia="en-US" w:bidi="en-US"/>
        </w:rPr>
        <w:t>Modificarea anexei nr. 2 - corectarea sumei deficitului si a surselor de finantare a soldului bugetar din contul emisiunii suplimentare a valorilor mobiliare de stat;</w:t>
      </w:r>
    </w:p>
    <w:p>
      <w:pPr>
        <w:pStyle w:val="Style10"/>
        <w:keepNext w:val="0"/>
        <w:keepLines w:val="0"/>
        <w:widowControl w:val="0"/>
        <w:numPr>
          <w:ilvl w:val="0"/>
          <w:numId w:val="5"/>
        </w:numPr>
        <w:shd w:val="clear" w:color="auto" w:fill="auto"/>
        <w:tabs>
          <w:tab w:pos="1076" w:val="left"/>
        </w:tabs>
        <w:bidi w:val="0"/>
        <w:spacing w:before="0" w:after="0" w:line="240" w:lineRule="auto"/>
        <w:ind w:left="1080" w:right="0" w:hanging="360"/>
        <w:jc w:val="both"/>
      </w:pPr>
      <w:r>
        <w:rPr>
          <w:color w:val="000000"/>
          <w:spacing w:val="0"/>
          <w:w w:val="100"/>
          <w:position w:val="0"/>
          <w:shd w:val="clear" w:color="auto" w:fill="auto"/>
          <w:lang w:val="en-US" w:eastAsia="en-US" w:bidi="en-US"/>
        </w:rPr>
        <w:t>Modificarea anexelor nr. 3 si nr. 4 - reflectarea transferurilor catre bugetul asigurarilor sociale de stat conform Clasificatiei bugetare;</w:t>
      </w:r>
    </w:p>
    <w:p>
      <w:pPr>
        <w:pStyle w:val="Style10"/>
        <w:keepNext w:val="0"/>
        <w:keepLines w:val="0"/>
        <w:widowControl w:val="0"/>
        <w:numPr>
          <w:ilvl w:val="0"/>
          <w:numId w:val="5"/>
        </w:numPr>
        <w:shd w:val="clear" w:color="auto" w:fill="auto"/>
        <w:tabs>
          <w:tab w:pos="1076" w:val="left"/>
        </w:tabs>
        <w:bidi w:val="0"/>
        <w:spacing w:before="0" w:line="240" w:lineRule="auto"/>
        <w:ind w:left="1080" w:right="0" w:hanging="360"/>
        <w:jc w:val="both"/>
      </w:pPr>
      <w:r>
        <w:rPr>
          <w:color w:val="000000"/>
          <w:spacing w:val="0"/>
          <w:w w:val="100"/>
          <w:position w:val="0"/>
          <w:shd w:val="clear" w:color="auto" w:fill="auto"/>
          <w:lang w:val="en-US" w:eastAsia="en-US" w:bidi="en-US"/>
        </w:rPr>
        <w:t>Ajustarea plafonului datoriei de stat interne la situatia din 31 decembrie 2021, stabilit la art. 8 din Legea bugetului de stat, in legatura cu emisiunea suplimentara a valorilor mobiliare de stat.</w:t>
      </w:r>
    </w:p>
    <w:p>
      <w:pPr>
        <w:pStyle w:val="Style10"/>
        <w:keepNext w:val="0"/>
        <w:keepLines w:val="0"/>
        <w:widowControl w:val="0"/>
        <w:shd w:val="clear" w:color="auto" w:fill="auto"/>
        <w:bidi w:val="0"/>
        <w:spacing w:before="0" w:line="240" w:lineRule="auto"/>
        <w:ind w:left="1080" w:right="0" w:hanging="360"/>
        <w:jc w:val="both"/>
      </w:pPr>
      <w:r>
        <w:rPr>
          <w:color w:val="000000"/>
          <w:spacing w:val="0"/>
          <w:w w:val="100"/>
          <w:position w:val="0"/>
          <w:shd w:val="clear" w:color="auto" w:fill="auto"/>
          <w:lang w:val="en-US" w:eastAsia="en-US" w:bidi="en-US"/>
        </w:rPr>
        <w:t>Astfel, prin amendamentele propuse se va fi asigura:</w:t>
      </w:r>
    </w:p>
    <w:p>
      <w:pPr>
        <w:pStyle w:val="Style10"/>
        <w:keepNext w:val="0"/>
        <w:keepLines w:val="0"/>
        <w:widowControl w:val="0"/>
        <w:numPr>
          <w:ilvl w:val="0"/>
          <w:numId w:val="7"/>
        </w:numPr>
        <w:shd w:val="clear" w:color="auto" w:fill="auto"/>
        <w:tabs>
          <w:tab w:pos="1076" w:val="left"/>
        </w:tabs>
        <w:bidi w:val="0"/>
        <w:spacing w:before="0" w:after="0" w:line="240" w:lineRule="auto"/>
        <w:ind w:left="1080" w:right="0" w:hanging="360"/>
        <w:jc w:val="both"/>
      </w:pPr>
      <w:r>
        <w:rPr>
          <w:color w:val="000000"/>
          <w:spacing w:val="0"/>
          <w:w w:val="100"/>
          <w:position w:val="0"/>
          <w:shd w:val="clear" w:color="auto" w:fill="auto"/>
          <w:lang w:val="en-US" w:eastAsia="en-US" w:bidi="en-US"/>
        </w:rPr>
        <w:t>Ajustarea surselor de finantare a deficitului bugetar la deficitul modificat;</w:t>
      </w:r>
    </w:p>
    <w:p>
      <w:pPr>
        <w:pStyle w:val="Style10"/>
        <w:keepNext w:val="0"/>
        <w:keepLines w:val="0"/>
        <w:widowControl w:val="0"/>
        <w:numPr>
          <w:ilvl w:val="0"/>
          <w:numId w:val="7"/>
        </w:numPr>
        <w:shd w:val="clear" w:color="auto" w:fill="auto"/>
        <w:tabs>
          <w:tab w:pos="1076" w:val="left"/>
        </w:tabs>
        <w:bidi w:val="0"/>
        <w:spacing w:before="0" w:after="0" w:line="240" w:lineRule="auto"/>
        <w:ind w:left="1080" w:right="0" w:hanging="360"/>
        <w:jc w:val="both"/>
      </w:pPr>
      <w:r>
        <w:rPr>
          <w:color w:val="000000"/>
          <w:spacing w:val="0"/>
          <w:w w:val="100"/>
          <w:position w:val="0"/>
          <w:shd w:val="clear" w:color="auto" w:fill="auto"/>
          <w:lang w:val="en-US" w:eastAsia="en-US" w:bidi="en-US"/>
        </w:rPr>
        <w:t>Reflectarea alocatiilor suplimentare de la bugetul de stat pe subprograme de cheltuieli si conform Clasificatiei functionale;</w:t>
      </w:r>
    </w:p>
    <w:p>
      <w:pPr>
        <w:pStyle w:val="Style10"/>
        <w:keepNext w:val="0"/>
        <w:keepLines w:val="0"/>
        <w:widowControl w:val="0"/>
        <w:numPr>
          <w:ilvl w:val="0"/>
          <w:numId w:val="7"/>
        </w:numPr>
        <w:shd w:val="clear" w:color="auto" w:fill="auto"/>
        <w:tabs>
          <w:tab w:pos="1076" w:val="left"/>
        </w:tabs>
        <w:bidi w:val="0"/>
        <w:spacing w:before="0" w:line="240" w:lineRule="auto"/>
        <w:ind w:left="0" w:right="0" w:firstLine="720"/>
        <w:jc w:val="both"/>
      </w:pPr>
      <w:r>
        <w:rPr>
          <w:color w:val="000000"/>
          <w:spacing w:val="0"/>
          <w:w w:val="100"/>
          <w:position w:val="0"/>
          <w:shd w:val="clear" w:color="auto" w:fill="auto"/>
          <w:lang w:val="en-US" w:eastAsia="en-US" w:bidi="en-US"/>
        </w:rPr>
        <w:t>Ajustarea plafonului datoriei de stat interne.</w:t>
      </w:r>
    </w:p>
    <w:sectPr>
      <w:footerReference w:type="default" r:id="rId10"/>
      <w:footnotePr>
        <w:pos w:val="pageBottom"/>
        <w:numFmt w:val="decimal"/>
        <w:numRestart w:val="continuous"/>
      </w:footnotePr>
      <w:pgSz w:w="11900" w:h="16840"/>
      <w:pgMar w:top="1239" w:left="1653" w:right="800" w:bottom="1239" w:header="811" w:footer="811" w:gutter="0"/>
      <w:pgNumType w:start="4"/>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6683375</wp:posOffset>
              </wp:positionH>
              <wp:positionV relativeFrom="page">
                <wp:posOffset>9614535</wp:posOffset>
              </wp:positionV>
              <wp:extent cx="69850" cy="125095"/>
              <wp:wrapNone/>
              <wp:docPr id="7" name="Shape 7"/>
              <a:graphic xmlns:a="http://schemas.openxmlformats.org/drawingml/2006/main">
                <a:graphicData uri="http://schemas.microsoft.com/office/word/2010/wordprocessingShape">
                  <wps:wsp>
                    <wps:cNvSpPr txBox="1"/>
                    <wps:spPr>
                      <a:xfrm>
                        <a:ext cx="69850" cy="12509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rFonts w:ascii="Calibri" w:eastAsia="Calibri" w:hAnsi="Calibri" w:cs="Calibri"/>
                                <w:color w:val="000000"/>
                                <w:spacing w:val="0"/>
                                <w:w w:val="100"/>
                                <w:position w:val="0"/>
                                <w:sz w:val="22"/>
                                <w:szCs w:val="22"/>
                                <w:shd w:val="clear" w:color="auto" w:fill="auto"/>
                                <w:lang w:val="en-US" w:eastAsia="en-US" w:bidi="en-US"/>
                              </w:rPr>
                              <w:t>#</w:t>
                            </w:r>
                          </w:fldSimple>
                        </w:p>
                      </w:txbxContent>
                    </wps:txbx>
                    <wps:bodyPr wrap="none" lIns="0" tIns="0" rIns="0" bIns="0">
                      <a:spAutoFit/>
                    </wps:bodyPr>
                  </wps:wsp>
                </a:graphicData>
              </a:graphic>
            </wp:anchor>
          </w:drawing>
        </mc:Choice>
        <mc:Fallback>
          <w:pict>
            <v:shape id="_x0000_s1033" type="#_x0000_t202" style="position:absolute;margin-left:526.25pt;margin-top:757.04999999999995pt;width:5.5pt;height:9.8499999999999996pt;z-index:-188744061;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rFonts w:ascii="Calibri" w:eastAsia="Calibri" w:hAnsi="Calibri" w:cs="Calibri"/>
                          <w:color w:val="000000"/>
                          <w:spacing w:val="0"/>
                          <w:w w:val="100"/>
                          <w:position w:val="0"/>
                          <w:sz w:val="22"/>
                          <w:szCs w:val="22"/>
                          <w:shd w:val="clear" w:color="auto" w:fill="auto"/>
                          <w:lang w:val="en-US" w:eastAsia="en-US" w:bidi="en-US"/>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en-US" w:eastAsia="en-US" w:bidi="en-US"/>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en-US" w:eastAsia="en-US" w:bidi="en-US"/>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en-US" w:eastAsia="en-US" w:bidi="en-US"/>
    </w:rPr>
  </w:style>
  <w:style w:type="character" w:customStyle="1" w:styleId="CharStyle3">
    <w:name w:val="Picture caption_"/>
    <w:basedOn w:val="DefaultParagraphFont"/>
    <w:link w:val="Style2"/>
    <w:rPr>
      <w:rFonts w:ascii="Times New Roman" w:eastAsia="Times New Roman" w:hAnsi="Times New Roman" w:cs="Times New Roman"/>
      <w:b w:val="0"/>
      <w:bCs w:val="0"/>
      <w:i w:val="0"/>
      <w:iCs w:val="0"/>
      <w:smallCaps w:val="0"/>
      <w:strike w:val="0"/>
      <w:color w:val="303741"/>
      <w:sz w:val="22"/>
      <w:szCs w:val="22"/>
      <w:u w:val="none"/>
    </w:rPr>
  </w:style>
  <w:style w:type="character" w:customStyle="1" w:styleId="CharStyle5">
    <w:name w:val="Body text (2)_"/>
    <w:basedOn w:val="DefaultParagraphFont"/>
    <w:link w:val="Style4"/>
    <w:rPr>
      <w:rFonts w:ascii="Georgia" w:eastAsia="Georgia" w:hAnsi="Georgia" w:cs="Georgia"/>
      <w:b w:val="0"/>
      <w:bCs w:val="0"/>
      <w:i w:val="0"/>
      <w:iCs w:val="0"/>
      <w:smallCaps w:val="0"/>
      <w:strike w:val="0"/>
      <w:sz w:val="18"/>
      <w:szCs w:val="18"/>
      <w:u w:val="none"/>
    </w:rPr>
  </w:style>
  <w:style w:type="character" w:customStyle="1" w:styleId="CharStyle7">
    <w:name w:val="Heading #1_"/>
    <w:basedOn w:val="DefaultParagraphFont"/>
    <w:link w:val="Style6"/>
    <w:rPr>
      <w:rFonts w:ascii="Georgia" w:eastAsia="Georgia" w:hAnsi="Georgia" w:cs="Georgia"/>
      <w:b/>
      <w:bCs/>
      <w:i w:val="0"/>
      <w:iCs w:val="0"/>
      <w:smallCaps w:val="0"/>
      <w:strike w:val="0"/>
      <w:color w:val="303741"/>
      <w:sz w:val="30"/>
      <w:szCs w:val="30"/>
      <w:u w:val="none"/>
    </w:rPr>
  </w:style>
  <w:style w:type="character" w:customStyle="1" w:styleId="CharStyle9">
    <w:name w:val="Heading #2_"/>
    <w:basedOn w:val="DefaultParagraphFont"/>
    <w:link w:val="Style8"/>
    <w:rPr>
      <w:rFonts w:ascii="Times New Roman" w:eastAsia="Times New Roman" w:hAnsi="Times New Roman" w:cs="Times New Roman"/>
      <w:b/>
      <w:bCs/>
      <w:i w:val="0"/>
      <w:iCs w:val="0"/>
      <w:smallCaps w:val="0"/>
      <w:strike w:val="0"/>
      <w:sz w:val="28"/>
      <w:szCs w:val="28"/>
      <w:u w:val="none"/>
    </w:rPr>
  </w:style>
  <w:style w:type="character" w:customStyle="1" w:styleId="CharStyle11">
    <w:name w:val="Body text_"/>
    <w:basedOn w:val="DefaultParagraphFont"/>
    <w:link w:val="Style10"/>
    <w:rPr>
      <w:rFonts w:ascii="Times New Roman" w:eastAsia="Times New Roman" w:hAnsi="Times New Roman" w:cs="Times New Roman"/>
      <w:b w:val="0"/>
      <w:bCs w:val="0"/>
      <w:i w:val="0"/>
      <w:iCs w:val="0"/>
      <w:smallCaps w:val="0"/>
      <w:strike w:val="0"/>
      <w:sz w:val="28"/>
      <w:szCs w:val="28"/>
      <w:u w:val="none"/>
    </w:rPr>
  </w:style>
  <w:style w:type="character" w:customStyle="1" w:styleId="CharStyle13">
    <w:name w:val="Header or footer (2)_"/>
    <w:basedOn w:val="DefaultParagraphFont"/>
    <w:link w:val="Style12"/>
    <w:rPr>
      <w:rFonts w:ascii="Times New Roman" w:eastAsia="Times New Roman" w:hAnsi="Times New Roman" w:cs="Times New Roman"/>
      <w:b w:val="0"/>
      <w:bCs w:val="0"/>
      <w:i w:val="0"/>
      <w:iCs w:val="0"/>
      <w:smallCaps w:val="0"/>
      <w:strike w:val="0"/>
      <w:sz w:val="20"/>
      <w:szCs w:val="20"/>
      <w:u w:val="none"/>
    </w:rPr>
  </w:style>
  <w:style w:type="character" w:customStyle="1" w:styleId="CharStyle17">
    <w:name w:val="Other_"/>
    <w:basedOn w:val="DefaultParagraphFont"/>
    <w:link w:val="Style16"/>
    <w:rPr>
      <w:rFonts w:ascii="Times New Roman" w:eastAsia="Times New Roman" w:hAnsi="Times New Roman" w:cs="Times New Roman"/>
      <w:b w:val="0"/>
      <w:bCs w:val="0"/>
      <w:i w:val="0"/>
      <w:iCs w:val="0"/>
      <w:smallCaps w:val="0"/>
      <w:strike w:val="0"/>
      <w:sz w:val="28"/>
      <w:szCs w:val="28"/>
      <w:u w:val="none"/>
    </w:rPr>
  </w:style>
  <w:style w:type="character" w:customStyle="1" w:styleId="CharStyle21">
    <w:name w:val="Table caption_"/>
    <w:basedOn w:val="DefaultParagraphFont"/>
    <w:link w:val="Style20"/>
    <w:rPr>
      <w:rFonts w:ascii="Times New Roman" w:eastAsia="Times New Roman" w:hAnsi="Times New Roman" w:cs="Times New Roman"/>
      <w:b w:val="0"/>
      <w:bCs w:val="0"/>
      <w:i w:val="0"/>
      <w:iCs w:val="0"/>
      <w:smallCaps w:val="0"/>
      <w:strike w:val="0"/>
      <w:sz w:val="28"/>
      <w:szCs w:val="28"/>
      <w:u w:val="none"/>
    </w:rPr>
  </w:style>
  <w:style w:type="character" w:customStyle="1" w:styleId="CharStyle29">
    <w:name w:val="Body text (3)_"/>
    <w:basedOn w:val="DefaultParagraphFont"/>
    <w:link w:val="Style28"/>
    <w:rPr>
      <w:rFonts w:ascii="Times New Roman" w:eastAsia="Times New Roman" w:hAnsi="Times New Roman" w:cs="Times New Roman"/>
      <w:b/>
      <w:bCs/>
      <w:i w:val="0"/>
      <w:iCs w:val="0"/>
      <w:smallCaps w:val="0"/>
      <w:strike w:val="0"/>
      <w:sz w:val="8"/>
      <w:szCs w:val="8"/>
      <w:u w:val="none"/>
    </w:rPr>
  </w:style>
  <w:style w:type="paragraph" w:customStyle="1" w:styleId="Style2">
    <w:name w:val="Picture caption"/>
    <w:basedOn w:val="Normal"/>
    <w:link w:val="CharStyle3"/>
    <w:pPr>
      <w:widowControl w:val="0"/>
      <w:shd w:val="clear" w:color="auto" w:fill="FFFFFF"/>
      <w:spacing w:line="209" w:lineRule="auto"/>
    </w:pPr>
    <w:rPr>
      <w:rFonts w:ascii="Times New Roman" w:eastAsia="Times New Roman" w:hAnsi="Times New Roman" w:cs="Times New Roman"/>
      <w:b w:val="0"/>
      <w:bCs w:val="0"/>
      <w:i w:val="0"/>
      <w:iCs w:val="0"/>
      <w:smallCaps w:val="0"/>
      <w:strike w:val="0"/>
      <w:color w:val="303741"/>
      <w:sz w:val="22"/>
      <w:szCs w:val="22"/>
      <w:u w:val="none"/>
    </w:rPr>
  </w:style>
  <w:style w:type="paragraph" w:customStyle="1" w:styleId="Style4">
    <w:name w:val="Body text (2)"/>
    <w:basedOn w:val="Normal"/>
    <w:link w:val="CharStyle5"/>
    <w:pPr>
      <w:widowControl w:val="0"/>
      <w:shd w:val="clear" w:color="auto" w:fill="FFFFFF"/>
    </w:pPr>
    <w:rPr>
      <w:rFonts w:ascii="Georgia" w:eastAsia="Georgia" w:hAnsi="Georgia" w:cs="Georgia"/>
      <w:b w:val="0"/>
      <w:bCs w:val="0"/>
      <w:i w:val="0"/>
      <w:iCs w:val="0"/>
      <w:smallCaps w:val="0"/>
      <w:strike w:val="0"/>
      <w:sz w:val="18"/>
      <w:szCs w:val="18"/>
      <w:u w:val="none"/>
    </w:rPr>
  </w:style>
  <w:style w:type="paragraph" w:customStyle="1" w:styleId="Style6">
    <w:name w:val="Heading #1"/>
    <w:basedOn w:val="Normal"/>
    <w:link w:val="CharStyle7"/>
    <w:pPr>
      <w:widowControl w:val="0"/>
      <w:shd w:val="clear" w:color="auto" w:fill="FFFFFF"/>
      <w:spacing w:after="280"/>
      <w:outlineLvl w:val="0"/>
    </w:pPr>
    <w:rPr>
      <w:rFonts w:ascii="Georgia" w:eastAsia="Georgia" w:hAnsi="Georgia" w:cs="Georgia"/>
      <w:b/>
      <w:bCs/>
      <w:i w:val="0"/>
      <w:iCs w:val="0"/>
      <w:smallCaps w:val="0"/>
      <w:strike w:val="0"/>
      <w:color w:val="303741"/>
      <w:sz w:val="30"/>
      <w:szCs w:val="30"/>
      <w:u w:val="none"/>
    </w:rPr>
  </w:style>
  <w:style w:type="paragraph" w:customStyle="1" w:styleId="Style8">
    <w:name w:val="Heading #2"/>
    <w:basedOn w:val="Normal"/>
    <w:link w:val="CharStyle9"/>
    <w:pPr>
      <w:widowControl w:val="0"/>
      <w:shd w:val="clear" w:color="auto" w:fill="FFFFFF"/>
      <w:spacing w:after="360"/>
      <w:jc w:val="right"/>
      <w:outlineLvl w:val="1"/>
    </w:pPr>
    <w:rPr>
      <w:rFonts w:ascii="Times New Roman" w:eastAsia="Times New Roman" w:hAnsi="Times New Roman" w:cs="Times New Roman"/>
      <w:b/>
      <w:bCs/>
      <w:i w:val="0"/>
      <w:iCs w:val="0"/>
      <w:smallCaps w:val="0"/>
      <w:strike w:val="0"/>
      <w:sz w:val="28"/>
      <w:szCs w:val="28"/>
      <w:u w:val="none"/>
    </w:rPr>
  </w:style>
  <w:style w:type="paragraph" w:styleId="Style10">
    <w:name w:val="Body text"/>
    <w:basedOn w:val="Normal"/>
    <w:link w:val="CharStyle11"/>
    <w:qFormat/>
    <w:pPr>
      <w:widowControl w:val="0"/>
      <w:shd w:val="clear" w:color="auto" w:fill="FFFFFF"/>
      <w:spacing w:after="120"/>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2">
    <w:name w:val="Header or footer (2)"/>
    <w:basedOn w:val="Normal"/>
    <w:link w:val="CharStyle13"/>
    <w:pPr>
      <w:widowControl w:val="0"/>
      <w:shd w:val="clear" w:color="auto" w:fill="FFFFFF"/>
    </w:pPr>
    <w:rPr>
      <w:rFonts w:ascii="Times New Roman" w:eastAsia="Times New Roman" w:hAnsi="Times New Roman" w:cs="Times New Roman"/>
      <w:b w:val="0"/>
      <w:bCs w:val="0"/>
      <w:i w:val="0"/>
      <w:iCs w:val="0"/>
      <w:smallCaps w:val="0"/>
      <w:strike w:val="0"/>
      <w:sz w:val="20"/>
      <w:szCs w:val="20"/>
      <w:u w:val="none"/>
    </w:rPr>
  </w:style>
  <w:style w:type="paragraph" w:customStyle="1" w:styleId="Style16">
    <w:name w:val="Other"/>
    <w:basedOn w:val="Normal"/>
    <w:link w:val="CharStyle17"/>
    <w:pPr>
      <w:widowControl w:val="0"/>
      <w:shd w:val="clear" w:color="auto" w:fill="FFFFFF"/>
      <w:spacing w:after="120"/>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20">
    <w:name w:val="Table caption"/>
    <w:basedOn w:val="Normal"/>
    <w:link w:val="CharStyle21"/>
    <w:pPr>
      <w:widowControl w:val="0"/>
      <w:shd w:val="clear" w:color="auto" w:fill="FFFFFF"/>
    </w:pPr>
    <w:rPr>
      <w:rFonts w:ascii="Times New Roman" w:eastAsia="Times New Roman" w:hAnsi="Times New Roman" w:cs="Times New Roman"/>
      <w:b w:val="0"/>
      <w:bCs w:val="0"/>
      <w:i w:val="0"/>
      <w:iCs w:val="0"/>
      <w:smallCaps w:val="0"/>
      <w:strike w:val="0"/>
      <w:sz w:val="28"/>
      <w:szCs w:val="28"/>
      <w:u w:val="none"/>
    </w:rPr>
  </w:style>
  <w:style w:type="paragraph" w:customStyle="1" w:styleId="Style28">
    <w:name w:val="Body text (3)"/>
    <w:basedOn w:val="Normal"/>
    <w:link w:val="CharStyle29"/>
    <w:pPr>
      <w:widowControl w:val="0"/>
      <w:shd w:val="clear" w:color="auto" w:fill="FFFFFF"/>
      <w:spacing w:line="180" w:lineRule="auto"/>
      <w:ind w:left="2840"/>
    </w:pPr>
    <w:rPr>
      <w:rFonts w:ascii="Times New Roman" w:eastAsia="Times New Roman" w:hAnsi="Times New Roman" w:cs="Times New Roman"/>
      <w:b/>
      <w:bCs/>
      <w:i w:val="0"/>
      <w:iCs w:val="0"/>
      <w:smallCaps w:val="0"/>
      <w:strike w:val="0"/>
      <w:sz w:val="8"/>
      <w:szCs w:val="8"/>
      <w:u w:val="none"/>
    </w:rPr>
  </w:style>
</w:styles>
</file>

<file path=word/_rels/document.xml.rels><?xml version="1.0" encoding="UTF-8" standalone="yes"?>
<Relationships xmlns="http://schemas.openxmlformats.org/package/2006/relationships"><Relationship Id="rId8" Type="http://schemas.openxmlformats.org/officeDocument/2006/relationships/image" Target="media/image2.jpeg" TargetMode="External"/><Relationship Id="rId13" Type="http://schemas.openxmlformats.org/officeDocument/2006/relationships/customXml" Target="../customXml/item3.xml"/><Relationship Id="rId3" Type="http://schemas.openxmlformats.org/officeDocument/2006/relationships/numbering" Target="numbering.xml"/><Relationship Id="rId7" Type="http://schemas.openxmlformats.org/officeDocument/2006/relationships/image" Target="media/image2.jpe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footnotes" Target="footnotes.xml"/><Relationship Id="rId6" Type="http://schemas.openxmlformats.org/officeDocument/2006/relationships/image" Target="media/image1.jpeg" TargetMode="External"/><Relationship Id="rId11" Type="http://schemas.openxmlformats.org/officeDocument/2006/relationships/customXml" Target="../customXml/item1.xml"/><Relationship Id="rId5" Type="http://schemas.openxmlformats.org/officeDocument/2006/relationships/image" Target="media/image1.jpeg"/><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CD66CA52-DCE9-4E52-8A93-7C97EEB76F82}"/>
</file>

<file path=customXml/itemProps2.xml><?xml version="1.0" encoding="utf-8"?>
<ds:datastoreItem xmlns:ds="http://schemas.openxmlformats.org/officeDocument/2006/customXml" ds:itemID="{4F85670C-9CE6-496D-A3B5-B5BA14734D38}"/>
</file>

<file path=customXml/itemProps3.xml><?xml version="1.0" encoding="utf-8"?>
<ds:datastoreItem xmlns:ds="http://schemas.openxmlformats.org/officeDocument/2006/customXml" ds:itemID="{186E6A66-18D1-4FB2-BB76-403B760EAA7C}"/>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86.2021.ro</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