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Override2.xml" ContentType="application/vnd.openxmlformats-officedocument.themeOverride+xml"/>
  <Override PartName="/word/charts/colors2.xml" ContentType="application/vnd.ms-office.chartcolorstyle+xml"/>
  <Override PartName="/word/charts/style2.xml" ContentType="application/vnd.ms-office.chartstyle+xml"/>
  <Override PartName="/word/theme/theme1.xml" ContentType="application/vnd.openxmlformats-officedocument.theme+xml"/>
  <Override PartName="/word/theme/themeOverride1.xml" ContentType="application/vnd.openxmlformats-officedocument.themeOverride+xml"/>
  <Override PartName="/word/charts/chart2.xml" ContentType="application/vnd.openxmlformats-officedocument.drawingml.chart+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A8B97" w14:textId="77777777" w:rsidR="007C7A42" w:rsidRDefault="000F2819"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7CD8D43D" wp14:editId="25531E66">
                <wp:simplePos x="0" y="0"/>
                <wp:positionH relativeFrom="page">
                  <wp:posOffset>4791180</wp:posOffset>
                </wp:positionH>
                <wp:positionV relativeFrom="page">
                  <wp:posOffset>224790</wp:posOffset>
                </wp:positionV>
                <wp:extent cx="2074545"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6B39CEB" w14:textId="77777777" w:rsidR="005A4ED0" w:rsidRDefault="005A4ED0" w:rsidP="00D85442">
                            <w:pPr>
                              <w:pStyle w:val="nr"/>
                              <w:tabs>
                                <w:tab w:val="left" w:pos="1484"/>
                              </w:tabs>
                              <w:spacing w:after="440"/>
                              <w:rPr>
                                <w:i/>
                                <w:sz w:val="18"/>
                                <w:szCs w:val="18"/>
                              </w:rPr>
                            </w:pPr>
                            <w:permStart w:id="395455968" w:edGrp="everyone"/>
                            <w:r>
                              <w:rPr>
                                <w:i/>
                                <w:sz w:val="18"/>
                                <w:szCs w:val="18"/>
                              </w:rPr>
                              <w:t xml:space="preserve">  </w:t>
                            </w:r>
                          </w:p>
                          <w:p w14:paraId="0397A7A3" w14:textId="25B6D7CE" w:rsidR="005A4ED0" w:rsidRDefault="005A4ED0" w:rsidP="00BD1836">
                            <w:pPr>
                              <w:pStyle w:val="nr"/>
                              <w:spacing w:after="160"/>
                            </w:pPr>
                            <w:r>
                              <w:t>CS/147</w:t>
                            </w:r>
                            <w:r w:rsidR="0074052A">
                              <w:t>-01</w:t>
                            </w:r>
                            <w:r>
                              <w:t xml:space="preserve"> </w:t>
                            </w:r>
                            <w:permEnd w:id="395455968"/>
                            <w:r>
                              <w:t xml:space="preserve"> nr. </w:t>
                            </w:r>
                            <w:permStart w:id="1093039773" w:edGrp="everyone"/>
                            <w:r w:rsidR="0074052A">
                              <w:t>08</w:t>
                            </w:r>
                            <w:permEnd w:id="1093039773"/>
                            <w:r>
                              <w:t xml:space="preserve"> </w:t>
                            </w:r>
                          </w:p>
                          <w:p w14:paraId="6C06B788" w14:textId="765DD64A" w:rsidR="005A4ED0" w:rsidRDefault="005A4ED0" w:rsidP="000F2819">
                            <w:pPr>
                              <w:pStyle w:val="nr"/>
                            </w:pPr>
                            <w:r>
                              <w:t xml:space="preserve"> </w:t>
                            </w:r>
                            <w:permStart w:id="1406606052" w:edGrp="everyone"/>
                            <w:r>
                              <w:t>____ iulie 2022</w:t>
                            </w:r>
                            <w:permEnd w:id="1406606052"/>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8D43D" id="_x0000_t202" coordsize="21600,21600" o:spt="202" path="m,l,21600r21600,l21600,xe">
                <v:stroke joinstyle="miter"/>
                <v:path gradientshapeok="t" o:connecttype="rect"/>
              </v:shapetype>
              <v:shape id="Text Box 3" o:spid="_x0000_s1026" type="#_x0000_t202" style="position:absolute;left:0;text-align:left;margin-left:377.25pt;margin-top:17.7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" filled="f" stroked="f" strokeweight=".5pt">
                <v:textbox inset="0,0,0,0">
                  <w:txbxContent>
                    <w:p w14:paraId="16B39CEB" w14:textId="77777777" w:rsidR="005A4ED0" w:rsidRDefault="005A4ED0" w:rsidP="00D85442">
                      <w:pPr>
                        <w:pStyle w:val="nr"/>
                        <w:tabs>
                          <w:tab w:val="left" w:pos="1484"/>
                        </w:tabs>
                        <w:spacing w:after="440"/>
                        <w:rPr>
                          <w:i/>
                          <w:sz w:val="18"/>
                          <w:szCs w:val="18"/>
                        </w:rPr>
                      </w:pPr>
                      <w:permStart w:id="395455968" w:edGrp="everyone"/>
                      <w:r>
                        <w:rPr>
                          <w:i/>
                          <w:sz w:val="18"/>
                          <w:szCs w:val="18"/>
                        </w:rPr>
                        <w:t xml:space="preserve">  </w:t>
                      </w:r>
                    </w:p>
                    <w:p w14:paraId="0397A7A3" w14:textId="25B6D7CE" w:rsidR="005A4ED0" w:rsidRDefault="005A4ED0" w:rsidP="00BD1836">
                      <w:pPr>
                        <w:pStyle w:val="nr"/>
                        <w:spacing w:after="160"/>
                      </w:pPr>
                      <w:r>
                        <w:t>CS/147</w:t>
                      </w:r>
                      <w:r w:rsidR="0074052A">
                        <w:t>-01</w:t>
                      </w:r>
                      <w:r>
                        <w:t xml:space="preserve"> </w:t>
                      </w:r>
                      <w:permEnd w:id="395455968"/>
                      <w:r>
                        <w:t xml:space="preserve"> nr. </w:t>
                      </w:r>
                      <w:permStart w:id="1093039773" w:edGrp="everyone"/>
                      <w:r w:rsidR="0074052A">
                        <w:t>08</w:t>
                      </w:r>
                      <w:permEnd w:id="1093039773"/>
                      <w:r>
                        <w:t xml:space="preserve"> </w:t>
                      </w:r>
                    </w:p>
                    <w:p w14:paraId="6C06B788" w14:textId="765DD64A" w:rsidR="005A4ED0" w:rsidRDefault="005A4ED0" w:rsidP="000F2819">
                      <w:pPr>
                        <w:pStyle w:val="nr"/>
                      </w:pPr>
                      <w:r>
                        <w:t xml:space="preserve"> </w:t>
                      </w:r>
                      <w:permStart w:id="1406606052" w:edGrp="everyone"/>
                      <w:r>
                        <w:t>____ iulie 2022</w:t>
                      </w:r>
                      <w:permEnd w:id="1406606052"/>
                    </w:p>
                  </w:txbxContent>
                </v:textbox>
                <w10:wrap anchorx="page" anchory="page"/>
              </v:shape>
            </w:pict>
          </mc:Fallback>
        </mc:AlternateContent>
      </w:r>
      <w:r w:rsidR="00F00B91" w:rsidRPr="00F00B91">
        <w:rPr>
          <w:noProof/>
          <w:lang w:val="en-US"/>
        </w:rPr>
        <w:t>Comisia specială</w:t>
      </w:r>
    </w:p>
    <w:p w14:paraId="66D80F46" w14:textId="1AC0397A" w:rsidR="00446E6C" w:rsidRPr="00446E6C" w:rsidRDefault="0072477C" w:rsidP="00A36D72">
      <w:pPr>
        <w:spacing w:after="0" w:line="240" w:lineRule="auto"/>
        <w:rPr>
          <w:rFonts w:ascii="Times New Roman" w:hAnsi="Times New Roman" w:cs="Times New Roman"/>
          <w:b/>
          <w:sz w:val="28"/>
        </w:rPr>
      </w:pPr>
      <w:permStart w:id="1977958863" w:edGrp="everyone"/>
      <w:r w:rsidRPr="00446E6C">
        <w:rPr>
          <w:rFonts w:ascii="Times New Roman" w:hAnsi="Times New Roman" w:cs="Times New Roman"/>
          <w:b/>
          <w:sz w:val="28"/>
        </w:rPr>
        <w:t xml:space="preserve">Comisia specială </w:t>
      </w:r>
      <w:r w:rsidR="00446E6C" w:rsidRPr="00446E6C">
        <w:rPr>
          <w:rFonts w:ascii="Times New Roman" w:hAnsi="Times New Roman" w:cs="Times New Roman"/>
          <w:b/>
          <w:sz w:val="28"/>
        </w:rPr>
        <w:t>de examinare a procesului decizional privind controlul inflației și politica monetară pe parcursul ultimelor 18 luni</w:t>
      </w:r>
    </w:p>
    <w:p w14:paraId="7D22F779" w14:textId="74EFF011" w:rsidR="00604D4A" w:rsidRDefault="00604D4A" w:rsidP="00604D4A">
      <w:pPr>
        <w:spacing w:after="0" w:line="240" w:lineRule="auto"/>
        <w:rPr>
          <w:rFonts w:ascii="Times New Roman" w:hAnsi="Times New Roman" w:cs="Times New Roman"/>
          <w:b/>
          <w:sz w:val="28"/>
        </w:rPr>
      </w:pPr>
    </w:p>
    <w:p w14:paraId="33D9B1F7" w14:textId="77777777" w:rsidR="00604D4A" w:rsidRDefault="00604D4A" w:rsidP="00604D4A">
      <w:pPr>
        <w:spacing w:after="0" w:line="240" w:lineRule="auto"/>
        <w:rPr>
          <w:rFonts w:ascii="Times New Roman" w:hAnsi="Times New Roman" w:cs="Times New Roman"/>
          <w:b/>
          <w:sz w:val="28"/>
        </w:rPr>
      </w:pPr>
    </w:p>
    <w:p w14:paraId="348E21BD" w14:textId="4BB116C4" w:rsidR="00A36D72" w:rsidRDefault="00A36D72" w:rsidP="00A36D72">
      <w:pPr>
        <w:spacing w:after="0" w:line="240" w:lineRule="auto"/>
        <w:jc w:val="center"/>
        <w:rPr>
          <w:rFonts w:ascii="Times New Roman" w:hAnsi="Times New Roman" w:cs="Times New Roman"/>
          <w:b/>
          <w:sz w:val="28"/>
        </w:rPr>
      </w:pPr>
      <w:r>
        <w:rPr>
          <w:rFonts w:ascii="Times New Roman" w:hAnsi="Times New Roman" w:cs="Times New Roman"/>
          <w:b/>
          <w:sz w:val="28"/>
        </w:rPr>
        <w:t>RAPORT</w:t>
      </w:r>
    </w:p>
    <w:p w14:paraId="43507B11" w14:textId="0131EA8E" w:rsidR="0072477C" w:rsidRDefault="00A36D72" w:rsidP="00A36D72">
      <w:pPr>
        <w:spacing w:after="0" w:line="240" w:lineRule="auto"/>
        <w:jc w:val="center"/>
        <w:rPr>
          <w:rFonts w:ascii="Times New Roman" w:hAnsi="Times New Roman" w:cs="Times New Roman"/>
          <w:b/>
          <w:sz w:val="28"/>
        </w:rPr>
      </w:pPr>
      <w:r>
        <w:rPr>
          <w:rFonts w:ascii="Times New Roman" w:hAnsi="Times New Roman" w:cs="Times New Roman"/>
          <w:b/>
          <w:sz w:val="28"/>
        </w:rPr>
        <w:t xml:space="preserve">al Comisiei speciale </w:t>
      </w:r>
      <w:r w:rsidRPr="00A36D72">
        <w:rPr>
          <w:rFonts w:ascii="Times New Roman" w:hAnsi="Times New Roman" w:cs="Times New Roman"/>
          <w:b/>
          <w:sz w:val="28"/>
        </w:rPr>
        <w:t>de examinare a procesului decizional privind controlul inflației și politica monetară pe parcursul ultimelor 18 luni</w:t>
      </w:r>
    </w:p>
    <w:p w14:paraId="75A86157" w14:textId="77777777" w:rsidR="00446E6C" w:rsidRPr="001D19A3" w:rsidRDefault="00446E6C" w:rsidP="00446E6C">
      <w:pPr>
        <w:spacing w:after="0"/>
        <w:jc w:val="right"/>
        <w:rPr>
          <w:rFonts w:ascii="Times New Roman" w:hAnsi="Times New Roman" w:cs="Times New Roman"/>
          <w:b/>
          <w:sz w:val="28"/>
        </w:rPr>
      </w:pPr>
    </w:p>
    <w:p w14:paraId="6245900F" w14:textId="77777777" w:rsidR="00A36D72" w:rsidRPr="00D21DD8" w:rsidRDefault="00A36D72" w:rsidP="003144D4">
      <w:pPr>
        <w:keepNext/>
        <w:keepLines/>
        <w:widowControl w:val="0"/>
        <w:pBdr>
          <w:top w:val="nil"/>
          <w:left w:val="nil"/>
          <w:bottom w:val="nil"/>
          <w:right w:val="nil"/>
          <w:between w:val="nil"/>
        </w:pBdr>
        <w:spacing w:after="280" w:line="240" w:lineRule="auto"/>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I. Preambul procedural</w:t>
      </w:r>
    </w:p>
    <w:p w14:paraId="21B46B2A" w14:textId="77777777" w:rsidR="00A36D72" w:rsidRPr="00D21DD8" w:rsidRDefault="00A36D72" w:rsidP="00A36D72">
      <w:pPr>
        <w:widowControl w:val="0"/>
        <w:pBdr>
          <w:top w:val="nil"/>
          <w:left w:val="nil"/>
          <w:bottom w:val="nil"/>
          <w:right w:val="nil"/>
          <w:between w:val="nil"/>
        </w:pBdr>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Comisia specială de examinare a procesului decizional privind controlul inflației și politica monetară pe parcursul ultimelor 18 luni a fost constituită prin Hotărârea Parlamentului nr.147  din  02 iunie 2022, în următoarea componență: ALAIBA Dumitru (Președinte), BĂLUȚEL Adrian (Secretar), MIJA Artur (Membru) și MOROZOVA Marina (Membru). </w:t>
      </w:r>
    </w:p>
    <w:p w14:paraId="217FEA53" w14:textId="77777777" w:rsidR="00A36D72" w:rsidRPr="00D21DD8" w:rsidRDefault="00A36D72" w:rsidP="00A36D72">
      <w:pPr>
        <w:widowControl w:val="0"/>
        <w:pBdr>
          <w:top w:val="nil"/>
          <w:left w:val="nil"/>
          <w:bottom w:val="nil"/>
          <w:right w:val="nil"/>
          <w:between w:val="nil"/>
        </w:pBdr>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În baza Hotărârii menționate a fost stabilit termenul de o lună din momentul adoptării pentru examinarea procesului decizional privind controlul inflației și politica monetară pe parcursul ultimelor 18 luni. </w:t>
      </w:r>
      <w:r w:rsidRPr="00D21DD8">
        <w:rPr>
          <w:rFonts w:ascii="Times New Roman" w:eastAsia="Times New Roman" w:hAnsi="Times New Roman" w:cs="Times New Roman"/>
          <w:sz w:val="28"/>
          <w:szCs w:val="28"/>
        </w:rPr>
        <w:t xml:space="preserve">Ulterior termenul a fost extins cu alte 30 de zile pentru finisarea raportului. </w:t>
      </w:r>
    </w:p>
    <w:p w14:paraId="434D313E" w14:textId="793A3615" w:rsidR="00A36D72" w:rsidRPr="00D21DD8" w:rsidRDefault="00A36D72" w:rsidP="00A36D72">
      <w:pPr>
        <w:widowControl w:val="0"/>
        <w:pBdr>
          <w:top w:val="nil"/>
          <w:left w:val="nil"/>
          <w:bottom w:val="nil"/>
          <w:right w:val="nil"/>
          <w:between w:val="nil"/>
        </w:pBdr>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Scopul Comisiei </w:t>
      </w:r>
      <w:r w:rsidR="004035F5" w:rsidRPr="00D21DD8">
        <w:rPr>
          <w:rFonts w:ascii="Times New Roman" w:eastAsia="Times New Roman" w:hAnsi="Times New Roman" w:cs="Times New Roman"/>
          <w:color w:val="000000"/>
          <w:sz w:val="28"/>
          <w:szCs w:val="28"/>
        </w:rPr>
        <w:t xml:space="preserve">speciale </w:t>
      </w:r>
      <w:r w:rsidRPr="00D21DD8">
        <w:rPr>
          <w:rFonts w:ascii="Times New Roman" w:eastAsia="Times New Roman" w:hAnsi="Times New Roman" w:cs="Times New Roman"/>
          <w:color w:val="000000"/>
          <w:sz w:val="28"/>
          <w:szCs w:val="28"/>
        </w:rPr>
        <w:t>a fost examinarea modului de gestionare a procesului decizional privind</w:t>
      </w:r>
      <w:r w:rsidR="004035F5" w:rsidRPr="00D21DD8">
        <w:rPr>
          <w:rFonts w:ascii="Times New Roman" w:eastAsia="Times New Roman" w:hAnsi="Times New Roman" w:cs="Times New Roman"/>
          <w:color w:val="000000"/>
          <w:sz w:val="28"/>
          <w:szCs w:val="28"/>
        </w:rPr>
        <w:t xml:space="preserve"> </w:t>
      </w:r>
      <w:r w:rsidRPr="00D21DD8">
        <w:rPr>
          <w:rFonts w:ascii="Times New Roman" w:eastAsia="Times New Roman" w:hAnsi="Times New Roman" w:cs="Times New Roman"/>
          <w:color w:val="000000"/>
          <w:sz w:val="28"/>
          <w:szCs w:val="28"/>
        </w:rPr>
        <w:t>controlul inflației și politica monetară pe parcursul ultimelor 18 luni, prin audierea autorităților statului și persoanelor responsabile de procesul decizional privind controlul inflației</w:t>
      </w:r>
      <w:r w:rsidR="004035F5" w:rsidRPr="00D21DD8">
        <w:rPr>
          <w:rFonts w:ascii="Times New Roman" w:eastAsia="Times New Roman" w:hAnsi="Times New Roman" w:cs="Times New Roman"/>
          <w:color w:val="000000"/>
          <w:sz w:val="28"/>
          <w:szCs w:val="28"/>
        </w:rPr>
        <w:t xml:space="preserve"> și politica monetară.</w:t>
      </w:r>
    </w:p>
    <w:p w14:paraId="0366EF1E" w14:textId="57882760" w:rsidR="00A36D72" w:rsidRPr="00D21DD8" w:rsidRDefault="00A36D72" w:rsidP="00A36D72">
      <w:pPr>
        <w:widowControl w:val="0"/>
        <w:pBdr>
          <w:top w:val="nil"/>
          <w:left w:val="nil"/>
          <w:bottom w:val="nil"/>
          <w:right w:val="nil"/>
          <w:between w:val="nil"/>
        </w:pBdr>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Pentru realizarea mandatului său de activitate, Comisia </w:t>
      </w:r>
      <w:r w:rsidR="00E96739" w:rsidRPr="00D21DD8">
        <w:rPr>
          <w:rFonts w:ascii="Times New Roman" w:eastAsia="Times New Roman" w:hAnsi="Times New Roman" w:cs="Times New Roman"/>
          <w:color w:val="000000"/>
          <w:sz w:val="28"/>
          <w:szCs w:val="28"/>
        </w:rPr>
        <w:t xml:space="preserve">specială </w:t>
      </w:r>
      <w:r w:rsidRPr="00D21DD8">
        <w:rPr>
          <w:rFonts w:ascii="Times New Roman" w:eastAsia="Times New Roman" w:hAnsi="Times New Roman" w:cs="Times New Roman"/>
          <w:color w:val="000000"/>
          <w:sz w:val="28"/>
          <w:szCs w:val="28"/>
        </w:rPr>
        <w:t>a solicitat organizarea unor ședințe de audieri cu reprezentanții Ministerului Finanțelor, Ministerului Economiei și B</w:t>
      </w:r>
      <w:proofErr w:type="spellStart"/>
      <w:r w:rsidR="00AB140A" w:rsidRPr="00D21DD8">
        <w:rPr>
          <w:rFonts w:ascii="Times New Roman" w:eastAsia="Times New Roman" w:hAnsi="Times New Roman" w:cs="Times New Roman"/>
          <w:color w:val="000000"/>
          <w:sz w:val="28"/>
          <w:szCs w:val="28"/>
          <w:lang w:val="ro-MD"/>
        </w:rPr>
        <w:t>ăncii</w:t>
      </w:r>
      <w:proofErr w:type="spellEnd"/>
      <w:r w:rsidRPr="00D21DD8">
        <w:rPr>
          <w:rFonts w:ascii="Times New Roman" w:eastAsia="Times New Roman" w:hAnsi="Times New Roman" w:cs="Times New Roman"/>
          <w:color w:val="000000"/>
          <w:sz w:val="28"/>
          <w:szCs w:val="28"/>
        </w:rPr>
        <w:t xml:space="preserve"> Națională a Moldovei. De asemenea au fost solicitate </w:t>
      </w:r>
      <w:r w:rsidRPr="00D21DD8">
        <w:rPr>
          <w:rFonts w:ascii="Times New Roman" w:eastAsia="Times New Roman" w:hAnsi="Times New Roman" w:cs="Times New Roman"/>
          <w:sz w:val="28"/>
          <w:szCs w:val="28"/>
        </w:rPr>
        <w:t>mai multe</w:t>
      </w:r>
      <w:r w:rsidRPr="00D21DD8">
        <w:rPr>
          <w:rFonts w:ascii="Times New Roman" w:eastAsia="Times New Roman" w:hAnsi="Times New Roman" w:cs="Times New Roman"/>
          <w:color w:val="000000"/>
          <w:sz w:val="28"/>
          <w:szCs w:val="28"/>
        </w:rPr>
        <w:t xml:space="preserve"> rapoarte, analize, decizii, informații și </w:t>
      </w:r>
      <w:r w:rsidR="00E96739" w:rsidRPr="00D21DD8">
        <w:rPr>
          <w:rFonts w:ascii="Times New Roman" w:eastAsia="Times New Roman" w:hAnsi="Times New Roman" w:cs="Times New Roman"/>
          <w:color w:val="000000"/>
          <w:sz w:val="28"/>
          <w:szCs w:val="28"/>
        </w:rPr>
        <w:t xml:space="preserve">alte </w:t>
      </w:r>
      <w:r w:rsidRPr="00D21DD8">
        <w:rPr>
          <w:rFonts w:ascii="Times New Roman" w:eastAsia="Times New Roman" w:hAnsi="Times New Roman" w:cs="Times New Roman"/>
          <w:color w:val="000000"/>
          <w:sz w:val="28"/>
          <w:szCs w:val="28"/>
        </w:rPr>
        <w:t>acte necesare activității Comisiei</w:t>
      </w:r>
      <w:r w:rsidR="00CC76F6" w:rsidRPr="00D21DD8">
        <w:rPr>
          <w:rFonts w:ascii="Times New Roman" w:eastAsia="Times New Roman" w:hAnsi="Times New Roman" w:cs="Times New Roman"/>
          <w:color w:val="000000"/>
          <w:sz w:val="28"/>
          <w:szCs w:val="28"/>
        </w:rPr>
        <w:t xml:space="preserve"> speciale</w:t>
      </w:r>
      <w:r w:rsidRPr="00D21DD8">
        <w:rPr>
          <w:rFonts w:ascii="Times New Roman" w:eastAsia="Times New Roman" w:hAnsi="Times New Roman" w:cs="Times New Roman"/>
          <w:color w:val="000000"/>
          <w:sz w:val="28"/>
          <w:szCs w:val="28"/>
        </w:rPr>
        <w:t xml:space="preserve">. În același timp </w:t>
      </w:r>
      <w:r w:rsidRPr="00D21DD8">
        <w:rPr>
          <w:rFonts w:ascii="Times New Roman" w:eastAsia="Times New Roman" w:hAnsi="Times New Roman" w:cs="Times New Roman"/>
          <w:sz w:val="28"/>
          <w:szCs w:val="28"/>
        </w:rPr>
        <w:t>Comisia</w:t>
      </w:r>
      <w:r w:rsidR="00E96739" w:rsidRPr="00D21DD8">
        <w:rPr>
          <w:rFonts w:ascii="Times New Roman" w:eastAsia="Times New Roman" w:hAnsi="Times New Roman" w:cs="Times New Roman"/>
          <w:sz w:val="28"/>
          <w:szCs w:val="28"/>
        </w:rPr>
        <w:t xml:space="preserve"> specială</w:t>
      </w:r>
      <w:r w:rsidRPr="00D21DD8">
        <w:rPr>
          <w:rFonts w:ascii="Times New Roman" w:eastAsia="Times New Roman" w:hAnsi="Times New Roman" w:cs="Times New Roman"/>
          <w:sz w:val="28"/>
          <w:szCs w:val="28"/>
        </w:rPr>
        <w:t xml:space="preserve"> a ținut cont și de opiniile experților independenți din societatea civilă.</w:t>
      </w:r>
    </w:p>
    <w:p w14:paraId="1EF01257" w14:textId="57EBE13E" w:rsidR="00A36D72" w:rsidRPr="00D21DD8" w:rsidRDefault="00A36D72" w:rsidP="00A36D72">
      <w:pPr>
        <w:widowControl w:val="0"/>
        <w:pBdr>
          <w:top w:val="nil"/>
          <w:left w:val="nil"/>
          <w:bottom w:val="nil"/>
          <w:right w:val="nil"/>
          <w:between w:val="nil"/>
        </w:pBdr>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Pe perioada mandatului său de activitate, Comisia </w:t>
      </w:r>
      <w:r w:rsidR="00F941C9" w:rsidRPr="00D21DD8">
        <w:rPr>
          <w:rFonts w:ascii="Times New Roman" w:eastAsia="Times New Roman" w:hAnsi="Times New Roman" w:cs="Times New Roman"/>
          <w:color w:val="000000"/>
          <w:sz w:val="28"/>
          <w:szCs w:val="28"/>
        </w:rPr>
        <w:t xml:space="preserve">specială </w:t>
      </w:r>
      <w:r w:rsidRPr="00D21DD8">
        <w:rPr>
          <w:rFonts w:ascii="Times New Roman" w:eastAsia="Times New Roman" w:hAnsi="Times New Roman" w:cs="Times New Roman"/>
          <w:color w:val="000000"/>
          <w:sz w:val="28"/>
          <w:szCs w:val="28"/>
        </w:rPr>
        <w:t>a desfășurat</w:t>
      </w:r>
      <w:r w:rsidR="00F941C9" w:rsidRPr="00D21DD8">
        <w:rPr>
          <w:rFonts w:ascii="Times New Roman" w:eastAsia="Times New Roman" w:hAnsi="Times New Roman" w:cs="Times New Roman"/>
          <w:color w:val="000000"/>
          <w:sz w:val="28"/>
          <w:szCs w:val="28"/>
        </w:rPr>
        <w:t xml:space="preserve"> </w:t>
      </w:r>
      <w:r w:rsidR="00F941C9" w:rsidRPr="00D21DD8">
        <w:rPr>
          <w:rFonts w:ascii="Times New Roman" w:eastAsia="Times New Roman" w:hAnsi="Times New Roman" w:cs="Times New Roman"/>
          <w:color w:val="000000"/>
          <w:sz w:val="28"/>
          <w:szCs w:val="28"/>
          <w:lang w:val="ro-MD"/>
        </w:rPr>
        <w:t xml:space="preserve">în  </w:t>
      </w:r>
      <w:r w:rsidR="00F941C9" w:rsidRPr="00D21DD8">
        <w:rPr>
          <w:rFonts w:ascii="Times New Roman" w:eastAsia="Times New Roman" w:hAnsi="Times New Roman" w:cs="Times New Roman"/>
          <w:color w:val="000000"/>
          <w:sz w:val="28"/>
          <w:szCs w:val="28"/>
        </w:rPr>
        <w:t>7</w:t>
      </w:r>
      <w:r w:rsidRPr="00D21DD8">
        <w:rPr>
          <w:rFonts w:ascii="Times New Roman" w:eastAsia="Times New Roman" w:hAnsi="Times New Roman" w:cs="Times New Roman"/>
          <w:color w:val="000000"/>
          <w:sz w:val="28"/>
          <w:szCs w:val="28"/>
        </w:rPr>
        <w:t xml:space="preserve"> ședințe</w:t>
      </w:r>
      <w:r w:rsidR="00FB5A18" w:rsidRPr="00D21DD8">
        <w:rPr>
          <w:rFonts w:ascii="Times New Roman" w:eastAsia="Times New Roman" w:hAnsi="Times New Roman" w:cs="Times New Roman"/>
          <w:color w:val="000000"/>
          <w:sz w:val="28"/>
          <w:szCs w:val="28"/>
        </w:rPr>
        <w:t xml:space="preserve"> </w:t>
      </w:r>
      <w:r w:rsidRPr="00D21DD8">
        <w:rPr>
          <w:rFonts w:ascii="Times New Roman" w:eastAsia="Times New Roman" w:hAnsi="Times New Roman" w:cs="Times New Roman"/>
          <w:color w:val="000000"/>
          <w:sz w:val="28"/>
          <w:szCs w:val="28"/>
        </w:rPr>
        <w:t xml:space="preserve">cu întocmirea proceselor-verbale. În cadrul ședințelor au fost invitați și au participat la audieri următoarele persoane: </w:t>
      </w:r>
    </w:p>
    <w:p w14:paraId="7AFC4F2C" w14:textId="77777777" w:rsidR="00A36D72" w:rsidRPr="00D21DD8" w:rsidRDefault="00A36D72" w:rsidP="00A36D72">
      <w:pPr>
        <w:widowControl w:val="0"/>
        <w:pBdr>
          <w:top w:val="nil"/>
          <w:left w:val="nil"/>
          <w:bottom w:val="nil"/>
          <w:right w:val="nil"/>
          <w:between w:val="nil"/>
        </w:pBdr>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i/>
          <w:color w:val="000000"/>
          <w:sz w:val="28"/>
          <w:szCs w:val="28"/>
        </w:rPr>
        <w:t>1. Ministerul Finanțelor</w:t>
      </w:r>
      <w:r w:rsidRPr="00D21DD8">
        <w:rPr>
          <w:rFonts w:ascii="Times New Roman" w:eastAsia="Times New Roman" w:hAnsi="Times New Roman" w:cs="Times New Roman"/>
          <w:color w:val="000000"/>
          <w:sz w:val="28"/>
          <w:szCs w:val="28"/>
        </w:rPr>
        <w:t xml:space="preserve"> –  dl. Ion GUMENE, Secretar de Stat;</w:t>
      </w:r>
    </w:p>
    <w:p w14:paraId="3C763456" w14:textId="190C3801" w:rsidR="00A36D72" w:rsidRPr="00D21DD8" w:rsidRDefault="00A36D72" w:rsidP="00A36D72">
      <w:pPr>
        <w:widowControl w:val="0"/>
        <w:pBdr>
          <w:top w:val="nil"/>
          <w:left w:val="nil"/>
          <w:bottom w:val="nil"/>
          <w:right w:val="nil"/>
          <w:between w:val="nil"/>
        </w:pBdr>
        <w:shd w:val="clear" w:color="auto" w:fill="FFFFFF"/>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i/>
          <w:color w:val="000000"/>
          <w:sz w:val="28"/>
          <w:szCs w:val="28"/>
        </w:rPr>
        <w:t>2. Ministerul Economiei</w:t>
      </w:r>
      <w:r w:rsidRPr="00D21DD8">
        <w:rPr>
          <w:rFonts w:ascii="Times New Roman" w:eastAsia="Times New Roman" w:hAnsi="Times New Roman" w:cs="Times New Roman"/>
          <w:color w:val="000000"/>
          <w:sz w:val="28"/>
          <w:szCs w:val="28"/>
        </w:rPr>
        <w:t xml:space="preserve"> – dl. Sergiu GAIBU, Ministru</w:t>
      </w:r>
      <w:r w:rsidR="006F70DF" w:rsidRPr="00D21DD8">
        <w:rPr>
          <w:rFonts w:ascii="Times New Roman" w:eastAsia="Times New Roman" w:hAnsi="Times New Roman" w:cs="Times New Roman"/>
          <w:color w:val="000000"/>
          <w:sz w:val="28"/>
          <w:szCs w:val="28"/>
        </w:rPr>
        <w:t xml:space="preserve"> </w:t>
      </w:r>
      <w:r w:rsidRPr="00D21DD8">
        <w:rPr>
          <w:rFonts w:ascii="Times New Roman" w:eastAsia="Times New Roman" w:hAnsi="Times New Roman" w:cs="Times New Roman"/>
          <w:color w:val="000000"/>
          <w:sz w:val="28"/>
          <w:szCs w:val="28"/>
        </w:rPr>
        <w:t xml:space="preserve">Economiei; dl. Silviu Neghină, Șef adjunct Direcția dezvoltarea mediului de afaceri și dna Victoria </w:t>
      </w:r>
      <w:proofErr w:type="spellStart"/>
      <w:r w:rsidRPr="00D21DD8">
        <w:rPr>
          <w:rFonts w:ascii="Times New Roman" w:eastAsia="Times New Roman" w:hAnsi="Times New Roman" w:cs="Times New Roman"/>
          <w:color w:val="000000"/>
          <w:sz w:val="28"/>
          <w:szCs w:val="28"/>
        </w:rPr>
        <w:t>Blanuța</w:t>
      </w:r>
      <w:proofErr w:type="spellEnd"/>
      <w:r w:rsidRPr="00D21DD8">
        <w:rPr>
          <w:rFonts w:ascii="Times New Roman" w:eastAsia="Times New Roman" w:hAnsi="Times New Roman" w:cs="Times New Roman"/>
          <w:color w:val="000000"/>
          <w:sz w:val="28"/>
          <w:szCs w:val="28"/>
        </w:rPr>
        <w:t>, Șef secți</w:t>
      </w:r>
      <w:r w:rsidR="006F70DF" w:rsidRPr="00D21DD8">
        <w:rPr>
          <w:rFonts w:ascii="Times New Roman" w:eastAsia="Times New Roman" w:hAnsi="Times New Roman" w:cs="Times New Roman"/>
          <w:color w:val="000000"/>
          <w:sz w:val="28"/>
          <w:szCs w:val="28"/>
        </w:rPr>
        <w:t>e</w:t>
      </w:r>
      <w:r w:rsidRPr="00D21DD8">
        <w:rPr>
          <w:rFonts w:ascii="Times New Roman" w:eastAsia="Times New Roman" w:hAnsi="Times New Roman" w:cs="Times New Roman"/>
          <w:color w:val="000000"/>
          <w:sz w:val="28"/>
          <w:szCs w:val="28"/>
        </w:rPr>
        <w:t xml:space="preserve"> analiză și prognozare macroeconomică.</w:t>
      </w:r>
    </w:p>
    <w:p w14:paraId="37739995" w14:textId="57259A49" w:rsidR="00A36D72" w:rsidRPr="00D21DD8" w:rsidRDefault="00A36D72" w:rsidP="004B6EA9">
      <w:pPr>
        <w:widowControl w:val="0"/>
        <w:pBdr>
          <w:top w:val="nil"/>
          <w:left w:val="nil"/>
          <w:bottom w:val="nil"/>
          <w:right w:val="nil"/>
          <w:between w:val="nil"/>
        </w:pBdr>
        <w:shd w:val="clear" w:color="auto" w:fill="FFFFFF"/>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i/>
          <w:color w:val="000000"/>
          <w:sz w:val="28"/>
          <w:szCs w:val="28"/>
        </w:rPr>
        <w:t>3. Banca Națională a Moldovei</w:t>
      </w:r>
      <w:r w:rsidRPr="00D21DD8">
        <w:rPr>
          <w:rFonts w:ascii="Times New Roman" w:eastAsia="Times New Roman" w:hAnsi="Times New Roman" w:cs="Times New Roman"/>
          <w:color w:val="000000"/>
          <w:sz w:val="28"/>
          <w:szCs w:val="28"/>
        </w:rPr>
        <w:t>:</w:t>
      </w:r>
      <w:r w:rsidR="004B6EA9" w:rsidRPr="00D21DD8">
        <w:rPr>
          <w:rFonts w:ascii="Times New Roman" w:eastAsia="Times New Roman" w:hAnsi="Times New Roman" w:cs="Times New Roman"/>
          <w:color w:val="000000"/>
          <w:sz w:val="28"/>
          <w:szCs w:val="28"/>
        </w:rPr>
        <w:t xml:space="preserve"> dl. </w:t>
      </w:r>
      <w:r w:rsidRPr="00D21DD8">
        <w:rPr>
          <w:rFonts w:ascii="Times New Roman" w:eastAsia="Times New Roman" w:hAnsi="Times New Roman" w:cs="Times New Roman"/>
          <w:color w:val="000000"/>
          <w:sz w:val="28"/>
          <w:szCs w:val="28"/>
        </w:rPr>
        <w:t>Octavian ARMAȘU - Guvernatorul Băncii Naționale a Moldovei</w:t>
      </w:r>
      <w:r w:rsidR="004B6EA9" w:rsidRPr="00D21DD8">
        <w:rPr>
          <w:rFonts w:ascii="Times New Roman" w:eastAsia="Times New Roman" w:hAnsi="Times New Roman" w:cs="Times New Roman"/>
          <w:color w:val="000000"/>
          <w:sz w:val="28"/>
          <w:szCs w:val="28"/>
        </w:rPr>
        <w:t>,</w:t>
      </w:r>
      <w:r w:rsidR="004B6EA9" w:rsidRPr="00D21DD8">
        <w:rPr>
          <w:rFonts w:ascii="Times New Roman" w:eastAsia="Times New Roman" w:hAnsi="Times New Roman" w:cs="Times New Roman"/>
          <w:i/>
          <w:color w:val="000000"/>
          <w:sz w:val="28"/>
          <w:szCs w:val="28"/>
        </w:rPr>
        <w:t xml:space="preserve"> </w:t>
      </w:r>
      <w:r w:rsidR="004B6EA9" w:rsidRPr="00D21DD8">
        <w:rPr>
          <w:rFonts w:ascii="Times New Roman" w:eastAsia="Times New Roman" w:hAnsi="Times New Roman" w:cs="Times New Roman"/>
          <w:color w:val="000000"/>
          <w:sz w:val="28"/>
          <w:szCs w:val="28"/>
        </w:rPr>
        <w:t>dl</w:t>
      </w:r>
      <w:r w:rsidR="004B6EA9" w:rsidRPr="00D21DD8">
        <w:rPr>
          <w:rFonts w:ascii="Times New Roman" w:eastAsia="Times New Roman" w:hAnsi="Times New Roman" w:cs="Times New Roman"/>
          <w:i/>
          <w:color w:val="000000"/>
          <w:sz w:val="28"/>
          <w:szCs w:val="28"/>
        </w:rPr>
        <w:t xml:space="preserve">. </w:t>
      </w:r>
      <w:r w:rsidRPr="00D21DD8">
        <w:rPr>
          <w:rFonts w:ascii="Times New Roman" w:eastAsia="Times New Roman" w:hAnsi="Times New Roman" w:cs="Times New Roman"/>
          <w:color w:val="000000"/>
          <w:sz w:val="28"/>
          <w:szCs w:val="28"/>
        </w:rPr>
        <w:t>Vladimir MUNTEANU – Prim-viceguvernator al BNM</w:t>
      </w:r>
      <w:r w:rsidR="004B6EA9" w:rsidRPr="00D21DD8">
        <w:rPr>
          <w:rFonts w:ascii="Times New Roman" w:eastAsia="Times New Roman" w:hAnsi="Times New Roman" w:cs="Times New Roman"/>
          <w:color w:val="000000"/>
          <w:sz w:val="28"/>
          <w:szCs w:val="28"/>
        </w:rPr>
        <w:t>,</w:t>
      </w:r>
      <w:r w:rsidR="004B6EA9" w:rsidRPr="00D21DD8">
        <w:rPr>
          <w:rFonts w:ascii="Times New Roman" w:eastAsia="Times New Roman" w:hAnsi="Times New Roman" w:cs="Times New Roman"/>
          <w:i/>
          <w:color w:val="000000"/>
          <w:sz w:val="28"/>
          <w:szCs w:val="28"/>
        </w:rPr>
        <w:t xml:space="preserve"> </w:t>
      </w:r>
      <w:r w:rsidR="004B6EA9" w:rsidRPr="00D21DD8">
        <w:rPr>
          <w:rFonts w:ascii="Times New Roman" w:eastAsia="Times New Roman" w:hAnsi="Times New Roman" w:cs="Times New Roman"/>
          <w:color w:val="000000"/>
          <w:sz w:val="28"/>
          <w:szCs w:val="28"/>
        </w:rPr>
        <w:t xml:space="preserve">dl. </w:t>
      </w:r>
      <w:r w:rsidRPr="00D21DD8">
        <w:rPr>
          <w:rFonts w:ascii="Times New Roman" w:eastAsia="Times New Roman" w:hAnsi="Times New Roman" w:cs="Times New Roman"/>
          <w:color w:val="000000"/>
          <w:sz w:val="28"/>
          <w:szCs w:val="28"/>
        </w:rPr>
        <w:t>Constantin ȘCHENDRA – Viceguvernator al BNM</w:t>
      </w:r>
      <w:r w:rsidR="004B6EA9" w:rsidRPr="00D21DD8">
        <w:rPr>
          <w:rFonts w:ascii="Times New Roman" w:eastAsia="Times New Roman" w:hAnsi="Times New Roman" w:cs="Times New Roman"/>
          <w:color w:val="000000"/>
          <w:sz w:val="28"/>
          <w:szCs w:val="28"/>
        </w:rPr>
        <w:t>,</w:t>
      </w:r>
      <w:r w:rsidR="004B6EA9" w:rsidRPr="00D21DD8">
        <w:rPr>
          <w:rFonts w:ascii="Times New Roman" w:eastAsia="Times New Roman" w:hAnsi="Times New Roman" w:cs="Times New Roman"/>
          <w:i/>
          <w:color w:val="000000"/>
          <w:sz w:val="28"/>
          <w:szCs w:val="28"/>
        </w:rPr>
        <w:t xml:space="preserve"> </w:t>
      </w:r>
      <w:r w:rsidR="004B6EA9" w:rsidRPr="00D21DD8">
        <w:rPr>
          <w:rFonts w:ascii="Times New Roman" w:eastAsia="Times New Roman" w:hAnsi="Times New Roman" w:cs="Times New Roman"/>
          <w:color w:val="000000"/>
          <w:sz w:val="28"/>
          <w:szCs w:val="28"/>
        </w:rPr>
        <w:t>dna</w:t>
      </w:r>
      <w:r w:rsidR="004B6EA9" w:rsidRPr="00D21DD8">
        <w:rPr>
          <w:rFonts w:ascii="Times New Roman" w:eastAsia="Times New Roman" w:hAnsi="Times New Roman" w:cs="Times New Roman"/>
          <w:i/>
          <w:color w:val="000000"/>
          <w:sz w:val="28"/>
          <w:szCs w:val="28"/>
        </w:rPr>
        <w:t xml:space="preserve"> </w:t>
      </w:r>
      <w:r w:rsidRPr="00D21DD8">
        <w:rPr>
          <w:rFonts w:ascii="Times New Roman" w:eastAsia="Times New Roman" w:hAnsi="Times New Roman" w:cs="Times New Roman"/>
          <w:color w:val="000000"/>
          <w:sz w:val="28"/>
          <w:szCs w:val="28"/>
        </w:rPr>
        <w:t>Tatiana</w:t>
      </w:r>
      <w:r w:rsidR="004B6EA9" w:rsidRPr="00D21DD8">
        <w:rPr>
          <w:rFonts w:ascii="Times New Roman" w:eastAsia="Times New Roman" w:hAnsi="Times New Roman" w:cs="Times New Roman"/>
          <w:color w:val="000000"/>
          <w:sz w:val="28"/>
          <w:szCs w:val="28"/>
        </w:rPr>
        <w:t xml:space="preserve"> </w:t>
      </w:r>
      <w:r w:rsidRPr="00D21DD8">
        <w:rPr>
          <w:rFonts w:ascii="Times New Roman" w:eastAsia="Times New Roman" w:hAnsi="Times New Roman" w:cs="Times New Roman"/>
          <w:color w:val="000000"/>
          <w:sz w:val="28"/>
          <w:szCs w:val="28"/>
        </w:rPr>
        <w:lastRenderedPageBreak/>
        <w:t>IVANICICHINA - Viceguvernator al BNM</w:t>
      </w:r>
      <w:r w:rsidR="004B6EA9" w:rsidRPr="00D21DD8">
        <w:rPr>
          <w:rFonts w:ascii="Times New Roman" w:eastAsia="Times New Roman" w:hAnsi="Times New Roman" w:cs="Times New Roman"/>
          <w:color w:val="000000"/>
          <w:sz w:val="28"/>
          <w:szCs w:val="28"/>
        </w:rPr>
        <w:t xml:space="preserve">, dl. </w:t>
      </w:r>
      <w:proofErr w:type="spellStart"/>
      <w:r w:rsidRPr="00D21DD8">
        <w:rPr>
          <w:rFonts w:ascii="Times New Roman" w:eastAsia="Times New Roman" w:hAnsi="Times New Roman" w:cs="Times New Roman"/>
          <w:color w:val="000000"/>
          <w:sz w:val="28"/>
          <w:szCs w:val="28"/>
        </w:rPr>
        <w:t>Arcadie</w:t>
      </w:r>
      <w:proofErr w:type="spellEnd"/>
      <w:r w:rsidRPr="00D21DD8">
        <w:rPr>
          <w:rFonts w:ascii="Times New Roman" w:eastAsia="Times New Roman" w:hAnsi="Times New Roman" w:cs="Times New Roman"/>
          <w:color w:val="000000"/>
          <w:sz w:val="28"/>
          <w:szCs w:val="28"/>
        </w:rPr>
        <w:t xml:space="preserve"> ALBUL – Viceguvernator al BNM</w:t>
      </w:r>
      <w:r w:rsidR="004B6EA9" w:rsidRPr="00D21DD8">
        <w:rPr>
          <w:rFonts w:ascii="Times New Roman" w:eastAsia="Times New Roman" w:hAnsi="Times New Roman" w:cs="Times New Roman"/>
          <w:color w:val="000000"/>
          <w:sz w:val="28"/>
          <w:szCs w:val="28"/>
        </w:rPr>
        <w:t>,</w:t>
      </w:r>
      <w:r w:rsidR="004B6EA9" w:rsidRPr="00D21DD8">
        <w:rPr>
          <w:rFonts w:ascii="Times New Roman" w:eastAsia="Times New Roman" w:hAnsi="Times New Roman" w:cs="Times New Roman"/>
          <w:i/>
          <w:color w:val="000000"/>
          <w:sz w:val="28"/>
          <w:szCs w:val="28"/>
        </w:rPr>
        <w:t xml:space="preserve"> </w:t>
      </w:r>
      <w:r w:rsidR="004B6EA9" w:rsidRPr="00D21DD8">
        <w:rPr>
          <w:rFonts w:ascii="Times New Roman" w:eastAsia="Times New Roman" w:hAnsi="Times New Roman" w:cs="Times New Roman"/>
          <w:color w:val="000000"/>
          <w:sz w:val="28"/>
          <w:szCs w:val="28"/>
        </w:rPr>
        <w:t>dl.</w:t>
      </w:r>
      <w:r w:rsidR="004B6EA9" w:rsidRPr="00D21DD8">
        <w:rPr>
          <w:rFonts w:ascii="Times New Roman" w:eastAsia="Times New Roman" w:hAnsi="Times New Roman" w:cs="Times New Roman"/>
          <w:i/>
          <w:color w:val="000000"/>
          <w:sz w:val="28"/>
          <w:szCs w:val="28"/>
        </w:rPr>
        <w:t xml:space="preserve"> </w:t>
      </w:r>
      <w:r w:rsidRPr="00D21DD8">
        <w:rPr>
          <w:rFonts w:ascii="Times New Roman" w:eastAsia="Times New Roman" w:hAnsi="Times New Roman" w:cs="Times New Roman"/>
          <w:color w:val="000000"/>
          <w:sz w:val="28"/>
          <w:szCs w:val="28"/>
        </w:rPr>
        <w:t>Natan GARȘTEA - Consilier al Guvernatorului BNM</w:t>
      </w:r>
      <w:r w:rsidR="004B6EA9" w:rsidRPr="00D21DD8">
        <w:rPr>
          <w:rFonts w:ascii="Times New Roman" w:eastAsia="Times New Roman" w:hAnsi="Times New Roman" w:cs="Times New Roman"/>
          <w:color w:val="000000"/>
          <w:sz w:val="28"/>
          <w:szCs w:val="28"/>
        </w:rPr>
        <w:t>,</w:t>
      </w:r>
      <w:r w:rsidR="004B6EA9" w:rsidRPr="00D21DD8">
        <w:rPr>
          <w:rFonts w:ascii="Times New Roman" w:eastAsia="Times New Roman" w:hAnsi="Times New Roman" w:cs="Times New Roman"/>
          <w:i/>
          <w:color w:val="000000"/>
          <w:sz w:val="28"/>
          <w:szCs w:val="28"/>
        </w:rPr>
        <w:t xml:space="preserve"> </w:t>
      </w:r>
      <w:r w:rsidR="004B6EA9" w:rsidRPr="00D21DD8">
        <w:rPr>
          <w:rFonts w:ascii="Times New Roman" w:eastAsia="Times New Roman" w:hAnsi="Times New Roman" w:cs="Times New Roman"/>
          <w:color w:val="000000"/>
          <w:sz w:val="28"/>
          <w:szCs w:val="28"/>
        </w:rPr>
        <w:t>dna</w:t>
      </w:r>
      <w:r w:rsidR="004B6EA9" w:rsidRPr="00D21DD8">
        <w:rPr>
          <w:rFonts w:ascii="Times New Roman" w:eastAsia="Times New Roman" w:hAnsi="Times New Roman" w:cs="Times New Roman"/>
          <w:i/>
          <w:color w:val="000000"/>
          <w:sz w:val="28"/>
          <w:szCs w:val="28"/>
        </w:rPr>
        <w:t xml:space="preserve"> </w:t>
      </w:r>
      <w:r w:rsidRPr="00D21DD8">
        <w:rPr>
          <w:rFonts w:ascii="Times New Roman" w:eastAsia="Times New Roman" w:hAnsi="Times New Roman" w:cs="Times New Roman"/>
          <w:color w:val="000000"/>
          <w:sz w:val="28"/>
          <w:szCs w:val="28"/>
        </w:rPr>
        <w:t>Natalia SÎRBU -  Consilier al Guvernatorului BNM</w:t>
      </w:r>
      <w:r w:rsidR="004B6EA9" w:rsidRPr="00D21DD8">
        <w:rPr>
          <w:rFonts w:ascii="Times New Roman" w:eastAsia="Times New Roman" w:hAnsi="Times New Roman" w:cs="Times New Roman"/>
          <w:color w:val="000000"/>
          <w:sz w:val="28"/>
          <w:szCs w:val="28"/>
        </w:rPr>
        <w:t>,</w:t>
      </w:r>
      <w:r w:rsidR="004B6EA9" w:rsidRPr="00D21DD8">
        <w:rPr>
          <w:rFonts w:ascii="Times New Roman" w:eastAsia="Times New Roman" w:hAnsi="Times New Roman" w:cs="Times New Roman"/>
          <w:i/>
          <w:color w:val="000000"/>
          <w:sz w:val="28"/>
          <w:szCs w:val="28"/>
        </w:rPr>
        <w:t xml:space="preserve"> </w:t>
      </w:r>
      <w:r w:rsidR="004B6EA9" w:rsidRPr="00D21DD8">
        <w:rPr>
          <w:rFonts w:ascii="Times New Roman" w:eastAsia="Times New Roman" w:hAnsi="Times New Roman" w:cs="Times New Roman"/>
          <w:color w:val="000000"/>
          <w:sz w:val="28"/>
          <w:szCs w:val="28"/>
        </w:rPr>
        <w:t>dl.</w:t>
      </w:r>
      <w:r w:rsidR="004B6EA9" w:rsidRPr="00D21DD8">
        <w:rPr>
          <w:rFonts w:ascii="Times New Roman" w:eastAsia="Times New Roman" w:hAnsi="Times New Roman" w:cs="Times New Roman"/>
          <w:i/>
          <w:color w:val="000000"/>
          <w:sz w:val="28"/>
          <w:szCs w:val="28"/>
        </w:rPr>
        <w:t xml:space="preserve"> </w:t>
      </w:r>
      <w:r w:rsidRPr="00D21DD8">
        <w:rPr>
          <w:rFonts w:ascii="Times New Roman" w:eastAsia="Times New Roman" w:hAnsi="Times New Roman" w:cs="Times New Roman"/>
          <w:color w:val="000000"/>
          <w:sz w:val="28"/>
          <w:szCs w:val="28"/>
        </w:rPr>
        <w:t>Radu CUHAL – șef Departament politică monetară</w:t>
      </w:r>
      <w:bookmarkStart w:id="0" w:name="bookmark=id.2et92p0" w:colFirst="0" w:colLast="0"/>
      <w:bookmarkStart w:id="1" w:name="bookmark=id.3znysh7" w:colFirst="0" w:colLast="0"/>
      <w:bookmarkEnd w:id="0"/>
      <w:bookmarkEnd w:id="1"/>
      <w:r w:rsidRPr="00D21DD8">
        <w:rPr>
          <w:rFonts w:ascii="Times New Roman" w:eastAsia="Times New Roman" w:hAnsi="Times New Roman" w:cs="Times New Roman"/>
          <w:color w:val="000000"/>
          <w:sz w:val="28"/>
          <w:szCs w:val="28"/>
        </w:rPr>
        <w:t>.</w:t>
      </w:r>
    </w:p>
    <w:p w14:paraId="589CD070" w14:textId="23A1EF4B" w:rsidR="004B6EA9" w:rsidRPr="00D21DD8" w:rsidRDefault="004B6EA9" w:rsidP="004B6EA9">
      <w:pPr>
        <w:widowControl w:val="0"/>
        <w:pBdr>
          <w:top w:val="nil"/>
          <w:left w:val="nil"/>
          <w:bottom w:val="nil"/>
          <w:right w:val="nil"/>
          <w:between w:val="nil"/>
        </w:pBdr>
        <w:shd w:val="clear" w:color="auto" w:fill="FFFFFF"/>
        <w:spacing w:after="0" w:line="240" w:lineRule="auto"/>
        <w:ind w:firstLine="740"/>
        <w:jc w:val="both"/>
        <w:rPr>
          <w:rFonts w:ascii="Times New Roman" w:eastAsia="Times New Roman" w:hAnsi="Times New Roman" w:cs="Times New Roman"/>
          <w:color w:val="000000"/>
          <w:sz w:val="28"/>
          <w:szCs w:val="28"/>
        </w:rPr>
      </w:pPr>
    </w:p>
    <w:p w14:paraId="6922AC4F" w14:textId="77777777" w:rsidR="00485D43" w:rsidRPr="00D21DD8" w:rsidRDefault="00485D43" w:rsidP="003144D4">
      <w:pPr>
        <w:keepNext/>
        <w:keepLines/>
        <w:widowControl w:val="0"/>
        <w:pBdr>
          <w:top w:val="nil"/>
          <w:left w:val="nil"/>
          <w:bottom w:val="nil"/>
          <w:right w:val="nil"/>
          <w:between w:val="nil"/>
        </w:pBdr>
        <w:spacing w:after="320" w:line="240" w:lineRule="auto"/>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II. Cadrul legal pertinent procesului decizional privind controlul inflației și politica monetară</w:t>
      </w:r>
    </w:p>
    <w:p w14:paraId="7239439D" w14:textId="77777777" w:rsidR="00485D43" w:rsidRPr="00D21DD8" w:rsidRDefault="00485D43" w:rsidP="00485D43">
      <w:pPr>
        <w:widowControl w:val="0"/>
        <w:spacing w:after="0" w:line="240" w:lineRule="auto"/>
        <w:ind w:firstLine="740"/>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Procesul decizional privind controlul inflației și politica monetară reprezintă un ansamblu al deciziilor adoptate de către autoritățile statului responsabile de țintirea inflației pentru a influența costul și disponibilitatea mijloacelor bănești în economie. Prin instrumentele utilizate urmare a procesului decizional are loc influența dinamicii cererii agregate și a prețurilor din economie.</w:t>
      </w:r>
    </w:p>
    <w:p w14:paraId="19E3D3FA" w14:textId="77777777" w:rsidR="00485D43" w:rsidRPr="00D21DD8" w:rsidRDefault="00485D43" w:rsidP="00485D43">
      <w:pPr>
        <w:widowControl w:val="0"/>
        <w:spacing w:after="0" w:line="240" w:lineRule="auto"/>
        <w:ind w:firstLine="740"/>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Dezvoltarea unei politici monetare pentru țară reprezintă cea mai importantă responsabilitate a băncii centrale. Deciziile monetare influențează în mod semnificativ ritmul economiei, prin strategiile utilizate de către aceasta, și anume: țintirea agregatelor monetare, a cursului valutar și a inflației.</w:t>
      </w:r>
    </w:p>
    <w:p w14:paraId="5447CDB3" w14:textId="77777777" w:rsidR="00485D43" w:rsidRPr="00D21DD8" w:rsidRDefault="00485D43" w:rsidP="00485D43">
      <w:pPr>
        <w:widowControl w:val="0"/>
        <w:spacing w:after="0" w:line="240" w:lineRule="auto"/>
        <w:ind w:firstLine="740"/>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Cadrul legal pertinent procesului decizional privind controlul inflației și politica monetară, este reglementat de Legea nr.548/1995 cu privire la Banca Națională a Moldovei, Legea nr.209/2018</w:t>
      </w:r>
      <w:r w:rsidRPr="00D21DD8">
        <w:t xml:space="preserve"> </w:t>
      </w:r>
      <w:r w:rsidRPr="00D21DD8">
        <w:rPr>
          <w:rFonts w:ascii="Times New Roman" w:eastAsia="Times New Roman" w:hAnsi="Times New Roman" w:cs="Times New Roman"/>
          <w:sz w:val="28"/>
          <w:szCs w:val="28"/>
        </w:rPr>
        <w:t>cu privire la Comitetul Național de Stabilitate Financiară și Legea nr.136/2017 cu privire la Guvern.</w:t>
      </w:r>
    </w:p>
    <w:p w14:paraId="61AB287D" w14:textId="71BD255F" w:rsidR="00485D43" w:rsidRPr="00D21DD8" w:rsidRDefault="00485D43" w:rsidP="00485D43">
      <w:pPr>
        <w:widowControl w:val="0"/>
        <w:spacing w:after="0" w:line="240" w:lineRule="auto"/>
        <w:ind w:firstLine="740"/>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xml:space="preserve">În conformitate cu art.4 alin.(1) și (2) din Legea nr.548/1995 cu privire la Banca Națională a Moldovei, </w:t>
      </w:r>
      <w:r w:rsidRPr="00D21DD8">
        <w:rPr>
          <w:rFonts w:ascii="Times New Roman" w:eastAsia="Times New Roman" w:hAnsi="Times New Roman" w:cs="Times New Roman"/>
          <w:i/>
          <w:sz w:val="28"/>
          <w:szCs w:val="28"/>
        </w:rPr>
        <w:t>asigurarea</w:t>
      </w:r>
      <w:r w:rsidR="001B45EE" w:rsidRPr="00D21DD8">
        <w:rPr>
          <w:rFonts w:ascii="Times New Roman" w:eastAsia="Times New Roman" w:hAnsi="Times New Roman" w:cs="Times New Roman"/>
          <w:i/>
          <w:sz w:val="28"/>
          <w:szCs w:val="28"/>
        </w:rPr>
        <w:t xml:space="preserve"> </w:t>
      </w:r>
      <w:proofErr w:type="spellStart"/>
      <w:r w:rsidR="001B45EE" w:rsidRPr="00D21DD8">
        <w:rPr>
          <w:rFonts w:ascii="Times New Roman" w:eastAsia="Times New Roman" w:hAnsi="Times New Roman" w:cs="Times New Roman"/>
          <w:i/>
          <w:sz w:val="28"/>
          <w:szCs w:val="28"/>
        </w:rPr>
        <w:t>şi</w:t>
      </w:r>
      <w:proofErr w:type="spellEnd"/>
      <w:r w:rsidR="001B45EE" w:rsidRPr="00D21DD8">
        <w:rPr>
          <w:rFonts w:ascii="Times New Roman" w:eastAsia="Times New Roman" w:hAnsi="Times New Roman" w:cs="Times New Roman"/>
          <w:i/>
          <w:sz w:val="28"/>
          <w:szCs w:val="28"/>
        </w:rPr>
        <w:t xml:space="preserve"> menținerea</w:t>
      </w:r>
      <w:r w:rsidRPr="00D21DD8">
        <w:rPr>
          <w:rFonts w:ascii="Times New Roman" w:eastAsia="Times New Roman" w:hAnsi="Times New Roman" w:cs="Times New Roman"/>
          <w:i/>
          <w:sz w:val="28"/>
          <w:szCs w:val="28"/>
        </w:rPr>
        <w:t xml:space="preserve"> stabilității prețurilor constituie obiectivul fundamental și cel mai important obiectiv al Băncii Naționale a Moldovei,</w:t>
      </w:r>
      <w:r w:rsidRPr="00D21DD8">
        <w:rPr>
          <w:rFonts w:ascii="Times New Roman" w:eastAsia="Times New Roman" w:hAnsi="Times New Roman" w:cs="Times New Roman"/>
          <w:sz w:val="28"/>
          <w:szCs w:val="28"/>
        </w:rPr>
        <w:t xml:space="preserve"> deoarece aceasta contribuie la crearea unui cadru economic relativ stabil care permite dezvoltarea economică </w:t>
      </w:r>
      <w:proofErr w:type="spellStart"/>
      <w:r w:rsidRPr="00D21DD8">
        <w:rPr>
          <w:rFonts w:ascii="Times New Roman" w:eastAsia="Times New Roman" w:hAnsi="Times New Roman" w:cs="Times New Roman"/>
          <w:sz w:val="28"/>
          <w:szCs w:val="28"/>
        </w:rPr>
        <w:t>şi</w:t>
      </w:r>
      <w:proofErr w:type="spellEnd"/>
      <w:r w:rsidRPr="00D21DD8">
        <w:rPr>
          <w:rFonts w:ascii="Times New Roman" w:eastAsia="Times New Roman" w:hAnsi="Times New Roman" w:cs="Times New Roman"/>
          <w:sz w:val="28"/>
          <w:szCs w:val="28"/>
        </w:rPr>
        <w:t xml:space="preserve"> asigurarea unui nivel susținut al creșterii economice. Fără prejudicierea obiectivului său fundamental, Banca Națională urmărește asigurarea stabilității </w:t>
      </w:r>
      <w:proofErr w:type="spellStart"/>
      <w:r w:rsidRPr="00D21DD8">
        <w:rPr>
          <w:rFonts w:ascii="Times New Roman" w:eastAsia="Times New Roman" w:hAnsi="Times New Roman" w:cs="Times New Roman"/>
          <w:sz w:val="28"/>
          <w:szCs w:val="28"/>
        </w:rPr>
        <w:t>şi</w:t>
      </w:r>
      <w:proofErr w:type="spellEnd"/>
      <w:r w:rsidRPr="00D21DD8">
        <w:rPr>
          <w:rFonts w:ascii="Times New Roman" w:eastAsia="Times New Roman" w:hAnsi="Times New Roman" w:cs="Times New Roman"/>
          <w:sz w:val="28"/>
          <w:szCs w:val="28"/>
        </w:rPr>
        <w:t xml:space="preserve"> viabilității sistemului bancar </w:t>
      </w:r>
      <w:proofErr w:type="spellStart"/>
      <w:r w:rsidRPr="00D21DD8">
        <w:rPr>
          <w:rFonts w:ascii="Times New Roman" w:eastAsia="Times New Roman" w:hAnsi="Times New Roman" w:cs="Times New Roman"/>
          <w:sz w:val="28"/>
          <w:szCs w:val="28"/>
        </w:rPr>
        <w:t>şi</w:t>
      </w:r>
      <w:proofErr w:type="spellEnd"/>
      <w:r w:rsidRPr="00D21DD8">
        <w:rPr>
          <w:rFonts w:ascii="Times New Roman" w:eastAsia="Times New Roman" w:hAnsi="Times New Roman" w:cs="Times New Roman"/>
          <w:sz w:val="28"/>
          <w:szCs w:val="28"/>
        </w:rPr>
        <w:t xml:space="preserve"> sprijină politica economică generală a statului.</w:t>
      </w:r>
    </w:p>
    <w:p w14:paraId="7E3D22CA" w14:textId="09BA9ED8" w:rsidR="00485D43" w:rsidRPr="00D21DD8" w:rsidRDefault="00485D43" w:rsidP="00485D43">
      <w:pPr>
        <w:widowControl w:val="0"/>
        <w:spacing w:after="0" w:line="240" w:lineRule="auto"/>
        <w:ind w:firstLine="740"/>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În conformitate cu art.5 al Legii nr.548/1995, în partea ce ține de procesul decizional privind controlul inflației și politica monetară, Banca Națională a Moldovei are următoarele atribuții:</w:t>
      </w:r>
    </w:p>
    <w:p w14:paraId="0A6CA85B" w14:textId="77777777" w:rsidR="00485D43" w:rsidRPr="00D21DD8" w:rsidRDefault="00485D43" w:rsidP="00485D43">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roofErr w:type="spellStart"/>
      <w:r w:rsidRPr="00D21DD8">
        <w:rPr>
          <w:rFonts w:ascii="Times New Roman" w:eastAsia="Times New Roman" w:hAnsi="Times New Roman" w:cs="Times New Roman"/>
          <w:color w:val="000000"/>
          <w:sz w:val="28"/>
          <w:szCs w:val="28"/>
        </w:rPr>
        <w:t>stabileşte</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implementează politica monetară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valutară în stat;</w:t>
      </w:r>
    </w:p>
    <w:p w14:paraId="05836009" w14:textId="77777777" w:rsidR="00485D43" w:rsidRPr="00D21DD8" w:rsidRDefault="00485D43" w:rsidP="00485D43">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roofErr w:type="spellStart"/>
      <w:r w:rsidRPr="00D21DD8">
        <w:rPr>
          <w:rFonts w:ascii="Times New Roman" w:eastAsia="Times New Roman" w:hAnsi="Times New Roman" w:cs="Times New Roman"/>
          <w:color w:val="000000"/>
          <w:sz w:val="28"/>
          <w:szCs w:val="28"/>
        </w:rPr>
        <w:t>acţionează</w:t>
      </w:r>
      <w:proofErr w:type="spellEnd"/>
      <w:r w:rsidRPr="00D21DD8">
        <w:rPr>
          <w:rFonts w:ascii="Times New Roman" w:eastAsia="Times New Roman" w:hAnsi="Times New Roman" w:cs="Times New Roman"/>
          <w:color w:val="000000"/>
          <w:sz w:val="28"/>
          <w:szCs w:val="28"/>
        </w:rPr>
        <w:t xml:space="preserve"> ca bancher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agent al statului;</w:t>
      </w:r>
    </w:p>
    <w:p w14:paraId="1C07FCDB" w14:textId="77777777" w:rsidR="00485D43" w:rsidRPr="00D21DD8" w:rsidRDefault="00485D43" w:rsidP="00485D43">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roofErr w:type="spellStart"/>
      <w:r w:rsidRPr="00D21DD8">
        <w:rPr>
          <w:rFonts w:ascii="Times New Roman" w:eastAsia="Times New Roman" w:hAnsi="Times New Roman" w:cs="Times New Roman"/>
          <w:color w:val="000000"/>
          <w:sz w:val="28"/>
          <w:szCs w:val="28"/>
        </w:rPr>
        <w:t>întocmeşte</w:t>
      </w:r>
      <w:proofErr w:type="spellEnd"/>
      <w:r w:rsidRPr="00D21DD8">
        <w:rPr>
          <w:rFonts w:ascii="Times New Roman" w:eastAsia="Times New Roman" w:hAnsi="Times New Roman" w:cs="Times New Roman"/>
          <w:color w:val="000000"/>
          <w:sz w:val="28"/>
          <w:szCs w:val="28"/>
        </w:rPr>
        <w:t xml:space="preserve"> analize economice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monetare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în baza lor adresează Guvernului propuneri, aduce rezultatele analizelor la </w:t>
      </w:r>
      <w:proofErr w:type="spellStart"/>
      <w:r w:rsidRPr="00D21DD8">
        <w:rPr>
          <w:rFonts w:ascii="Times New Roman" w:eastAsia="Times New Roman" w:hAnsi="Times New Roman" w:cs="Times New Roman"/>
          <w:color w:val="000000"/>
          <w:sz w:val="28"/>
          <w:szCs w:val="28"/>
        </w:rPr>
        <w:t>cunoştinţa</w:t>
      </w:r>
      <w:proofErr w:type="spellEnd"/>
      <w:r w:rsidRPr="00D21DD8">
        <w:rPr>
          <w:rFonts w:ascii="Times New Roman" w:eastAsia="Times New Roman" w:hAnsi="Times New Roman" w:cs="Times New Roman"/>
          <w:color w:val="000000"/>
          <w:sz w:val="28"/>
          <w:szCs w:val="28"/>
        </w:rPr>
        <w:t xml:space="preserve"> publicului;</w:t>
      </w:r>
    </w:p>
    <w:p w14:paraId="797C3140" w14:textId="77777777" w:rsidR="00485D43" w:rsidRPr="00D21DD8" w:rsidRDefault="00485D43" w:rsidP="00485D43">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activează ca organ unic de emisiune a monedei </w:t>
      </w:r>
      <w:proofErr w:type="spellStart"/>
      <w:r w:rsidRPr="00D21DD8">
        <w:rPr>
          <w:rFonts w:ascii="Times New Roman" w:eastAsia="Times New Roman" w:hAnsi="Times New Roman" w:cs="Times New Roman"/>
          <w:color w:val="000000"/>
          <w:sz w:val="28"/>
          <w:szCs w:val="28"/>
        </w:rPr>
        <w:t>naţionale</w:t>
      </w:r>
      <w:proofErr w:type="spellEnd"/>
      <w:r w:rsidRPr="00D21DD8">
        <w:rPr>
          <w:rFonts w:ascii="Times New Roman" w:eastAsia="Times New Roman" w:hAnsi="Times New Roman" w:cs="Times New Roman"/>
          <w:color w:val="000000"/>
          <w:sz w:val="28"/>
          <w:szCs w:val="28"/>
        </w:rPr>
        <w:t>;</w:t>
      </w:r>
    </w:p>
    <w:p w14:paraId="2C7A6055" w14:textId="77777777" w:rsidR="00485D43" w:rsidRPr="00D21DD8" w:rsidRDefault="00485D43" w:rsidP="00485D43">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roofErr w:type="spellStart"/>
      <w:r w:rsidRPr="00D21DD8">
        <w:rPr>
          <w:rFonts w:ascii="Times New Roman" w:eastAsia="Times New Roman" w:hAnsi="Times New Roman" w:cs="Times New Roman"/>
          <w:color w:val="000000"/>
          <w:sz w:val="28"/>
          <w:szCs w:val="28"/>
        </w:rPr>
        <w:t>stabileşte</w:t>
      </w:r>
      <w:proofErr w:type="spellEnd"/>
      <w:r w:rsidRPr="00D21DD8">
        <w:rPr>
          <w:rFonts w:ascii="Times New Roman" w:eastAsia="Times New Roman" w:hAnsi="Times New Roman" w:cs="Times New Roman"/>
          <w:color w:val="000000"/>
          <w:sz w:val="28"/>
          <w:szCs w:val="28"/>
        </w:rPr>
        <w:t xml:space="preserve"> regimul cursului de schimb al monedei </w:t>
      </w:r>
      <w:proofErr w:type="spellStart"/>
      <w:r w:rsidRPr="00D21DD8">
        <w:rPr>
          <w:rFonts w:ascii="Times New Roman" w:eastAsia="Times New Roman" w:hAnsi="Times New Roman" w:cs="Times New Roman"/>
          <w:color w:val="000000"/>
          <w:sz w:val="28"/>
          <w:szCs w:val="28"/>
        </w:rPr>
        <w:t>naţionale</w:t>
      </w:r>
      <w:proofErr w:type="spellEnd"/>
      <w:r w:rsidRPr="00D21DD8">
        <w:rPr>
          <w:rFonts w:ascii="Times New Roman" w:eastAsia="Times New Roman" w:hAnsi="Times New Roman" w:cs="Times New Roman"/>
          <w:color w:val="000000"/>
          <w:sz w:val="28"/>
          <w:szCs w:val="28"/>
        </w:rPr>
        <w:t>;</w:t>
      </w:r>
    </w:p>
    <w:p w14:paraId="6DCE6EEC" w14:textId="77777777" w:rsidR="00485D43" w:rsidRPr="00D21DD8" w:rsidRDefault="00485D43" w:rsidP="00485D43">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păstrează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gestionează rezervele valutare ale statului;</w:t>
      </w:r>
    </w:p>
    <w:p w14:paraId="23824FF8" w14:textId="77777777" w:rsidR="00485D43" w:rsidRPr="00D21DD8" w:rsidRDefault="00485D43" w:rsidP="00485D43">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efectuează reglementarea valutară pe teritoriul Republicii Moldova.</w:t>
      </w:r>
    </w:p>
    <w:p w14:paraId="594296DD" w14:textId="0D2112C9" w:rsidR="00485D43" w:rsidRPr="00D21DD8" w:rsidRDefault="00485D43" w:rsidP="00690126">
      <w:pPr>
        <w:widowControl w:val="0"/>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Totodată, Banca </w:t>
      </w:r>
      <w:proofErr w:type="spellStart"/>
      <w:r w:rsidRPr="00D21DD8">
        <w:rPr>
          <w:rFonts w:ascii="Times New Roman" w:eastAsia="Times New Roman" w:hAnsi="Times New Roman" w:cs="Times New Roman"/>
          <w:color w:val="000000"/>
          <w:sz w:val="28"/>
          <w:szCs w:val="28"/>
        </w:rPr>
        <w:t>Naţională</w:t>
      </w:r>
      <w:proofErr w:type="spellEnd"/>
      <w:r w:rsidRPr="00D21DD8">
        <w:rPr>
          <w:rFonts w:ascii="Times New Roman" w:eastAsia="Times New Roman" w:hAnsi="Times New Roman" w:cs="Times New Roman"/>
          <w:color w:val="000000"/>
          <w:sz w:val="28"/>
          <w:szCs w:val="28"/>
        </w:rPr>
        <w:t xml:space="preserve"> conlucrează cu Guvernul în realizarea obiectivelor sale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conform legii </w:t>
      </w:r>
      <w:r w:rsidRPr="00D21DD8">
        <w:rPr>
          <w:rFonts w:ascii="Times New Roman" w:eastAsia="Times New Roman" w:hAnsi="Times New Roman" w:cs="Times New Roman"/>
          <w:sz w:val="28"/>
          <w:szCs w:val="28"/>
        </w:rPr>
        <w:t>sus-menționate</w:t>
      </w:r>
      <w:r w:rsidRPr="00D21DD8">
        <w:rPr>
          <w:rFonts w:ascii="Times New Roman" w:eastAsia="Times New Roman" w:hAnsi="Times New Roman" w:cs="Times New Roman"/>
          <w:color w:val="000000"/>
          <w:sz w:val="28"/>
          <w:szCs w:val="28"/>
        </w:rPr>
        <w:t xml:space="preserve">, întreprinde </w:t>
      </w:r>
      <w:proofErr w:type="spellStart"/>
      <w:r w:rsidRPr="00D21DD8">
        <w:rPr>
          <w:rFonts w:ascii="Times New Roman" w:eastAsia="Times New Roman" w:hAnsi="Times New Roman" w:cs="Times New Roman"/>
          <w:color w:val="000000"/>
          <w:sz w:val="28"/>
          <w:szCs w:val="28"/>
        </w:rPr>
        <w:t>acţiunile</w:t>
      </w:r>
      <w:proofErr w:type="spellEnd"/>
      <w:r w:rsidRPr="00D21DD8">
        <w:rPr>
          <w:rFonts w:ascii="Times New Roman" w:eastAsia="Times New Roman" w:hAnsi="Times New Roman" w:cs="Times New Roman"/>
          <w:color w:val="000000"/>
          <w:sz w:val="28"/>
          <w:szCs w:val="28"/>
        </w:rPr>
        <w:t xml:space="preserve"> necesare pentru a realiza o astfel de conlucrare. Banca </w:t>
      </w:r>
      <w:proofErr w:type="spellStart"/>
      <w:r w:rsidRPr="00D21DD8">
        <w:rPr>
          <w:rFonts w:ascii="Times New Roman" w:eastAsia="Times New Roman" w:hAnsi="Times New Roman" w:cs="Times New Roman"/>
          <w:color w:val="000000"/>
          <w:sz w:val="28"/>
          <w:szCs w:val="28"/>
        </w:rPr>
        <w:t>Naţională</w:t>
      </w:r>
      <w:proofErr w:type="spellEnd"/>
      <w:r w:rsidRPr="00D21DD8">
        <w:rPr>
          <w:rFonts w:ascii="Times New Roman" w:eastAsia="Times New Roman" w:hAnsi="Times New Roman" w:cs="Times New Roman"/>
          <w:color w:val="000000"/>
          <w:sz w:val="28"/>
          <w:szCs w:val="28"/>
        </w:rPr>
        <w:t xml:space="preserve"> furnizează organelor economice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financiare ale Guvernului, la cererea acestora, </w:t>
      </w:r>
      <w:proofErr w:type="spellStart"/>
      <w:r w:rsidRPr="00D21DD8">
        <w:rPr>
          <w:rFonts w:ascii="Times New Roman" w:eastAsia="Times New Roman" w:hAnsi="Times New Roman" w:cs="Times New Roman"/>
          <w:color w:val="000000"/>
          <w:sz w:val="28"/>
          <w:szCs w:val="28"/>
        </w:rPr>
        <w:t>informaţii</w:t>
      </w:r>
      <w:proofErr w:type="spellEnd"/>
      <w:r w:rsidRPr="00D21DD8">
        <w:rPr>
          <w:rFonts w:ascii="Times New Roman" w:eastAsia="Times New Roman" w:hAnsi="Times New Roman" w:cs="Times New Roman"/>
          <w:color w:val="000000"/>
          <w:sz w:val="28"/>
          <w:szCs w:val="28"/>
        </w:rPr>
        <w:t xml:space="preserve"> referitoare la problemele monetare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financiare. Organele </w:t>
      </w:r>
      <w:proofErr w:type="spellStart"/>
      <w:r w:rsidRPr="00D21DD8">
        <w:rPr>
          <w:rFonts w:ascii="Times New Roman" w:eastAsia="Times New Roman" w:hAnsi="Times New Roman" w:cs="Times New Roman"/>
          <w:color w:val="000000"/>
          <w:sz w:val="28"/>
          <w:szCs w:val="28"/>
        </w:rPr>
        <w:t>menţionate</w:t>
      </w:r>
      <w:proofErr w:type="spellEnd"/>
      <w:r w:rsidRPr="00D21DD8">
        <w:rPr>
          <w:rFonts w:ascii="Times New Roman" w:eastAsia="Times New Roman" w:hAnsi="Times New Roman" w:cs="Times New Roman"/>
          <w:color w:val="000000"/>
          <w:sz w:val="28"/>
          <w:szCs w:val="28"/>
        </w:rPr>
        <w:t xml:space="preserve">, la </w:t>
      </w:r>
      <w:r w:rsidR="00CE5A80" w:rsidRPr="00D21DD8">
        <w:rPr>
          <w:rFonts w:ascii="Times New Roman" w:eastAsia="Times New Roman" w:hAnsi="Times New Roman" w:cs="Times New Roman"/>
          <w:color w:val="000000"/>
          <w:sz w:val="28"/>
          <w:szCs w:val="28"/>
        </w:rPr>
        <w:t>rândul</w:t>
      </w:r>
      <w:r w:rsidRPr="00D21DD8">
        <w:rPr>
          <w:rFonts w:ascii="Times New Roman" w:eastAsia="Times New Roman" w:hAnsi="Times New Roman" w:cs="Times New Roman"/>
          <w:color w:val="000000"/>
          <w:sz w:val="28"/>
          <w:szCs w:val="28"/>
        </w:rPr>
        <w:t xml:space="preserve"> lor, </w:t>
      </w:r>
      <w:r w:rsidRPr="00D21DD8">
        <w:rPr>
          <w:rFonts w:ascii="Times New Roman" w:eastAsia="Times New Roman" w:hAnsi="Times New Roman" w:cs="Times New Roman"/>
          <w:color w:val="000000"/>
          <w:sz w:val="28"/>
          <w:szCs w:val="28"/>
        </w:rPr>
        <w:lastRenderedPageBreak/>
        <w:t xml:space="preserve">furnizează Băncii </w:t>
      </w:r>
      <w:proofErr w:type="spellStart"/>
      <w:r w:rsidRPr="00D21DD8">
        <w:rPr>
          <w:rFonts w:ascii="Times New Roman" w:eastAsia="Times New Roman" w:hAnsi="Times New Roman" w:cs="Times New Roman"/>
          <w:color w:val="000000"/>
          <w:sz w:val="28"/>
          <w:szCs w:val="28"/>
        </w:rPr>
        <w:t>Naţionale</w:t>
      </w:r>
      <w:proofErr w:type="spellEnd"/>
      <w:r w:rsidRPr="00D21DD8">
        <w:rPr>
          <w:rFonts w:ascii="Times New Roman" w:eastAsia="Times New Roman" w:hAnsi="Times New Roman" w:cs="Times New Roman"/>
          <w:color w:val="000000"/>
          <w:sz w:val="28"/>
          <w:szCs w:val="28"/>
        </w:rPr>
        <w:t xml:space="preserve">, la cererea ei, </w:t>
      </w:r>
      <w:proofErr w:type="spellStart"/>
      <w:r w:rsidRPr="00D21DD8">
        <w:rPr>
          <w:rFonts w:ascii="Times New Roman" w:eastAsia="Times New Roman" w:hAnsi="Times New Roman" w:cs="Times New Roman"/>
          <w:color w:val="000000"/>
          <w:sz w:val="28"/>
          <w:szCs w:val="28"/>
        </w:rPr>
        <w:t>informaţii</w:t>
      </w:r>
      <w:proofErr w:type="spellEnd"/>
      <w:r w:rsidRPr="00D21DD8">
        <w:rPr>
          <w:rFonts w:ascii="Times New Roman" w:eastAsia="Times New Roman" w:hAnsi="Times New Roman" w:cs="Times New Roman"/>
          <w:color w:val="000000"/>
          <w:sz w:val="28"/>
          <w:szCs w:val="28"/>
        </w:rPr>
        <w:t xml:space="preserve"> referitoare la problemele macroeconomice, monetare sau financiare.</w:t>
      </w:r>
    </w:p>
    <w:p w14:paraId="6AA277D8" w14:textId="0D576E72" w:rsidR="00485D43" w:rsidRPr="00D21DD8" w:rsidRDefault="00485D43" w:rsidP="00485D43">
      <w:pPr>
        <w:widowControl w:val="0"/>
        <w:pBdr>
          <w:top w:val="nil"/>
          <w:left w:val="nil"/>
          <w:bottom w:val="nil"/>
          <w:right w:val="nil"/>
          <w:between w:val="nil"/>
        </w:pBdr>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Pentru realizarea sarcinilor și scopurilor propuse, Banca Națională deține un spectru variat de instrumente pentru menținerea inflației la un nivel optim pentru economie.</w:t>
      </w:r>
    </w:p>
    <w:p w14:paraId="1665C8D2" w14:textId="332A72F7" w:rsidR="00485D43" w:rsidRPr="00D21DD8" w:rsidRDefault="00485D43" w:rsidP="004B6EA9">
      <w:pPr>
        <w:widowControl w:val="0"/>
        <w:pBdr>
          <w:top w:val="nil"/>
          <w:left w:val="nil"/>
          <w:bottom w:val="nil"/>
          <w:right w:val="nil"/>
          <w:between w:val="nil"/>
        </w:pBdr>
        <w:shd w:val="clear" w:color="auto" w:fill="FFFFFF"/>
        <w:spacing w:after="0" w:line="240" w:lineRule="auto"/>
        <w:ind w:firstLine="740"/>
        <w:jc w:val="both"/>
        <w:rPr>
          <w:rFonts w:ascii="Times New Roman" w:eastAsia="Times New Roman" w:hAnsi="Times New Roman" w:cs="Times New Roman"/>
          <w:color w:val="000000"/>
          <w:sz w:val="28"/>
          <w:szCs w:val="28"/>
        </w:rPr>
      </w:pPr>
    </w:p>
    <w:p w14:paraId="326F3D0E" w14:textId="797BDB29" w:rsidR="00690126" w:rsidRPr="00D21DD8" w:rsidRDefault="00690126" w:rsidP="003144D4">
      <w:pPr>
        <w:widowControl w:val="0"/>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 xml:space="preserve">III. Analiza </w:t>
      </w:r>
      <w:r w:rsidR="00095966" w:rsidRPr="00D21DD8">
        <w:rPr>
          <w:rFonts w:ascii="Times New Roman" w:eastAsia="Times New Roman" w:hAnsi="Times New Roman" w:cs="Times New Roman"/>
          <w:b/>
          <w:color w:val="000000"/>
          <w:sz w:val="28"/>
          <w:szCs w:val="28"/>
        </w:rPr>
        <w:t>evoluției</w:t>
      </w:r>
      <w:r w:rsidRPr="00D21DD8">
        <w:rPr>
          <w:rFonts w:ascii="Times New Roman" w:eastAsia="Times New Roman" w:hAnsi="Times New Roman" w:cs="Times New Roman"/>
          <w:b/>
          <w:color w:val="000000"/>
          <w:sz w:val="28"/>
          <w:szCs w:val="28"/>
        </w:rPr>
        <w:t xml:space="preserve"> inflației și a procesului decizional privind controlul</w:t>
      </w:r>
      <w:r w:rsidR="003144D4" w:rsidRPr="00D21DD8">
        <w:rPr>
          <w:rFonts w:ascii="Times New Roman" w:eastAsia="Times New Roman" w:hAnsi="Times New Roman" w:cs="Times New Roman"/>
          <w:b/>
          <w:color w:val="000000"/>
          <w:sz w:val="28"/>
          <w:szCs w:val="28"/>
        </w:rPr>
        <w:t xml:space="preserve"> </w:t>
      </w:r>
      <w:r w:rsidRPr="00D21DD8">
        <w:rPr>
          <w:rFonts w:ascii="Times New Roman" w:eastAsia="Times New Roman" w:hAnsi="Times New Roman" w:cs="Times New Roman"/>
          <w:b/>
          <w:color w:val="000000"/>
          <w:sz w:val="28"/>
          <w:szCs w:val="28"/>
        </w:rPr>
        <w:t>inflației și politica monetară pe parcursul ultimelor 18 luni</w:t>
      </w:r>
    </w:p>
    <w:p w14:paraId="7085FFD3" w14:textId="77777777" w:rsidR="00690126" w:rsidRPr="00D21DD8" w:rsidRDefault="00690126" w:rsidP="00690126">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p>
    <w:p w14:paraId="5FB43544" w14:textId="77777777" w:rsidR="00690126" w:rsidRPr="00D21DD8" w:rsidRDefault="00690126" w:rsidP="003144D4">
      <w:pPr>
        <w:widowControl w:val="0"/>
        <w:pBdr>
          <w:top w:val="nil"/>
          <w:left w:val="nil"/>
          <w:bottom w:val="nil"/>
          <w:right w:val="nil"/>
          <w:between w:val="nil"/>
        </w:pBdr>
        <w:spacing w:after="0" w:line="240" w:lineRule="auto"/>
        <w:ind w:firstLine="708"/>
        <w:rPr>
          <w:rFonts w:ascii="Times New Roman" w:eastAsia="Times New Roman" w:hAnsi="Times New Roman" w:cs="Times New Roman"/>
          <w:i/>
          <w:color w:val="000000"/>
          <w:sz w:val="28"/>
          <w:szCs w:val="28"/>
          <w:u w:val="single"/>
        </w:rPr>
      </w:pPr>
      <w:bookmarkStart w:id="2" w:name="_heading=h.3dy6vkm" w:colFirst="0" w:colLast="0"/>
      <w:bookmarkEnd w:id="2"/>
      <w:r w:rsidRPr="00D21DD8">
        <w:rPr>
          <w:rFonts w:ascii="Times New Roman" w:eastAsia="Times New Roman" w:hAnsi="Times New Roman" w:cs="Times New Roman"/>
          <w:i/>
          <w:color w:val="000000"/>
          <w:sz w:val="28"/>
          <w:szCs w:val="28"/>
          <w:u w:val="single"/>
        </w:rPr>
        <w:t>3.1 Evoluția inflației pe parcursul ultimelor 18 luni</w:t>
      </w:r>
    </w:p>
    <w:p w14:paraId="1F6C5609" w14:textId="77777777" w:rsidR="00690126" w:rsidRPr="00D21DD8" w:rsidRDefault="00690126" w:rsidP="0069012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În trimestrul IV 2020, rata anuală a inflației a continuat traiectoria descendentă de la începutul anului, diminuându-se de la 2,3 la sută în luna septembrie până la 0,4 la sută în luna decembrie,  plasându-se sub limita inferioară a intervalul de 5,0 la sută ±1,5 puncte procentuale stipulat în Strategia politicii monetare pe termen mediu a BNM.</w:t>
      </w:r>
    </w:p>
    <w:p w14:paraId="1A2D5311" w14:textId="77777777" w:rsidR="00690126" w:rsidRPr="00D21DD8" w:rsidRDefault="00690126" w:rsidP="0069012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În trimestrul I 2021, rata anuală a inflației a reflectat începutul unei traiectorii ascendente, majorându-se de la 0,2 la sută în luna ianuarie 2021 până la 1,5 la sută în luna martie 2021. </w:t>
      </w:r>
    </w:p>
    <w:p w14:paraId="57D864B4" w14:textId="77777777" w:rsidR="00690126" w:rsidRPr="00D21DD8" w:rsidRDefault="00690126" w:rsidP="0069012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În trimestrul II 2021, rata anuală a inflației a continuat, traiectoria ascendentă începută în prima parte a anului 2021. Astfel, aceasta s-a majorat de la 1,5 la sută în luna martie 2021 până la 3,2 la sută în luna iunie 2021.</w:t>
      </w:r>
    </w:p>
    <w:p w14:paraId="239C29B4" w14:textId="77777777" w:rsidR="00690126" w:rsidRPr="00D21DD8" w:rsidRDefault="00690126" w:rsidP="0069012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În trimestrul III 2021, rata anuală a inflației a continuat, cu un ritm mai pronunțat decât s-a anticipat, aceasta s-a majorat de la 3,2 la sută în luna iunie 2021 până la 6,7 la sută în luna septembrie 2021.</w:t>
      </w:r>
    </w:p>
    <w:p w14:paraId="38F8AFD7" w14:textId="77777777" w:rsidR="00690126" w:rsidRPr="00D21DD8" w:rsidRDefault="00690126" w:rsidP="0069012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shd w:val="clear" w:color="auto" w:fill="FAFAFA"/>
        </w:rPr>
      </w:pPr>
      <w:r w:rsidRPr="00D21DD8">
        <w:rPr>
          <w:rFonts w:ascii="Times New Roman" w:eastAsia="Times New Roman" w:hAnsi="Times New Roman" w:cs="Times New Roman"/>
          <w:color w:val="000000"/>
          <w:sz w:val="28"/>
          <w:szCs w:val="28"/>
          <w:shd w:val="clear" w:color="auto" w:fill="FAFAFA"/>
        </w:rPr>
        <w:t xml:space="preserve">În trimestrul IV 2021 rata anuală a inflației a continuat, cu un ritm mai pronunțat decât s-a anticipat, aceasta s-a majorat de la 6,7 la sută în luna septembrie 2021 până la 13,9 la sută în luna decembrie 2021. </w:t>
      </w:r>
    </w:p>
    <w:p w14:paraId="377E8F97" w14:textId="77777777" w:rsidR="00690126" w:rsidRPr="00D21DD8" w:rsidRDefault="00690126" w:rsidP="0069012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D21DD8">
        <w:rPr>
          <w:rFonts w:ascii="Times New Roman" w:eastAsia="Times New Roman" w:hAnsi="Times New Roman" w:cs="Times New Roman"/>
          <w:color w:val="000000"/>
          <w:sz w:val="28"/>
          <w:szCs w:val="28"/>
        </w:rPr>
        <w:t xml:space="preserve">În trimestrul I 2022, rata anuală a inflației a continuat, cu un ritm mai pronunțat decât s-a anticipat, aceasta s-a majorat de la 13,9 la sută în luna decembrie 2021 până la 22,2 la sută în luna martie 2022. </w:t>
      </w:r>
    </w:p>
    <w:p w14:paraId="7E894372" w14:textId="77777777" w:rsidR="00690126" w:rsidRPr="00D21DD8" w:rsidRDefault="00690126" w:rsidP="004B6EA9">
      <w:pPr>
        <w:widowControl w:val="0"/>
        <w:pBdr>
          <w:top w:val="nil"/>
          <w:left w:val="nil"/>
          <w:bottom w:val="nil"/>
          <w:right w:val="nil"/>
          <w:between w:val="nil"/>
        </w:pBdr>
        <w:shd w:val="clear" w:color="auto" w:fill="FFFFFF"/>
        <w:spacing w:after="0" w:line="240" w:lineRule="auto"/>
        <w:ind w:firstLine="740"/>
        <w:jc w:val="both"/>
        <w:rPr>
          <w:rFonts w:ascii="Times New Roman" w:eastAsia="Times New Roman" w:hAnsi="Times New Roman" w:cs="Times New Roman"/>
          <w:color w:val="000000"/>
          <w:sz w:val="28"/>
          <w:szCs w:val="28"/>
        </w:rPr>
      </w:pPr>
    </w:p>
    <w:p w14:paraId="752FE311" w14:textId="77777777" w:rsidR="00095966" w:rsidRPr="00D21DD8" w:rsidRDefault="00095966" w:rsidP="0009596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D21DD8">
        <w:rPr>
          <w:rFonts w:ascii="Cambria" w:eastAsia="Cambria" w:hAnsi="Cambria" w:cs="Cambria"/>
          <w:b/>
          <w:color w:val="324680"/>
          <w:sz w:val="22"/>
          <w:szCs w:val="22"/>
        </w:rPr>
        <w:t xml:space="preserve">Tabel nr.1 </w:t>
      </w:r>
      <w:r w:rsidRPr="00D21DD8">
        <w:rPr>
          <w:rFonts w:ascii="Cambria" w:eastAsia="Cambria" w:hAnsi="Cambria" w:cs="Cambria"/>
          <w:color w:val="000000"/>
          <w:sz w:val="22"/>
          <w:szCs w:val="22"/>
        </w:rPr>
        <w:t xml:space="preserve"> </w:t>
      </w:r>
      <w:r w:rsidRPr="00D21DD8">
        <w:rPr>
          <w:rFonts w:ascii="Cambria" w:eastAsia="Cambria" w:hAnsi="Cambria" w:cs="Cambria"/>
          <w:b/>
          <w:color w:val="000000"/>
        </w:rPr>
        <w:t>Evoluția inflației pe parcursul ultimelor 18 luni</w:t>
      </w:r>
    </w:p>
    <w:p w14:paraId="49270A45" w14:textId="77777777" w:rsidR="00095966" w:rsidRPr="00D21DD8" w:rsidRDefault="00095966" w:rsidP="00095966">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28"/>
        </w:rPr>
      </w:pPr>
      <w:r w:rsidRPr="00D21DD8">
        <w:rPr>
          <w:noProof/>
          <w:color w:val="000000"/>
        </w:rPr>
        <w:drawing>
          <wp:inline distT="0" distB="0" distL="0" distR="0" wp14:anchorId="79C1E615" wp14:editId="40CE81B4">
            <wp:extent cx="5924550" cy="2268220"/>
            <wp:effectExtent l="0" t="0" r="0" b="1778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roofErr w:type="spellStart"/>
      <w:r w:rsidRPr="00D21DD8">
        <w:rPr>
          <w:rFonts w:ascii="Times New Roman" w:eastAsia="Times New Roman" w:hAnsi="Times New Roman" w:cs="Times New Roman"/>
          <w:i/>
          <w:color w:val="000000"/>
          <w:sz w:val="22"/>
          <w:szCs w:val="20"/>
        </w:rPr>
        <w:t>Sursa:BNM</w:t>
      </w:r>
      <w:proofErr w:type="spellEnd"/>
    </w:p>
    <w:p w14:paraId="200E4C7E" w14:textId="655D8AD5" w:rsidR="001317BC" w:rsidRPr="00D21DD8" w:rsidRDefault="001317BC" w:rsidP="001D19A3">
      <w:pPr>
        <w:spacing w:after="0"/>
        <w:ind w:firstLine="567"/>
        <w:rPr>
          <w:rFonts w:ascii="Times New Roman" w:hAnsi="Times New Roman" w:cs="Times New Roman"/>
          <w:b/>
          <w:sz w:val="28"/>
        </w:rPr>
      </w:pPr>
    </w:p>
    <w:p w14:paraId="65333663" w14:textId="77777777"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lastRenderedPageBreak/>
        <w:t xml:space="preserve">Impulsul inflaționist se resimte mai puternic în Moldova decât în țările din regiune, iar aceasta ar avea la bază câțiva factori. </w:t>
      </w:r>
    </w:p>
    <w:p w14:paraId="78BA51EC" w14:textId="77777777"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b/>
          <w:i/>
          <w:sz w:val="28"/>
          <w:szCs w:val="28"/>
        </w:rPr>
        <w:t>În primul rând</w:t>
      </w:r>
      <w:r w:rsidRPr="00D21DD8">
        <w:rPr>
          <w:rFonts w:ascii="Times New Roman" w:eastAsia="Times New Roman" w:hAnsi="Times New Roman" w:cs="Times New Roman"/>
          <w:sz w:val="28"/>
          <w:szCs w:val="28"/>
        </w:rPr>
        <w:t xml:space="preserve">, raportul importurilor de bunuri și servicii per PIB a fost de 58% în Moldova comparativ cu 46.5% în România și în jur de 43% în Albania și Armenia. Respectiv, dependența economiei moldovenești față de importuri face ca șocul extern inflaționist să se propage mai puternic. </w:t>
      </w:r>
    </w:p>
    <w:p w14:paraId="1EE5C266" w14:textId="36C0ECF3"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b/>
          <w:i/>
          <w:sz w:val="28"/>
          <w:szCs w:val="28"/>
        </w:rPr>
        <w:t>În al doilea rând</w:t>
      </w:r>
      <w:r w:rsidRPr="00D21DD8">
        <w:rPr>
          <w:rFonts w:ascii="Times New Roman" w:eastAsia="Times New Roman" w:hAnsi="Times New Roman" w:cs="Times New Roman"/>
          <w:sz w:val="28"/>
          <w:szCs w:val="28"/>
        </w:rPr>
        <w:t>, ponderea produselor minerale în totalul importurilor este înalt, iar șocul prețurilor la resurse energetice a dus la o creștere galopantă a indicelui valorii unitare în jur de 28% f</w:t>
      </w:r>
      <w:r w:rsidR="00D25FED" w:rsidRPr="00D21DD8">
        <w:rPr>
          <w:rFonts w:ascii="Times New Roman" w:eastAsia="Times New Roman" w:hAnsi="Times New Roman" w:cs="Times New Roman"/>
          <w:sz w:val="28"/>
          <w:szCs w:val="28"/>
        </w:rPr>
        <w:t xml:space="preserve">ață de anul precedent </w:t>
      </w:r>
      <w:r w:rsidRPr="00D21DD8">
        <w:rPr>
          <w:rFonts w:ascii="Times New Roman" w:eastAsia="Times New Roman" w:hAnsi="Times New Roman" w:cs="Times New Roman"/>
          <w:sz w:val="28"/>
          <w:szCs w:val="28"/>
        </w:rPr>
        <w:t xml:space="preserve">în primul trimestru al anului 2022. Ponderea resurselor energetice (gaz, electricitate, termică) în anul 2018 era în jur de 3-7% din totalul costurilor operaționale pentru majoritatea sectoarelor economice (3.9% pentru industria alimentară ). Respectiv, ajustarea tarifelor și prețurile de import înalte au alimentat semnificativ presiunea inflaționistă. </w:t>
      </w:r>
    </w:p>
    <w:p w14:paraId="6F5F79AD" w14:textId="77777777"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b/>
          <w:i/>
          <w:sz w:val="28"/>
          <w:szCs w:val="28"/>
        </w:rPr>
        <w:t>În al treilea rând</w:t>
      </w:r>
      <w:r w:rsidRPr="00D21DD8">
        <w:rPr>
          <w:rFonts w:ascii="Times New Roman" w:eastAsia="Times New Roman" w:hAnsi="Times New Roman" w:cs="Times New Roman"/>
          <w:sz w:val="28"/>
          <w:szCs w:val="28"/>
        </w:rPr>
        <w:t xml:space="preserve">, ponderea importurilor bunurilor din Ucraina, Belarus și Rusia este una dintre cele mai înalte în Europa. Respectiv, ruperea lanțurilor de distribuție și înlocuirea acestora cu alternativele au adăugat un spectru inflaționist suplimentar. </w:t>
      </w:r>
    </w:p>
    <w:p w14:paraId="3CCBCBA6" w14:textId="6CBC991A"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b/>
          <w:i/>
          <w:sz w:val="28"/>
          <w:szCs w:val="28"/>
        </w:rPr>
        <w:t>În al patrulea rând</w:t>
      </w:r>
      <w:r w:rsidRPr="00D21DD8">
        <w:rPr>
          <w:rFonts w:ascii="Times New Roman" w:eastAsia="Times New Roman" w:hAnsi="Times New Roman" w:cs="Times New Roman"/>
          <w:sz w:val="28"/>
          <w:szCs w:val="28"/>
        </w:rPr>
        <w:t xml:space="preserve">, valoarea creditelor noi acordate în 2021 și primul trimestru al anului 2022 a fost de peste 40% </w:t>
      </w:r>
      <w:r w:rsidR="00D25FED" w:rsidRPr="00D21DD8">
        <w:rPr>
          <w:rFonts w:ascii="Times New Roman" w:eastAsia="Times New Roman" w:hAnsi="Times New Roman" w:cs="Times New Roman"/>
          <w:sz w:val="28"/>
          <w:szCs w:val="28"/>
        </w:rPr>
        <w:t xml:space="preserve">față de anul precedent </w:t>
      </w:r>
      <w:r w:rsidRPr="00D21DD8">
        <w:rPr>
          <w:rFonts w:ascii="Times New Roman" w:eastAsia="Times New Roman" w:hAnsi="Times New Roman" w:cs="Times New Roman"/>
          <w:sz w:val="28"/>
          <w:szCs w:val="28"/>
        </w:rPr>
        <w:t xml:space="preserve">ceea ce a susținut consumul și importul de bunuri și servicii. Acest impuls </w:t>
      </w:r>
      <w:proofErr w:type="spellStart"/>
      <w:r w:rsidRPr="00D21DD8">
        <w:rPr>
          <w:rFonts w:ascii="Times New Roman" w:eastAsia="Times New Roman" w:hAnsi="Times New Roman" w:cs="Times New Roman"/>
          <w:sz w:val="28"/>
          <w:szCs w:val="28"/>
        </w:rPr>
        <w:t>creditar</w:t>
      </w:r>
      <w:proofErr w:type="spellEnd"/>
      <w:r w:rsidRPr="00D21DD8">
        <w:rPr>
          <w:rFonts w:ascii="Times New Roman" w:eastAsia="Times New Roman" w:hAnsi="Times New Roman" w:cs="Times New Roman"/>
          <w:sz w:val="28"/>
          <w:szCs w:val="28"/>
        </w:rPr>
        <w:t xml:space="preserve">, unul din cele mai puternice pentru țările din regiune, se propaga într-un moment ciclic când deviația PIB era deja pozitivă în trimestrele trei și patru al anul 2021 și conform raportului asupra inflației din februarie 2022, înainte de declanșarea războiului, se aștepta să rămână pozitiv pe parcursul anului 2022. </w:t>
      </w:r>
    </w:p>
    <w:p w14:paraId="7150650F" w14:textId="77777777"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xml:space="preserve">Respectiv, toți factorii pro-inflaționiști menționați mai sus (interni și externi) au acționat când economia creștea peste potențialul său economic ceea ce a dus la dezechilibre majore între cerere și ofertă care impulsionat inflația peste așteptări. </w:t>
      </w:r>
    </w:p>
    <w:p w14:paraId="3441F4C6" w14:textId="77777777"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xml:space="preserve">În concluzie, efectele inflaționiste ale războiului au accelerat așteptările inflaționiste care deja se prevedeau, iar șocurile inflaționiste externe au amplificat pe cele interne alimentate de către impuls </w:t>
      </w:r>
      <w:proofErr w:type="spellStart"/>
      <w:r w:rsidRPr="00D21DD8">
        <w:rPr>
          <w:rFonts w:ascii="Times New Roman" w:eastAsia="Times New Roman" w:hAnsi="Times New Roman" w:cs="Times New Roman"/>
          <w:sz w:val="28"/>
          <w:szCs w:val="28"/>
        </w:rPr>
        <w:t>creditar</w:t>
      </w:r>
      <w:proofErr w:type="spellEnd"/>
      <w:r w:rsidRPr="00D21DD8">
        <w:rPr>
          <w:rFonts w:ascii="Times New Roman" w:eastAsia="Times New Roman" w:hAnsi="Times New Roman" w:cs="Times New Roman"/>
          <w:sz w:val="28"/>
          <w:szCs w:val="28"/>
        </w:rPr>
        <w:t xml:space="preserve"> puternic, în special pe segmentul persoanelor fizice.</w:t>
      </w:r>
    </w:p>
    <w:p w14:paraId="1BD1BC73" w14:textId="77777777" w:rsidR="00222D3B" w:rsidRPr="00D21DD8" w:rsidRDefault="00222D3B" w:rsidP="00222D3B">
      <w:pPr>
        <w:widowControl w:val="0"/>
        <w:spacing w:after="0" w:line="240" w:lineRule="auto"/>
        <w:ind w:firstLine="142"/>
        <w:jc w:val="both"/>
        <w:rPr>
          <w:rFonts w:ascii="Times New Roman" w:eastAsia="Times New Roman" w:hAnsi="Times New Roman" w:cs="Times New Roman"/>
          <w:sz w:val="28"/>
          <w:szCs w:val="28"/>
        </w:rPr>
      </w:pPr>
      <w:r w:rsidRPr="00D21DD8">
        <w:rPr>
          <w:rFonts w:ascii="Cambria" w:eastAsia="Cambria" w:hAnsi="Cambria" w:cs="Cambria"/>
          <w:b/>
          <w:color w:val="324680"/>
        </w:rPr>
        <w:t xml:space="preserve">Tabel nr.2 </w:t>
      </w:r>
      <w:r w:rsidRPr="00D21DD8">
        <w:rPr>
          <w:rFonts w:ascii="Cambria" w:eastAsia="Cambria" w:hAnsi="Cambria" w:cs="Cambria"/>
        </w:rPr>
        <w:t xml:space="preserve"> </w:t>
      </w:r>
      <w:r w:rsidRPr="00D21DD8">
        <w:rPr>
          <w:rFonts w:ascii="Cambria" w:eastAsia="Cambria" w:hAnsi="Cambria" w:cs="Cambria"/>
          <w:b/>
        </w:rPr>
        <w:t>Deviația PIB conform raportului asupra inflației din februarie 2022</w:t>
      </w:r>
    </w:p>
    <w:p w14:paraId="57ED9A4F" w14:textId="49138AF9" w:rsidR="00222D3B" w:rsidRPr="00D21DD8" w:rsidRDefault="00222D3B" w:rsidP="00222D3B">
      <w:pPr>
        <w:widowControl w:val="0"/>
        <w:spacing w:after="0" w:line="240" w:lineRule="auto"/>
        <w:jc w:val="both"/>
        <w:rPr>
          <w:rFonts w:ascii="Times New Roman" w:eastAsia="Times New Roman" w:hAnsi="Times New Roman" w:cs="Times New Roman"/>
          <w:i/>
          <w:sz w:val="20"/>
          <w:szCs w:val="20"/>
        </w:rPr>
      </w:pPr>
      <w:r w:rsidRPr="00D21DD8">
        <w:rPr>
          <w:rFonts w:ascii="Times New Roman" w:eastAsia="Times New Roman" w:hAnsi="Times New Roman" w:cs="Times New Roman"/>
          <w:noProof/>
          <w:sz w:val="28"/>
          <w:szCs w:val="28"/>
        </w:rPr>
        <w:drawing>
          <wp:inline distT="114300" distB="114300" distL="114300" distR="114300" wp14:anchorId="5145B678" wp14:editId="19E76971">
            <wp:extent cx="4495295" cy="2305050"/>
            <wp:effectExtent l="19050" t="19050" r="19685" b="1905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533942" cy="2324867"/>
                    </a:xfrm>
                    <a:prstGeom prst="rect">
                      <a:avLst/>
                    </a:prstGeom>
                    <a:ln>
                      <a:solidFill>
                        <a:schemeClr val="tx1"/>
                      </a:solidFill>
                    </a:ln>
                  </pic:spPr>
                </pic:pic>
              </a:graphicData>
            </a:graphic>
          </wp:inline>
        </w:drawing>
      </w:r>
      <w:r w:rsidRPr="00D21DD8">
        <w:rPr>
          <w:rFonts w:ascii="Times New Roman" w:eastAsia="Times New Roman" w:hAnsi="Times New Roman" w:cs="Times New Roman"/>
          <w:i/>
          <w:sz w:val="20"/>
          <w:szCs w:val="20"/>
        </w:rPr>
        <w:br/>
      </w:r>
      <w:proofErr w:type="spellStart"/>
      <w:r w:rsidRPr="00D21DD8">
        <w:rPr>
          <w:rFonts w:ascii="Times New Roman" w:eastAsia="Times New Roman" w:hAnsi="Times New Roman" w:cs="Times New Roman"/>
          <w:i/>
          <w:sz w:val="20"/>
          <w:szCs w:val="20"/>
        </w:rPr>
        <w:t>Sursa:BNM</w:t>
      </w:r>
      <w:proofErr w:type="spellEnd"/>
    </w:p>
    <w:p w14:paraId="32280DDA" w14:textId="77777777" w:rsidR="00222D3B" w:rsidRPr="00D21DD8" w:rsidRDefault="00222D3B" w:rsidP="00222D3B">
      <w:pPr>
        <w:spacing w:line="240" w:lineRule="auto"/>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lastRenderedPageBreak/>
        <w:t xml:space="preserve">Conform raportului asupra inflației din mai 2022, rata anuală a inflației poate spori până în trimestrul III al anului 2022, ulterior aceasta va urma o tendință descendentă spre finele orizontului de prognoză. În trimestrul II 2022, rata inflației va continua să se plaseze peste limita superioară a intervalului de variație. Ritmul anual al inflației de bază va avea o tendință ascendentă până în trimestrul I 2023, ulterior diminuându-se spre sfârșitul perioadei de prognoză. Rata anuală a prețurilor produselor alimentare va continua să crească până în trimestrul III 2022 și, începând cu finele anului 2022, se va diminua semnificativ pentru restul perioadei de prognoză. </w:t>
      </w:r>
    </w:p>
    <w:p w14:paraId="45A8417B" w14:textId="77777777" w:rsidR="00222D3B" w:rsidRPr="00D21DD8" w:rsidRDefault="00222D3B" w:rsidP="00222D3B">
      <w:pPr>
        <w:spacing w:line="240" w:lineRule="auto"/>
        <w:jc w:val="both"/>
        <w:rPr>
          <w:rFonts w:ascii="Times New Roman" w:eastAsia="Times New Roman" w:hAnsi="Times New Roman" w:cs="Times New Roman"/>
          <w:i/>
          <w:sz w:val="20"/>
          <w:szCs w:val="20"/>
        </w:rPr>
      </w:pPr>
      <w:r w:rsidRPr="00D21DD8">
        <w:rPr>
          <w:rFonts w:ascii="Times New Roman" w:eastAsia="Times New Roman" w:hAnsi="Times New Roman" w:cs="Times New Roman"/>
          <w:sz w:val="28"/>
          <w:szCs w:val="28"/>
        </w:rPr>
        <w:t xml:space="preserve">Totuși, evoluția prețurilor de consum pentru luna iunie, peste prognoza BNM din mai, în combinație cu incertitudinea referitor la prețul resurselor energetice, în special gaz, și alimentare înclină balanța spre o rată a inflației peste prognozele BNM din mai.  </w:t>
      </w:r>
    </w:p>
    <w:p w14:paraId="34D7F082" w14:textId="2F79855C" w:rsidR="001930FA" w:rsidRPr="00D21DD8" w:rsidRDefault="001930FA" w:rsidP="001930FA">
      <w:pPr>
        <w:spacing w:after="0"/>
        <w:rPr>
          <w:rFonts w:ascii="Times New Roman" w:eastAsia="Times New Roman" w:hAnsi="Times New Roman" w:cs="Times New Roman"/>
          <w:b/>
          <w:i/>
        </w:rPr>
      </w:pPr>
      <w:r w:rsidRPr="00D21DD8">
        <w:rPr>
          <w:rFonts w:ascii="Cambria" w:eastAsia="Cambria" w:hAnsi="Cambria" w:cs="Cambria"/>
          <w:b/>
          <w:color w:val="324680"/>
        </w:rPr>
        <w:t xml:space="preserve">Tabel nr.3 </w:t>
      </w:r>
      <w:r w:rsidRPr="00D21DD8">
        <w:rPr>
          <w:rFonts w:ascii="Cambria" w:eastAsia="Cambria" w:hAnsi="Cambria" w:cs="Cambria"/>
          <w:b/>
        </w:rPr>
        <w:t>Prognoza inflației</w:t>
      </w:r>
    </w:p>
    <w:p w14:paraId="5B328537" w14:textId="02BCA69C" w:rsidR="001930FA" w:rsidRPr="00D21DD8" w:rsidRDefault="001930FA" w:rsidP="001930FA">
      <w:pPr>
        <w:spacing w:after="0" w:line="240" w:lineRule="auto"/>
        <w:jc w:val="both"/>
        <w:rPr>
          <w:rFonts w:ascii="Times New Roman" w:eastAsia="Times New Roman" w:hAnsi="Times New Roman" w:cs="Times New Roman"/>
          <w:i/>
          <w:sz w:val="22"/>
          <w:szCs w:val="20"/>
        </w:rPr>
      </w:pPr>
      <w:r w:rsidRPr="00D21DD8">
        <w:rPr>
          <w:noProof/>
        </w:rPr>
        <w:drawing>
          <wp:inline distT="0" distB="0" distL="0" distR="0" wp14:anchorId="3C2D6E97" wp14:editId="276C23BF">
            <wp:extent cx="5991225" cy="1911350"/>
            <wp:effectExtent l="0" t="0" r="9525"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roofErr w:type="spellStart"/>
      <w:r w:rsidRPr="00D21DD8">
        <w:rPr>
          <w:rFonts w:ascii="Times New Roman" w:eastAsia="Times New Roman" w:hAnsi="Times New Roman" w:cs="Times New Roman"/>
          <w:i/>
          <w:sz w:val="22"/>
          <w:szCs w:val="20"/>
        </w:rPr>
        <w:t>sursa:BNM</w:t>
      </w:r>
      <w:proofErr w:type="spellEnd"/>
    </w:p>
    <w:p w14:paraId="01D7E7E2" w14:textId="77777777" w:rsidR="00222D3B" w:rsidRPr="00D21DD8" w:rsidRDefault="00222D3B" w:rsidP="00222D3B">
      <w:pPr>
        <w:widowControl w:val="0"/>
        <w:spacing w:after="0" w:line="240" w:lineRule="auto"/>
        <w:jc w:val="both"/>
        <w:rPr>
          <w:rFonts w:ascii="Times New Roman" w:eastAsia="Times New Roman" w:hAnsi="Times New Roman" w:cs="Times New Roman"/>
          <w:i/>
          <w:sz w:val="20"/>
          <w:szCs w:val="20"/>
        </w:rPr>
      </w:pPr>
    </w:p>
    <w:p w14:paraId="5F9395CE" w14:textId="7ACC5618" w:rsidR="001930FA" w:rsidRPr="00D21DD8" w:rsidRDefault="001930FA" w:rsidP="001930FA">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i/>
          <w:color w:val="000000"/>
          <w:sz w:val="28"/>
          <w:szCs w:val="28"/>
          <w:u w:val="single"/>
        </w:rPr>
      </w:pPr>
      <w:r w:rsidRPr="00D21DD8">
        <w:rPr>
          <w:rFonts w:ascii="Times New Roman" w:eastAsia="Times New Roman" w:hAnsi="Times New Roman" w:cs="Times New Roman"/>
          <w:i/>
          <w:color w:val="000000"/>
          <w:sz w:val="28"/>
          <w:szCs w:val="28"/>
          <w:u w:val="single"/>
        </w:rPr>
        <w:t xml:space="preserve">3.2. Activitatea operațională a Băncii Naționale privind </w:t>
      </w:r>
      <w:r w:rsidRPr="00D21DD8">
        <w:rPr>
          <w:rFonts w:ascii="Times New Roman" w:eastAsia="Times New Roman" w:hAnsi="Times New Roman" w:cs="Times New Roman"/>
          <w:i/>
          <w:sz w:val="28"/>
          <w:szCs w:val="28"/>
          <w:u w:val="single"/>
        </w:rPr>
        <w:t>C</w:t>
      </w:r>
      <w:r w:rsidRPr="00D21DD8">
        <w:rPr>
          <w:rFonts w:ascii="Times New Roman" w:eastAsia="Times New Roman" w:hAnsi="Times New Roman" w:cs="Times New Roman"/>
          <w:i/>
          <w:color w:val="000000"/>
          <w:sz w:val="28"/>
          <w:szCs w:val="28"/>
          <w:u w:val="single"/>
        </w:rPr>
        <w:t>ontrolul inflației și politica monetară pe parcursul ultimelor 18 luni</w:t>
      </w:r>
    </w:p>
    <w:p w14:paraId="3BE6FB78" w14:textId="14FF5E7C" w:rsidR="001930FA" w:rsidRPr="00D21DD8" w:rsidRDefault="001930FA" w:rsidP="001930F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ab/>
        <w:t xml:space="preserve">Pentru asigurarea </w:t>
      </w:r>
      <w:proofErr w:type="spellStart"/>
      <w:r w:rsidRPr="00D21DD8">
        <w:rPr>
          <w:rFonts w:ascii="Times New Roman" w:eastAsia="Times New Roman" w:hAnsi="Times New Roman" w:cs="Times New Roman"/>
          <w:color w:val="000000"/>
          <w:sz w:val="28"/>
          <w:szCs w:val="28"/>
        </w:rPr>
        <w:t>şi</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menţinerea</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stabilităţii</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preţurilor</w:t>
      </w:r>
      <w:proofErr w:type="spellEnd"/>
      <w:r w:rsidRPr="00D21DD8">
        <w:rPr>
          <w:rFonts w:ascii="Times New Roman" w:eastAsia="Times New Roman" w:hAnsi="Times New Roman" w:cs="Times New Roman"/>
          <w:color w:val="000000"/>
          <w:sz w:val="28"/>
          <w:szCs w:val="28"/>
        </w:rPr>
        <w:t xml:space="preserve"> pe termen mediu, Banca </w:t>
      </w:r>
      <w:proofErr w:type="spellStart"/>
      <w:r w:rsidRPr="00D21DD8">
        <w:rPr>
          <w:rFonts w:ascii="Times New Roman" w:eastAsia="Times New Roman" w:hAnsi="Times New Roman" w:cs="Times New Roman"/>
          <w:color w:val="000000"/>
          <w:sz w:val="28"/>
          <w:szCs w:val="28"/>
        </w:rPr>
        <w:t>Naţională</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menţine</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inflaţia</w:t>
      </w:r>
      <w:proofErr w:type="spellEnd"/>
      <w:r w:rsidRPr="00D21DD8">
        <w:rPr>
          <w:rFonts w:ascii="Times New Roman" w:eastAsia="Times New Roman" w:hAnsi="Times New Roman" w:cs="Times New Roman"/>
          <w:color w:val="000000"/>
          <w:sz w:val="28"/>
          <w:szCs w:val="28"/>
        </w:rPr>
        <w:t xml:space="preserve"> (măsurată prin indicele </w:t>
      </w:r>
      <w:proofErr w:type="spellStart"/>
      <w:r w:rsidRPr="00D21DD8">
        <w:rPr>
          <w:rFonts w:ascii="Times New Roman" w:eastAsia="Times New Roman" w:hAnsi="Times New Roman" w:cs="Times New Roman"/>
          <w:color w:val="000000"/>
          <w:sz w:val="28"/>
          <w:szCs w:val="28"/>
        </w:rPr>
        <w:t>preţurilor</w:t>
      </w:r>
      <w:proofErr w:type="spellEnd"/>
      <w:r w:rsidRPr="00D21DD8">
        <w:rPr>
          <w:rFonts w:ascii="Times New Roman" w:eastAsia="Times New Roman" w:hAnsi="Times New Roman" w:cs="Times New Roman"/>
          <w:color w:val="000000"/>
          <w:sz w:val="28"/>
          <w:szCs w:val="28"/>
        </w:rPr>
        <w:t xml:space="preserve"> de consum) la nivelul de 5.0 la sută anual cu o posibilă abatere de ± 1.5 puncte procentuale.</w:t>
      </w:r>
    </w:p>
    <w:p w14:paraId="2749F932" w14:textId="445288E7" w:rsidR="001930FA" w:rsidRPr="00D21DD8" w:rsidRDefault="001930FA" w:rsidP="001930F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ab/>
        <w:t xml:space="preserve">În scopul realizării </w:t>
      </w:r>
      <w:proofErr w:type="spellStart"/>
      <w:r w:rsidRPr="00D21DD8">
        <w:rPr>
          <w:rFonts w:ascii="Times New Roman" w:eastAsia="Times New Roman" w:hAnsi="Times New Roman" w:cs="Times New Roman"/>
          <w:color w:val="000000"/>
          <w:sz w:val="28"/>
          <w:szCs w:val="28"/>
        </w:rPr>
        <w:t>ţintei</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inflaţiei</w:t>
      </w:r>
      <w:proofErr w:type="spellEnd"/>
      <w:r w:rsidRPr="00D21DD8">
        <w:rPr>
          <w:rFonts w:ascii="Times New Roman" w:eastAsia="Times New Roman" w:hAnsi="Times New Roman" w:cs="Times New Roman"/>
          <w:color w:val="000000"/>
          <w:sz w:val="28"/>
          <w:szCs w:val="28"/>
        </w:rPr>
        <w:t xml:space="preserve">, </w:t>
      </w:r>
      <w:proofErr w:type="spellStart"/>
      <w:r w:rsidRPr="00D21DD8">
        <w:rPr>
          <w:rFonts w:ascii="Times New Roman" w:eastAsia="Times New Roman" w:hAnsi="Times New Roman" w:cs="Times New Roman"/>
          <w:color w:val="000000"/>
          <w:sz w:val="28"/>
          <w:szCs w:val="28"/>
        </w:rPr>
        <w:t>condiţiile</w:t>
      </w:r>
      <w:proofErr w:type="spellEnd"/>
      <w:r w:rsidRPr="00D21DD8">
        <w:rPr>
          <w:rFonts w:ascii="Times New Roman" w:eastAsia="Times New Roman" w:hAnsi="Times New Roman" w:cs="Times New Roman"/>
          <w:color w:val="000000"/>
          <w:sz w:val="28"/>
          <w:szCs w:val="28"/>
        </w:rPr>
        <w:t xml:space="preserve"> pe </w:t>
      </w:r>
      <w:proofErr w:type="spellStart"/>
      <w:r w:rsidRPr="00D21DD8">
        <w:rPr>
          <w:rFonts w:ascii="Times New Roman" w:eastAsia="Times New Roman" w:hAnsi="Times New Roman" w:cs="Times New Roman"/>
          <w:color w:val="000000"/>
          <w:sz w:val="28"/>
          <w:szCs w:val="28"/>
        </w:rPr>
        <w:t>piaţa</w:t>
      </w:r>
      <w:proofErr w:type="spellEnd"/>
      <w:r w:rsidRPr="00D21DD8">
        <w:rPr>
          <w:rFonts w:ascii="Times New Roman" w:eastAsia="Times New Roman" w:hAnsi="Times New Roman" w:cs="Times New Roman"/>
          <w:color w:val="000000"/>
          <w:sz w:val="28"/>
          <w:szCs w:val="28"/>
        </w:rPr>
        <w:t xml:space="preserve"> monetară sunt dirijate de BNM prin stabilirea de către Comitetul executiv al Băncii Naționale a indicatorilor principali ce influențează </w:t>
      </w:r>
      <w:proofErr w:type="spellStart"/>
      <w:r w:rsidRPr="00D21DD8">
        <w:rPr>
          <w:rFonts w:ascii="Times New Roman" w:eastAsia="Times New Roman" w:hAnsi="Times New Roman" w:cs="Times New Roman"/>
          <w:color w:val="000000"/>
          <w:sz w:val="28"/>
          <w:szCs w:val="28"/>
        </w:rPr>
        <w:t>piaţa</w:t>
      </w:r>
      <w:proofErr w:type="spellEnd"/>
      <w:r w:rsidRPr="00D21DD8">
        <w:rPr>
          <w:rFonts w:ascii="Times New Roman" w:eastAsia="Times New Roman" w:hAnsi="Times New Roman" w:cs="Times New Roman"/>
          <w:color w:val="000000"/>
          <w:sz w:val="28"/>
          <w:szCs w:val="28"/>
        </w:rPr>
        <w:t xml:space="preserve"> monetară. Pentru asigurarea eficienței procesului decizional, Comitetul executiv al Băncii Naționale (format din 5 membri) aprobă decizii de politică monetară privind promovarea politicii monetare, deciziile fiind fundamentate pe materialele elaborate în cadrul ciclurilor interne de analiză și prognoză elaborate de Departamentul Politică Monetară din cadrul Băncii Naționale.</w:t>
      </w:r>
    </w:p>
    <w:p w14:paraId="5BE9BB65" w14:textId="4E233E0E" w:rsidR="001930FA" w:rsidRPr="00D21DD8" w:rsidRDefault="001930FA" w:rsidP="001930F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ab/>
        <w:t xml:space="preserve">În perioada ultimelor 18 luni, în vederea realizării atribuțiilor conferite de legea-cadru, Comitetul executiv al BNM, s-a întrunit în 16 ședințe, a emis 16 decizii/hotărâri privind politica monetară, unele dintre acestea fiind cu scopul de a menține ratele de bază la principalele instrumente monetare iar unele (începând cu perioada iulie 2021) </w:t>
      </w:r>
      <w:r w:rsidRPr="00D21DD8">
        <w:rPr>
          <w:rFonts w:ascii="Times New Roman" w:eastAsia="Times New Roman" w:hAnsi="Times New Roman" w:cs="Times New Roman"/>
          <w:sz w:val="28"/>
          <w:szCs w:val="28"/>
        </w:rPr>
        <w:t>având</w:t>
      </w:r>
      <w:r w:rsidRPr="00D21DD8">
        <w:rPr>
          <w:rFonts w:ascii="Times New Roman" w:eastAsia="Times New Roman" w:hAnsi="Times New Roman" w:cs="Times New Roman"/>
          <w:color w:val="000000"/>
          <w:sz w:val="28"/>
          <w:szCs w:val="28"/>
        </w:rPr>
        <w:t xml:space="preserve"> scopul de a majora semnificativ aceste rate de bază, în dependență de anumiți factori. De asemenea, în acest interval de timp de </w:t>
      </w:r>
      <w:r w:rsidRPr="00D21DD8">
        <w:rPr>
          <w:rFonts w:ascii="Times New Roman" w:eastAsia="Times New Roman" w:hAnsi="Times New Roman" w:cs="Times New Roman"/>
          <w:color w:val="000000"/>
          <w:sz w:val="28"/>
          <w:szCs w:val="28"/>
        </w:rPr>
        <w:lastRenderedPageBreak/>
        <w:t>către Banca Națională au fost prezentate 8 rapoarte</w:t>
      </w:r>
      <w:r w:rsidRPr="00D21DD8">
        <w:rPr>
          <w:rFonts w:ascii="Times New Roman" w:eastAsia="Times New Roman" w:hAnsi="Times New Roman" w:cs="Times New Roman"/>
          <w:color w:val="000000"/>
          <w:sz w:val="28"/>
          <w:szCs w:val="28"/>
          <w:vertAlign w:val="superscript"/>
        </w:rPr>
        <w:footnoteReference w:id="1"/>
      </w:r>
      <w:r w:rsidRPr="00D21DD8">
        <w:rPr>
          <w:rFonts w:ascii="Times New Roman" w:eastAsia="Times New Roman" w:hAnsi="Times New Roman" w:cs="Times New Roman"/>
          <w:color w:val="000000"/>
          <w:sz w:val="28"/>
          <w:szCs w:val="28"/>
        </w:rPr>
        <w:t xml:space="preserve"> asupra inflației.</w:t>
      </w:r>
    </w:p>
    <w:p w14:paraId="44D60927" w14:textId="4359793E" w:rsidR="00540416" w:rsidRPr="00D21DD8" w:rsidRDefault="00540416" w:rsidP="00540416">
      <w:pPr>
        <w:spacing w:before="120" w:after="0" w:line="240" w:lineRule="auto"/>
        <w:rPr>
          <w:rFonts w:ascii="Cambria" w:eastAsia="Cambria" w:hAnsi="Cambria" w:cs="Cambria"/>
        </w:rPr>
      </w:pPr>
      <w:r w:rsidRPr="00D21DD8">
        <w:rPr>
          <w:rFonts w:ascii="Cambria" w:eastAsia="Cambria" w:hAnsi="Cambria" w:cs="Cambria"/>
          <w:b/>
          <w:color w:val="324680"/>
        </w:rPr>
        <w:t xml:space="preserve">Tabel nr.4 </w:t>
      </w:r>
      <w:r w:rsidRPr="00D21DD8">
        <w:rPr>
          <w:rFonts w:ascii="Cambria" w:eastAsia="Cambria" w:hAnsi="Cambria" w:cs="Cambria"/>
        </w:rPr>
        <w:t xml:space="preserve"> Structura deciziilor aprobate de către Comitetul Executiv al Băncii Naționale</w:t>
      </w:r>
    </w:p>
    <w:tbl>
      <w:tblPr>
        <w:tblW w:w="8972" w:type="dxa"/>
        <w:tblInd w:w="959" w:type="dxa"/>
        <w:tblBorders>
          <w:top w:val="single" w:sz="4" w:space="0" w:color="000000"/>
          <w:left w:val="single" w:sz="4" w:space="0" w:color="000000"/>
          <w:bottom w:val="single" w:sz="4" w:space="0" w:color="000000"/>
          <w:right w:val="single" w:sz="4" w:space="0" w:color="000000"/>
          <w:insideH w:val="dotted" w:sz="4" w:space="0" w:color="000000"/>
          <w:insideV w:val="dotted" w:sz="4" w:space="0" w:color="000000"/>
        </w:tblBorders>
        <w:tblLayout w:type="fixed"/>
        <w:tblLook w:val="0400" w:firstRow="0" w:lastRow="0" w:firstColumn="0" w:lastColumn="0" w:noHBand="0" w:noVBand="1"/>
      </w:tblPr>
      <w:tblGrid>
        <w:gridCol w:w="4003"/>
        <w:gridCol w:w="457"/>
        <w:gridCol w:w="1547"/>
        <w:gridCol w:w="1547"/>
        <w:gridCol w:w="1418"/>
      </w:tblGrid>
      <w:tr w:rsidR="00540416" w:rsidRPr="00D21DD8" w14:paraId="78D9668E" w14:textId="77777777" w:rsidTr="00BE6C45">
        <w:trPr>
          <w:trHeight w:val="304"/>
        </w:trPr>
        <w:tc>
          <w:tcPr>
            <w:tcW w:w="4460" w:type="dxa"/>
            <w:gridSpan w:val="2"/>
            <w:tcBorders>
              <w:top w:val="single" w:sz="4" w:space="0" w:color="000000"/>
              <w:left w:val="single" w:sz="4" w:space="0" w:color="000000"/>
              <w:bottom w:val="single" w:sz="4" w:space="0" w:color="000000"/>
              <w:right w:val="nil"/>
            </w:tcBorders>
            <w:shd w:val="clear" w:color="auto" w:fill="324680"/>
          </w:tcPr>
          <w:p w14:paraId="1E104538" w14:textId="77777777" w:rsidR="00540416" w:rsidRPr="00D21DD8" w:rsidRDefault="00540416" w:rsidP="005A4ED0">
            <w:pPr>
              <w:spacing w:after="0" w:line="240" w:lineRule="auto"/>
              <w:rPr>
                <w:rFonts w:ascii="Cambria" w:eastAsia="Cambria" w:hAnsi="Cambria" w:cs="Cambria"/>
                <w:b/>
                <w:sz w:val="20"/>
                <w:szCs w:val="20"/>
              </w:rPr>
            </w:pPr>
            <w:r w:rsidRPr="00D21DD8">
              <w:rPr>
                <w:rFonts w:ascii="Cambria" w:eastAsia="Cambria" w:hAnsi="Cambria" w:cs="Cambria"/>
                <w:b/>
                <w:sz w:val="20"/>
                <w:szCs w:val="20"/>
              </w:rPr>
              <w:t>Indicatori</w:t>
            </w:r>
          </w:p>
        </w:tc>
        <w:tc>
          <w:tcPr>
            <w:tcW w:w="1547" w:type="dxa"/>
            <w:tcBorders>
              <w:top w:val="single" w:sz="4" w:space="0" w:color="000000"/>
              <w:left w:val="nil"/>
              <w:bottom w:val="single" w:sz="4" w:space="0" w:color="000000"/>
              <w:right w:val="single" w:sz="4" w:space="0" w:color="000000"/>
            </w:tcBorders>
            <w:shd w:val="clear" w:color="auto" w:fill="324680"/>
          </w:tcPr>
          <w:p w14:paraId="713C2871" w14:textId="77777777" w:rsidR="00540416" w:rsidRPr="00D21DD8" w:rsidRDefault="00540416" w:rsidP="00BE6C45">
            <w:pPr>
              <w:spacing w:after="0" w:line="240" w:lineRule="auto"/>
              <w:ind w:hanging="857"/>
              <w:rPr>
                <w:rFonts w:ascii="Cambria" w:eastAsia="Cambria" w:hAnsi="Cambria" w:cs="Cambria"/>
                <w:b/>
                <w:sz w:val="20"/>
                <w:szCs w:val="20"/>
              </w:rPr>
            </w:pPr>
            <w:r w:rsidRPr="00D21DD8">
              <w:rPr>
                <w:rFonts w:ascii="Cambria" w:eastAsia="Cambria" w:hAnsi="Cambria" w:cs="Cambria"/>
                <w:b/>
                <w:sz w:val="20"/>
                <w:szCs w:val="20"/>
              </w:rPr>
              <w:t>dec.2020</w:t>
            </w:r>
          </w:p>
        </w:tc>
        <w:tc>
          <w:tcPr>
            <w:tcW w:w="1547" w:type="dxa"/>
            <w:tcBorders>
              <w:top w:val="single" w:sz="4" w:space="0" w:color="000000"/>
              <w:left w:val="nil"/>
              <w:bottom w:val="single" w:sz="4" w:space="0" w:color="000000"/>
              <w:right w:val="single" w:sz="4" w:space="0" w:color="000000"/>
            </w:tcBorders>
            <w:shd w:val="clear" w:color="auto" w:fill="324680"/>
          </w:tcPr>
          <w:p w14:paraId="2BE8729C" w14:textId="77777777" w:rsidR="00540416" w:rsidRPr="00D21DD8" w:rsidRDefault="00540416" w:rsidP="00BE6C45">
            <w:pPr>
              <w:spacing w:after="0" w:line="240" w:lineRule="auto"/>
              <w:ind w:hanging="439"/>
              <w:rPr>
                <w:rFonts w:ascii="Cambria" w:eastAsia="Cambria" w:hAnsi="Cambria" w:cs="Cambria"/>
                <w:b/>
                <w:sz w:val="20"/>
                <w:szCs w:val="20"/>
              </w:rPr>
            </w:pPr>
            <w:r w:rsidRPr="00D21DD8">
              <w:rPr>
                <w:rFonts w:ascii="Cambria" w:eastAsia="Cambria" w:hAnsi="Cambria" w:cs="Cambria"/>
                <w:b/>
                <w:sz w:val="20"/>
                <w:szCs w:val="20"/>
              </w:rPr>
              <w:t>2021</w:t>
            </w:r>
          </w:p>
        </w:tc>
        <w:tc>
          <w:tcPr>
            <w:tcW w:w="1418" w:type="dxa"/>
            <w:tcBorders>
              <w:top w:val="single" w:sz="4" w:space="0" w:color="000000"/>
              <w:left w:val="nil"/>
              <w:bottom w:val="single" w:sz="4" w:space="0" w:color="000000"/>
              <w:right w:val="single" w:sz="4" w:space="0" w:color="000000"/>
            </w:tcBorders>
            <w:shd w:val="clear" w:color="auto" w:fill="324680"/>
          </w:tcPr>
          <w:p w14:paraId="0F819262" w14:textId="77777777" w:rsidR="00540416" w:rsidRPr="00D21DD8" w:rsidRDefault="00540416" w:rsidP="00BE6C45">
            <w:pPr>
              <w:spacing w:after="0" w:line="240" w:lineRule="auto"/>
              <w:ind w:hanging="493"/>
              <w:rPr>
                <w:rFonts w:ascii="Cambria" w:eastAsia="Cambria" w:hAnsi="Cambria" w:cs="Cambria"/>
                <w:b/>
                <w:sz w:val="20"/>
                <w:szCs w:val="20"/>
              </w:rPr>
            </w:pPr>
            <w:r w:rsidRPr="00D21DD8">
              <w:rPr>
                <w:rFonts w:ascii="Cambria" w:eastAsia="Cambria" w:hAnsi="Cambria" w:cs="Cambria"/>
                <w:b/>
                <w:sz w:val="20"/>
                <w:szCs w:val="20"/>
              </w:rPr>
              <w:t>2022</w:t>
            </w:r>
          </w:p>
        </w:tc>
      </w:tr>
      <w:tr w:rsidR="00540416" w:rsidRPr="00D21DD8" w14:paraId="0AE433DE" w14:textId="77777777" w:rsidTr="00BE6C45">
        <w:trPr>
          <w:trHeight w:val="304"/>
        </w:trPr>
        <w:tc>
          <w:tcPr>
            <w:tcW w:w="4003" w:type="dxa"/>
            <w:tcBorders>
              <w:top w:val="single" w:sz="4" w:space="0" w:color="000000"/>
            </w:tcBorders>
            <w:vAlign w:val="center"/>
          </w:tcPr>
          <w:p w14:paraId="47405530" w14:textId="77777777" w:rsidR="00540416" w:rsidRPr="00D21DD8" w:rsidRDefault="00540416" w:rsidP="00540416">
            <w:pPr>
              <w:spacing w:after="0" w:line="240" w:lineRule="auto"/>
              <w:ind w:left="174"/>
              <w:rPr>
                <w:rFonts w:ascii="Cambria" w:eastAsia="Cambria" w:hAnsi="Cambria" w:cs="Cambria"/>
                <w:sz w:val="20"/>
                <w:szCs w:val="20"/>
              </w:rPr>
            </w:pPr>
            <w:r w:rsidRPr="00D21DD8">
              <w:rPr>
                <w:rFonts w:ascii="Cambria" w:eastAsia="Cambria" w:hAnsi="Cambria" w:cs="Cambria"/>
                <w:sz w:val="20"/>
                <w:szCs w:val="20"/>
              </w:rPr>
              <w:t>Numărul ședințelor Comitetului executiv</w:t>
            </w:r>
          </w:p>
        </w:tc>
        <w:tc>
          <w:tcPr>
            <w:tcW w:w="2004" w:type="dxa"/>
            <w:gridSpan w:val="2"/>
            <w:tcBorders>
              <w:top w:val="dotted" w:sz="4" w:space="0" w:color="000000"/>
            </w:tcBorders>
            <w:vAlign w:val="center"/>
          </w:tcPr>
          <w:p w14:paraId="0A10F92B" w14:textId="77777777" w:rsidR="00540416" w:rsidRPr="00D21DD8" w:rsidRDefault="00540416" w:rsidP="00BE6C45">
            <w:pPr>
              <w:spacing w:after="0" w:line="240" w:lineRule="auto"/>
              <w:rPr>
                <w:rFonts w:ascii="Cambria" w:eastAsia="Cambria" w:hAnsi="Cambria" w:cs="Cambria"/>
                <w:sz w:val="20"/>
                <w:szCs w:val="20"/>
              </w:rPr>
            </w:pPr>
            <w:r w:rsidRPr="00D21DD8">
              <w:rPr>
                <w:rFonts w:ascii="Cambria" w:eastAsia="Cambria" w:hAnsi="Cambria" w:cs="Cambria"/>
                <w:sz w:val="20"/>
                <w:szCs w:val="20"/>
              </w:rPr>
              <w:t>1</w:t>
            </w:r>
          </w:p>
        </w:tc>
        <w:tc>
          <w:tcPr>
            <w:tcW w:w="1547" w:type="dxa"/>
            <w:tcBorders>
              <w:top w:val="dotted" w:sz="4" w:space="0" w:color="000000"/>
            </w:tcBorders>
            <w:vAlign w:val="center"/>
          </w:tcPr>
          <w:p w14:paraId="48339B38" w14:textId="77777777" w:rsidR="00540416" w:rsidRPr="00D21DD8" w:rsidRDefault="00540416" w:rsidP="00BE6C45">
            <w:pPr>
              <w:spacing w:after="0" w:line="240" w:lineRule="auto"/>
              <w:ind w:hanging="297"/>
              <w:rPr>
                <w:rFonts w:ascii="Cambria" w:eastAsia="Cambria" w:hAnsi="Cambria" w:cs="Cambria"/>
                <w:sz w:val="20"/>
                <w:szCs w:val="20"/>
              </w:rPr>
            </w:pPr>
            <w:r w:rsidRPr="00D21DD8">
              <w:rPr>
                <w:rFonts w:ascii="Cambria" w:eastAsia="Cambria" w:hAnsi="Cambria" w:cs="Cambria"/>
                <w:sz w:val="20"/>
                <w:szCs w:val="20"/>
              </w:rPr>
              <w:t>10</w:t>
            </w:r>
          </w:p>
        </w:tc>
        <w:tc>
          <w:tcPr>
            <w:tcW w:w="1418" w:type="dxa"/>
            <w:tcBorders>
              <w:top w:val="dotted" w:sz="4" w:space="0" w:color="000000"/>
            </w:tcBorders>
            <w:vAlign w:val="center"/>
          </w:tcPr>
          <w:p w14:paraId="7ED6A0CF" w14:textId="77777777" w:rsidR="00540416" w:rsidRPr="00D21DD8" w:rsidRDefault="00540416" w:rsidP="00BE6C45">
            <w:pPr>
              <w:spacing w:after="0" w:line="240" w:lineRule="auto"/>
              <w:ind w:left="553" w:right="-485"/>
              <w:rPr>
                <w:rFonts w:ascii="Cambria" w:eastAsia="Cambria" w:hAnsi="Cambria" w:cs="Cambria"/>
                <w:sz w:val="20"/>
                <w:szCs w:val="20"/>
              </w:rPr>
            </w:pPr>
            <w:r w:rsidRPr="00D21DD8">
              <w:rPr>
                <w:rFonts w:ascii="Cambria" w:eastAsia="Cambria" w:hAnsi="Cambria" w:cs="Cambria"/>
                <w:sz w:val="20"/>
                <w:szCs w:val="20"/>
              </w:rPr>
              <w:t>5</w:t>
            </w:r>
          </w:p>
        </w:tc>
      </w:tr>
      <w:tr w:rsidR="00540416" w:rsidRPr="00D21DD8" w14:paraId="02B17E3D" w14:textId="77777777" w:rsidTr="00BE6C45">
        <w:trPr>
          <w:trHeight w:val="304"/>
        </w:trPr>
        <w:tc>
          <w:tcPr>
            <w:tcW w:w="4003" w:type="dxa"/>
            <w:shd w:val="clear" w:color="auto" w:fill="DBE5F1"/>
            <w:vAlign w:val="center"/>
          </w:tcPr>
          <w:p w14:paraId="6FA67921" w14:textId="77777777" w:rsidR="00540416" w:rsidRPr="00D21DD8" w:rsidRDefault="00540416" w:rsidP="00540416">
            <w:pPr>
              <w:spacing w:after="0" w:line="240" w:lineRule="auto"/>
              <w:ind w:left="174"/>
              <w:rPr>
                <w:rFonts w:ascii="Cambria" w:eastAsia="Cambria" w:hAnsi="Cambria" w:cs="Cambria"/>
                <w:sz w:val="20"/>
                <w:szCs w:val="20"/>
              </w:rPr>
            </w:pPr>
            <w:r w:rsidRPr="00D21DD8">
              <w:rPr>
                <w:rFonts w:ascii="Cambria" w:eastAsia="Cambria" w:hAnsi="Cambria" w:cs="Cambria"/>
                <w:sz w:val="20"/>
                <w:szCs w:val="20"/>
              </w:rPr>
              <w:t>Numărul Hotărârilor/Deciziilor aprobate</w:t>
            </w:r>
          </w:p>
        </w:tc>
        <w:tc>
          <w:tcPr>
            <w:tcW w:w="2004" w:type="dxa"/>
            <w:gridSpan w:val="2"/>
            <w:shd w:val="clear" w:color="auto" w:fill="DBE5F1"/>
            <w:vAlign w:val="center"/>
          </w:tcPr>
          <w:p w14:paraId="6081CAA4" w14:textId="77777777" w:rsidR="00540416" w:rsidRPr="00D21DD8" w:rsidRDefault="00540416" w:rsidP="00BE6C45">
            <w:pPr>
              <w:spacing w:after="0" w:line="240" w:lineRule="auto"/>
              <w:rPr>
                <w:rFonts w:ascii="Cambria" w:eastAsia="Cambria" w:hAnsi="Cambria" w:cs="Cambria"/>
                <w:sz w:val="20"/>
                <w:szCs w:val="20"/>
              </w:rPr>
            </w:pPr>
            <w:r w:rsidRPr="00D21DD8">
              <w:rPr>
                <w:rFonts w:ascii="Cambria" w:eastAsia="Cambria" w:hAnsi="Cambria" w:cs="Cambria"/>
                <w:sz w:val="20"/>
                <w:szCs w:val="20"/>
              </w:rPr>
              <w:t>1</w:t>
            </w:r>
          </w:p>
        </w:tc>
        <w:tc>
          <w:tcPr>
            <w:tcW w:w="1547" w:type="dxa"/>
            <w:shd w:val="clear" w:color="auto" w:fill="DBE5F1"/>
            <w:vAlign w:val="center"/>
          </w:tcPr>
          <w:p w14:paraId="6E47E5E5" w14:textId="77777777" w:rsidR="00540416" w:rsidRPr="00D21DD8" w:rsidRDefault="00540416" w:rsidP="00BE6C45">
            <w:pPr>
              <w:spacing w:after="0" w:line="240" w:lineRule="auto"/>
              <w:ind w:hanging="297"/>
              <w:rPr>
                <w:rFonts w:ascii="Cambria" w:eastAsia="Cambria" w:hAnsi="Cambria" w:cs="Cambria"/>
                <w:sz w:val="20"/>
                <w:szCs w:val="20"/>
              </w:rPr>
            </w:pPr>
            <w:r w:rsidRPr="00D21DD8">
              <w:rPr>
                <w:rFonts w:ascii="Cambria" w:eastAsia="Cambria" w:hAnsi="Cambria" w:cs="Cambria"/>
                <w:sz w:val="20"/>
                <w:szCs w:val="20"/>
              </w:rPr>
              <w:t>10</w:t>
            </w:r>
          </w:p>
        </w:tc>
        <w:tc>
          <w:tcPr>
            <w:tcW w:w="1418" w:type="dxa"/>
            <w:shd w:val="clear" w:color="auto" w:fill="DBE5F1"/>
            <w:vAlign w:val="center"/>
          </w:tcPr>
          <w:p w14:paraId="574B66BE" w14:textId="77777777" w:rsidR="00540416" w:rsidRPr="00D21DD8" w:rsidRDefault="00540416" w:rsidP="00BE6C45">
            <w:pPr>
              <w:spacing w:after="0" w:line="240" w:lineRule="auto"/>
              <w:ind w:left="553" w:right="-485"/>
              <w:rPr>
                <w:rFonts w:ascii="Cambria" w:eastAsia="Cambria" w:hAnsi="Cambria" w:cs="Cambria"/>
                <w:sz w:val="20"/>
                <w:szCs w:val="20"/>
              </w:rPr>
            </w:pPr>
            <w:r w:rsidRPr="00D21DD8">
              <w:rPr>
                <w:rFonts w:ascii="Cambria" w:eastAsia="Cambria" w:hAnsi="Cambria" w:cs="Cambria"/>
                <w:sz w:val="20"/>
                <w:szCs w:val="20"/>
              </w:rPr>
              <w:t>5</w:t>
            </w:r>
          </w:p>
        </w:tc>
      </w:tr>
      <w:tr w:rsidR="00540416" w:rsidRPr="00D21DD8" w14:paraId="2CF25D5D" w14:textId="77777777" w:rsidTr="00BE6C45">
        <w:trPr>
          <w:trHeight w:val="304"/>
        </w:trPr>
        <w:tc>
          <w:tcPr>
            <w:tcW w:w="4003" w:type="dxa"/>
            <w:vAlign w:val="center"/>
          </w:tcPr>
          <w:p w14:paraId="6E449D42" w14:textId="77777777" w:rsidR="00540416" w:rsidRPr="00D21DD8" w:rsidRDefault="00540416" w:rsidP="00540416">
            <w:pPr>
              <w:spacing w:after="0" w:line="240" w:lineRule="auto"/>
              <w:ind w:left="174"/>
              <w:rPr>
                <w:rFonts w:ascii="Cambria" w:eastAsia="Cambria" w:hAnsi="Cambria" w:cs="Cambria"/>
                <w:sz w:val="20"/>
                <w:szCs w:val="20"/>
              </w:rPr>
            </w:pPr>
            <w:r w:rsidRPr="00D21DD8">
              <w:rPr>
                <w:rFonts w:ascii="Cambria" w:eastAsia="Cambria" w:hAnsi="Cambria" w:cs="Cambria"/>
                <w:sz w:val="20"/>
                <w:szCs w:val="20"/>
              </w:rPr>
              <w:t>Numărul ședințelor Comitetului Național de Stabilitate Financiară</w:t>
            </w:r>
          </w:p>
        </w:tc>
        <w:tc>
          <w:tcPr>
            <w:tcW w:w="2004" w:type="dxa"/>
            <w:gridSpan w:val="2"/>
            <w:vAlign w:val="center"/>
          </w:tcPr>
          <w:p w14:paraId="5951E889" w14:textId="77777777" w:rsidR="00540416" w:rsidRPr="00D21DD8" w:rsidRDefault="00540416" w:rsidP="00BE6C45">
            <w:pPr>
              <w:spacing w:after="0" w:line="240" w:lineRule="auto"/>
              <w:rPr>
                <w:rFonts w:ascii="Cambria" w:eastAsia="Cambria" w:hAnsi="Cambria" w:cs="Cambria"/>
                <w:sz w:val="20"/>
                <w:szCs w:val="20"/>
              </w:rPr>
            </w:pPr>
            <w:r w:rsidRPr="00D21DD8">
              <w:rPr>
                <w:rFonts w:ascii="Cambria" w:eastAsia="Cambria" w:hAnsi="Cambria" w:cs="Cambria"/>
                <w:sz w:val="20"/>
                <w:szCs w:val="20"/>
              </w:rPr>
              <w:t>-</w:t>
            </w:r>
          </w:p>
        </w:tc>
        <w:tc>
          <w:tcPr>
            <w:tcW w:w="1547" w:type="dxa"/>
            <w:vAlign w:val="center"/>
          </w:tcPr>
          <w:p w14:paraId="3652AE68" w14:textId="77777777" w:rsidR="00540416" w:rsidRPr="00D21DD8" w:rsidRDefault="00540416" w:rsidP="00BE6C45">
            <w:pPr>
              <w:spacing w:after="0" w:line="240" w:lineRule="auto"/>
              <w:ind w:hanging="297"/>
              <w:rPr>
                <w:rFonts w:ascii="Cambria" w:eastAsia="Cambria" w:hAnsi="Cambria" w:cs="Cambria"/>
                <w:sz w:val="20"/>
                <w:szCs w:val="20"/>
              </w:rPr>
            </w:pPr>
            <w:r w:rsidRPr="00D21DD8">
              <w:rPr>
                <w:rFonts w:ascii="Cambria" w:eastAsia="Cambria" w:hAnsi="Cambria" w:cs="Cambria"/>
                <w:sz w:val="20"/>
                <w:szCs w:val="20"/>
              </w:rPr>
              <w:t>2</w:t>
            </w:r>
          </w:p>
        </w:tc>
        <w:tc>
          <w:tcPr>
            <w:tcW w:w="1418" w:type="dxa"/>
            <w:vAlign w:val="center"/>
          </w:tcPr>
          <w:p w14:paraId="1CF98F12" w14:textId="77777777" w:rsidR="00540416" w:rsidRPr="00D21DD8" w:rsidRDefault="00540416" w:rsidP="00BE6C45">
            <w:pPr>
              <w:spacing w:after="0" w:line="240" w:lineRule="auto"/>
              <w:ind w:left="553" w:right="-485"/>
              <w:rPr>
                <w:rFonts w:ascii="Cambria" w:eastAsia="Cambria" w:hAnsi="Cambria" w:cs="Cambria"/>
                <w:sz w:val="20"/>
                <w:szCs w:val="20"/>
              </w:rPr>
            </w:pPr>
            <w:r w:rsidRPr="00D21DD8">
              <w:rPr>
                <w:rFonts w:ascii="Cambria" w:eastAsia="Cambria" w:hAnsi="Cambria" w:cs="Cambria"/>
                <w:sz w:val="20"/>
                <w:szCs w:val="20"/>
              </w:rPr>
              <w:t>1</w:t>
            </w:r>
          </w:p>
        </w:tc>
      </w:tr>
      <w:tr w:rsidR="00540416" w:rsidRPr="00D21DD8" w14:paraId="5EFA7648" w14:textId="77777777" w:rsidTr="00BE6C45">
        <w:trPr>
          <w:trHeight w:val="304"/>
        </w:trPr>
        <w:tc>
          <w:tcPr>
            <w:tcW w:w="4003" w:type="dxa"/>
            <w:vAlign w:val="center"/>
          </w:tcPr>
          <w:p w14:paraId="68F4789F" w14:textId="77777777" w:rsidR="00540416" w:rsidRPr="00D21DD8" w:rsidRDefault="00540416" w:rsidP="00540416">
            <w:pPr>
              <w:spacing w:after="0" w:line="240" w:lineRule="auto"/>
              <w:ind w:left="174"/>
              <w:rPr>
                <w:rFonts w:ascii="Cambria" w:eastAsia="Cambria" w:hAnsi="Cambria" w:cs="Cambria"/>
                <w:sz w:val="20"/>
                <w:szCs w:val="20"/>
              </w:rPr>
            </w:pPr>
            <w:r w:rsidRPr="00D21DD8">
              <w:rPr>
                <w:rFonts w:ascii="Cambria" w:eastAsia="Cambria" w:hAnsi="Cambria" w:cs="Cambria"/>
                <w:sz w:val="20"/>
                <w:szCs w:val="20"/>
              </w:rPr>
              <w:t>Numărul rapoartelor asupra inflației aprobate și publicate</w:t>
            </w:r>
          </w:p>
        </w:tc>
        <w:tc>
          <w:tcPr>
            <w:tcW w:w="2004" w:type="dxa"/>
            <w:gridSpan w:val="2"/>
            <w:vAlign w:val="center"/>
          </w:tcPr>
          <w:p w14:paraId="05C462AD" w14:textId="77777777" w:rsidR="00540416" w:rsidRPr="00D21DD8" w:rsidRDefault="00540416" w:rsidP="00BE6C45">
            <w:pPr>
              <w:spacing w:after="0" w:line="240" w:lineRule="auto"/>
              <w:rPr>
                <w:rFonts w:ascii="Cambria" w:eastAsia="Cambria" w:hAnsi="Cambria" w:cs="Cambria"/>
                <w:sz w:val="20"/>
                <w:szCs w:val="20"/>
              </w:rPr>
            </w:pPr>
            <w:r w:rsidRPr="00D21DD8">
              <w:rPr>
                <w:rFonts w:ascii="Cambria" w:eastAsia="Cambria" w:hAnsi="Cambria" w:cs="Cambria"/>
                <w:sz w:val="20"/>
                <w:szCs w:val="20"/>
              </w:rPr>
              <w:t>-</w:t>
            </w:r>
          </w:p>
        </w:tc>
        <w:tc>
          <w:tcPr>
            <w:tcW w:w="1547" w:type="dxa"/>
            <w:vAlign w:val="center"/>
          </w:tcPr>
          <w:p w14:paraId="5A0A4470" w14:textId="77777777" w:rsidR="00540416" w:rsidRPr="00D21DD8" w:rsidRDefault="00540416" w:rsidP="00BE6C45">
            <w:pPr>
              <w:spacing w:after="0" w:line="240" w:lineRule="auto"/>
              <w:ind w:hanging="297"/>
              <w:rPr>
                <w:rFonts w:ascii="Cambria" w:eastAsia="Cambria" w:hAnsi="Cambria" w:cs="Cambria"/>
                <w:sz w:val="20"/>
                <w:szCs w:val="20"/>
              </w:rPr>
            </w:pPr>
            <w:r w:rsidRPr="00D21DD8">
              <w:rPr>
                <w:rFonts w:ascii="Cambria" w:eastAsia="Cambria" w:hAnsi="Cambria" w:cs="Cambria"/>
                <w:sz w:val="20"/>
                <w:szCs w:val="20"/>
              </w:rPr>
              <w:t>4</w:t>
            </w:r>
          </w:p>
        </w:tc>
        <w:tc>
          <w:tcPr>
            <w:tcW w:w="1418" w:type="dxa"/>
            <w:vAlign w:val="center"/>
          </w:tcPr>
          <w:p w14:paraId="56F0625D" w14:textId="77777777" w:rsidR="00540416" w:rsidRPr="00D21DD8" w:rsidRDefault="00540416" w:rsidP="00BE6C45">
            <w:pPr>
              <w:spacing w:after="0" w:line="240" w:lineRule="auto"/>
              <w:ind w:left="553" w:right="-485"/>
              <w:rPr>
                <w:rFonts w:ascii="Cambria" w:eastAsia="Cambria" w:hAnsi="Cambria" w:cs="Cambria"/>
                <w:sz w:val="20"/>
                <w:szCs w:val="20"/>
              </w:rPr>
            </w:pPr>
            <w:r w:rsidRPr="00D21DD8">
              <w:rPr>
                <w:rFonts w:ascii="Cambria" w:eastAsia="Cambria" w:hAnsi="Cambria" w:cs="Cambria"/>
                <w:sz w:val="20"/>
                <w:szCs w:val="20"/>
              </w:rPr>
              <w:t>4</w:t>
            </w:r>
          </w:p>
        </w:tc>
      </w:tr>
    </w:tbl>
    <w:p w14:paraId="5A8D2400" w14:textId="77777777" w:rsidR="00540416" w:rsidRPr="00D21DD8" w:rsidRDefault="00540416" w:rsidP="00540416">
      <w:pPr>
        <w:spacing w:before="120" w:after="0" w:line="240" w:lineRule="auto"/>
        <w:ind w:left="1560" w:hanging="709"/>
        <w:rPr>
          <w:rFonts w:ascii="Cambria" w:eastAsia="Cambria" w:hAnsi="Cambria" w:cs="Cambria"/>
        </w:rPr>
      </w:pPr>
    </w:p>
    <w:p w14:paraId="6229EA31" w14:textId="3662F2E3" w:rsidR="00540416" w:rsidRPr="00D21DD8" w:rsidRDefault="00540416" w:rsidP="00BE6C45">
      <w:pPr>
        <w:spacing w:before="120" w:after="0" w:line="240" w:lineRule="auto"/>
        <w:jc w:val="center"/>
        <w:rPr>
          <w:rFonts w:ascii="Cambria" w:eastAsia="Cambria" w:hAnsi="Cambria" w:cs="Cambria"/>
        </w:rPr>
      </w:pPr>
      <w:r w:rsidRPr="00D21DD8">
        <w:rPr>
          <w:rFonts w:ascii="Cambria" w:eastAsia="Cambria" w:hAnsi="Cambria" w:cs="Cambria"/>
          <w:b/>
          <w:color w:val="324680"/>
        </w:rPr>
        <w:t xml:space="preserve">Tabel nr.5 </w:t>
      </w:r>
      <w:r w:rsidRPr="00D21DD8">
        <w:rPr>
          <w:rFonts w:ascii="Cambria" w:eastAsia="Cambria" w:hAnsi="Cambria" w:cs="Cambria"/>
        </w:rPr>
        <w:t xml:space="preserve"> Deciziile de politică monetară aprobate de către Comitetul Executiv al B</w:t>
      </w:r>
      <w:r w:rsidR="00BE6C45" w:rsidRPr="00D21DD8">
        <w:rPr>
          <w:rFonts w:ascii="Cambria" w:eastAsia="Cambria" w:hAnsi="Cambria" w:cs="Cambria"/>
        </w:rPr>
        <w:t>ăncii Naționale</w:t>
      </w:r>
    </w:p>
    <w:p w14:paraId="7D0A4F82" w14:textId="77777777" w:rsidR="00540416" w:rsidRPr="00D21DD8" w:rsidRDefault="00540416" w:rsidP="00540416">
      <w:pPr>
        <w:widowControl w:val="0"/>
        <w:spacing w:after="0" w:line="240" w:lineRule="auto"/>
        <w:ind w:firstLine="851"/>
        <w:jc w:val="both"/>
        <w:rPr>
          <w:rFonts w:ascii="Times New Roman" w:eastAsia="Times New Roman" w:hAnsi="Times New Roman" w:cs="Times New Roman"/>
          <w:b/>
          <w:i/>
          <w:color w:val="000000"/>
          <w:sz w:val="28"/>
          <w:szCs w:val="28"/>
        </w:rPr>
      </w:pPr>
      <w:r w:rsidRPr="00D21DD8">
        <w:rPr>
          <w:noProof/>
        </w:rPr>
        <w:drawing>
          <wp:inline distT="0" distB="0" distL="0" distR="0" wp14:anchorId="619126DA" wp14:editId="188C62EC">
            <wp:extent cx="4681246" cy="2048284"/>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681246" cy="2048284"/>
                    </a:xfrm>
                    <a:prstGeom prst="rect">
                      <a:avLst/>
                    </a:prstGeom>
                    <a:ln/>
                  </pic:spPr>
                </pic:pic>
              </a:graphicData>
            </a:graphic>
          </wp:inline>
        </w:drawing>
      </w:r>
    </w:p>
    <w:p w14:paraId="0F993C25" w14:textId="77777777"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p>
    <w:p w14:paraId="04A50C1F" w14:textId="3198D07A"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În vederea luării unor decizii de către Comitetul executiv al B</w:t>
      </w:r>
      <w:r w:rsidR="00BE6C45" w:rsidRPr="00D21DD8">
        <w:rPr>
          <w:rFonts w:ascii="Times New Roman" w:eastAsia="Times New Roman" w:hAnsi="Times New Roman" w:cs="Times New Roman"/>
          <w:color w:val="000000"/>
          <w:sz w:val="28"/>
          <w:szCs w:val="28"/>
        </w:rPr>
        <w:t>ăncii Naționale</w:t>
      </w:r>
      <w:r w:rsidRPr="00D21DD8">
        <w:rPr>
          <w:rFonts w:ascii="Times New Roman" w:eastAsia="Times New Roman" w:hAnsi="Times New Roman" w:cs="Times New Roman"/>
          <w:color w:val="000000"/>
          <w:sz w:val="28"/>
          <w:szCs w:val="28"/>
        </w:rPr>
        <w:t>, Departamentul politică monetară asigură consultanță în promovarea politicii monetare și de asigurare a transparenței și comunicării politicii monetare a B</w:t>
      </w:r>
      <w:r w:rsidR="00BE6C45" w:rsidRPr="00D21DD8">
        <w:rPr>
          <w:rFonts w:ascii="Times New Roman" w:eastAsia="Times New Roman" w:hAnsi="Times New Roman" w:cs="Times New Roman"/>
          <w:color w:val="000000"/>
          <w:sz w:val="28"/>
          <w:szCs w:val="28"/>
        </w:rPr>
        <w:t>ăncii Naționale</w:t>
      </w:r>
      <w:r w:rsidRPr="00D21DD8">
        <w:rPr>
          <w:rFonts w:ascii="Times New Roman" w:eastAsia="Times New Roman" w:hAnsi="Times New Roman" w:cs="Times New Roman"/>
          <w:color w:val="000000"/>
          <w:sz w:val="28"/>
          <w:szCs w:val="28"/>
        </w:rPr>
        <w:t>. Astfel, Departamentul are ca scop următoarele: propune strategii și tactici de politică monetară și valutară, evaluează efectele implementării aplicării instrumentelor de plată și propune măsuri ale acestor politici.</w:t>
      </w:r>
    </w:p>
    <w:p w14:paraId="4ACEA8F9" w14:textId="3D41DE54"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Întru realizarea obiectivelor sale, Departamentul politică monetară colectează date statistice, elaborează analizele și informațiile necesare, elaborează documentul de politici monetare, prognozează și prezintă Comitetului executiv </w:t>
      </w:r>
      <w:r w:rsidR="00BE6C45" w:rsidRPr="00D21DD8">
        <w:rPr>
          <w:rFonts w:ascii="Times New Roman" w:eastAsia="Times New Roman" w:hAnsi="Times New Roman" w:cs="Times New Roman"/>
          <w:color w:val="000000"/>
          <w:sz w:val="28"/>
          <w:szCs w:val="28"/>
        </w:rPr>
        <w:t xml:space="preserve">al Băncii Naționale </w:t>
      </w:r>
      <w:r w:rsidRPr="00D21DD8">
        <w:rPr>
          <w:rFonts w:ascii="Times New Roman" w:eastAsia="Times New Roman" w:hAnsi="Times New Roman" w:cs="Times New Roman"/>
          <w:color w:val="000000"/>
          <w:sz w:val="28"/>
          <w:szCs w:val="28"/>
        </w:rPr>
        <w:t xml:space="preserve">toate aceste informații.  </w:t>
      </w:r>
    </w:p>
    <w:p w14:paraId="75353CA2" w14:textId="22FB05CC"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În vederea evaluării situației macroeconomice, Banca Națională utilizează un număr mare de indicatori care însumează efectul așteptărilor și anticipărilor procesului inflaționist, astfel se utilizează indicatori precum: </w:t>
      </w:r>
    </w:p>
    <w:p w14:paraId="16640D70" w14:textId="77777777"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Inflația IPC (prețurile produselor de consum alimentar, inflația de bază, prețurile la combustibil, cele reglementare, prețul produselor agricole etc.);</w:t>
      </w:r>
    </w:p>
    <w:p w14:paraId="17643B76" w14:textId="77777777"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Indicatori monetari (cererea și oferta de valută, cursul de schimb valutar, cererea și oferta creditelor, agregatele monetare, piața depozitelor);</w:t>
      </w:r>
    </w:p>
    <w:p w14:paraId="7B49D310" w14:textId="77777777"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Indicatori ce țin de sectorul real (consumul, exportul, importul, produsul intern brut);</w:t>
      </w:r>
    </w:p>
    <w:p w14:paraId="5A330BAA" w14:textId="77777777"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 Indicatori din extern (PIB zona euro, PIB în Federația Rusă, inflația în </w:t>
      </w:r>
      <w:r w:rsidRPr="00D21DD8">
        <w:rPr>
          <w:rFonts w:ascii="Times New Roman" w:eastAsia="Times New Roman" w:hAnsi="Times New Roman" w:cs="Times New Roman"/>
          <w:color w:val="000000"/>
          <w:sz w:val="28"/>
          <w:szCs w:val="28"/>
        </w:rPr>
        <w:lastRenderedPageBreak/>
        <w:t>regiunile din vecinătate, cursul de schimb EUR/USD, prețul petrolului pe piața internațională;</w:t>
      </w:r>
    </w:p>
    <w:p w14:paraId="73536686" w14:textId="77777777" w:rsidR="00540416" w:rsidRPr="00D21DD8" w:rsidRDefault="00540416" w:rsidP="00540416">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Alți indicatori ca datoria publică, privată, creditarea, indicatori ai sistemului de plăți, operațiunile de plată, remitențele, prognoze și tendințe.</w:t>
      </w:r>
    </w:p>
    <w:p w14:paraId="50A3EDF6" w14:textId="4D5B184F" w:rsidR="00222D3B" w:rsidRPr="00D21DD8" w:rsidRDefault="00222D3B" w:rsidP="001D19A3">
      <w:pPr>
        <w:spacing w:after="0"/>
        <w:ind w:firstLine="567"/>
        <w:rPr>
          <w:rFonts w:ascii="Times New Roman" w:hAnsi="Times New Roman" w:cs="Times New Roman"/>
          <w:b/>
          <w:sz w:val="28"/>
        </w:rPr>
      </w:pPr>
    </w:p>
    <w:p w14:paraId="0B8A50E2" w14:textId="77777777" w:rsidR="00115CD6" w:rsidRPr="00D21DD8" w:rsidRDefault="00115CD6" w:rsidP="00115CD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i/>
          <w:color w:val="000000"/>
          <w:sz w:val="28"/>
          <w:szCs w:val="28"/>
          <w:u w:val="single"/>
        </w:rPr>
      </w:pPr>
      <w:r w:rsidRPr="00D21DD8">
        <w:rPr>
          <w:rFonts w:ascii="Times New Roman" w:eastAsia="Times New Roman" w:hAnsi="Times New Roman" w:cs="Times New Roman"/>
          <w:i/>
          <w:color w:val="000000"/>
          <w:sz w:val="28"/>
          <w:szCs w:val="28"/>
          <w:u w:val="single"/>
        </w:rPr>
        <w:t>3.3 Evoluția prețurilor de consum pe parcursul ultimelor 18 luni</w:t>
      </w:r>
    </w:p>
    <w:p w14:paraId="544DA95E" w14:textId="77777777" w:rsidR="00115CD6" w:rsidRPr="00D21DD8" w:rsidRDefault="00115CD6" w:rsidP="00115CD6">
      <w:pPr>
        <w:widowControl w:val="0"/>
        <w:pBdr>
          <w:top w:val="nil"/>
          <w:left w:val="nil"/>
          <w:bottom w:val="nil"/>
          <w:right w:val="nil"/>
          <w:between w:val="nil"/>
        </w:pBdr>
        <w:spacing w:after="0" w:line="240" w:lineRule="auto"/>
        <w:ind w:left="720" w:firstLine="708"/>
        <w:jc w:val="both"/>
        <w:rPr>
          <w:rFonts w:ascii="Times New Roman" w:eastAsia="Times New Roman" w:hAnsi="Times New Roman" w:cs="Times New Roman"/>
          <w:color w:val="000000"/>
          <w:sz w:val="28"/>
          <w:szCs w:val="28"/>
        </w:rPr>
      </w:pPr>
    </w:p>
    <w:p w14:paraId="42676EFD" w14:textId="2CF1EDD3" w:rsidR="00115CD6" w:rsidRPr="00D21DD8" w:rsidRDefault="00115CD6" w:rsidP="00115CD6">
      <w:pPr>
        <w:widowControl w:val="0"/>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Conform datelor Biroul Național de Statistică, prețurile medii de consum în luna ianuarie 2022 comparativ cu luna ianuarie 2021 (în ultimele 12 luni) au crescut cu 16,56%, inclusiv la produse alimentare cu 21,05%, mărfuri nealimentare cu 13,37% și servicii prestate populației cu 14,80%. Prețurile medii de consum în luna mai 2022 </w:t>
      </w:r>
      <w:proofErr w:type="spellStart"/>
      <w:r w:rsidRPr="00D21DD8">
        <w:rPr>
          <w:rFonts w:ascii="Times New Roman" w:eastAsia="Times New Roman" w:hAnsi="Times New Roman" w:cs="Times New Roman"/>
          <w:color w:val="000000"/>
          <w:sz w:val="28"/>
          <w:szCs w:val="28"/>
        </w:rPr>
        <w:t>faţă</w:t>
      </w:r>
      <w:proofErr w:type="spellEnd"/>
      <w:r w:rsidRPr="00D21DD8">
        <w:rPr>
          <w:rFonts w:ascii="Times New Roman" w:eastAsia="Times New Roman" w:hAnsi="Times New Roman" w:cs="Times New Roman"/>
          <w:color w:val="000000"/>
          <w:sz w:val="28"/>
          <w:szCs w:val="28"/>
        </w:rPr>
        <w:t xml:space="preserve"> de luna aprilie 2022 au crescut cu 2,04%, (în luna mai 2021 comparativ cu luna mai 2020 au crescut cu 3,09%). Creșterea </w:t>
      </w:r>
      <w:proofErr w:type="spellStart"/>
      <w:r w:rsidRPr="00D21DD8">
        <w:rPr>
          <w:rFonts w:ascii="Times New Roman" w:eastAsia="Times New Roman" w:hAnsi="Times New Roman" w:cs="Times New Roman"/>
          <w:color w:val="000000"/>
          <w:sz w:val="28"/>
          <w:szCs w:val="28"/>
        </w:rPr>
        <w:t>preţurilor</w:t>
      </w:r>
      <w:proofErr w:type="spellEnd"/>
      <w:r w:rsidRPr="00D21DD8">
        <w:rPr>
          <w:rFonts w:ascii="Times New Roman" w:eastAsia="Times New Roman" w:hAnsi="Times New Roman" w:cs="Times New Roman"/>
          <w:color w:val="000000"/>
          <w:sz w:val="28"/>
          <w:szCs w:val="28"/>
        </w:rPr>
        <w:t xml:space="preserve"> medii de consum a fost determinată de majorarea </w:t>
      </w:r>
      <w:proofErr w:type="spellStart"/>
      <w:r w:rsidRPr="00D21DD8">
        <w:rPr>
          <w:rFonts w:ascii="Times New Roman" w:eastAsia="Times New Roman" w:hAnsi="Times New Roman" w:cs="Times New Roman"/>
          <w:color w:val="000000"/>
          <w:sz w:val="28"/>
          <w:szCs w:val="28"/>
        </w:rPr>
        <w:t>preţurilor</w:t>
      </w:r>
      <w:proofErr w:type="spellEnd"/>
      <w:r w:rsidRPr="00D21DD8">
        <w:rPr>
          <w:rFonts w:ascii="Times New Roman" w:eastAsia="Times New Roman" w:hAnsi="Times New Roman" w:cs="Times New Roman"/>
          <w:color w:val="000000"/>
          <w:sz w:val="28"/>
          <w:szCs w:val="28"/>
        </w:rPr>
        <w:t xml:space="preserve"> la produsele alimentare cu 2,50%, la mărfurile nealimentare cu 2,48% și la serviciile prestate populației cu 0,75%.</w:t>
      </w:r>
    </w:p>
    <w:p w14:paraId="6DCEA347" w14:textId="481CDC65" w:rsidR="001D22B6" w:rsidRPr="00D21DD8" w:rsidRDefault="001D22B6" w:rsidP="001D22B6">
      <w:pPr>
        <w:widowControl w:val="0"/>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rPr>
        <w:t>P</w:t>
      </w:r>
      <w:proofErr w:type="spellStart"/>
      <w:r w:rsidRPr="00D21DD8">
        <w:rPr>
          <w:rFonts w:ascii="Times New Roman" w:eastAsia="Times New Roman" w:hAnsi="Times New Roman" w:cs="Times New Roman"/>
          <w:color w:val="000000"/>
          <w:sz w:val="28"/>
          <w:szCs w:val="28"/>
          <w:lang w:val="ro-MD"/>
        </w:rPr>
        <w:t>reţurile</w:t>
      </w:r>
      <w:proofErr w:type="spellEnd"/>
      <w:r w:rsidRPr="00D21DD8">
        <w:rPr>
          <w:rFonts w:ascii="Times New Roman" w:eastAsia="Times New Roman" w:hAnsi="Times New Roman" w:cs="Times New Roman"/>
          <w:color w:val="000000"/>
          <w:sz w:val="28"/>
          <w:szCs w:val="28"/>
          <w:lang w:val="ro-MD"/>
        </w:rPr>
        <w:t xml:space="preserve"> medii de consum </w:t>
      </w:r>
      <w:r w:rsidRPr="00D21DD8">
        <w:rPr>
          <w:rFonts w:ascii="Times New Roman" w:eastAsia="Times New Roman" w:hAnsi="Times New Roman" w:cs="Times New Roman"/>
          <w:bCs/>
          <w:color w:val="000000"/>
          <w:sz w:val="28"/>
          <w:szCs w:val="28"/>
          <w:lang w:val="ro-MD"/>
        </w:rPr>
        <w:t xml:space="preserve">în luna iunie 2022 </w:t>
      </w:r>
      <w:proofErr w:type="spellStart"/>
      <w:r w:rsidRPr="00D21DD8">
        <w:rPr>
          <w:rFonts w:ascii="Times New Roman" w:eastAsia="Times New Roman" w:hAnsi="Times New Roman" w:cs="Times New Roman"/>
          <w:bCs/>
          <w:color w:val="000000"/>
          <w:sz w:val="28"/>
          <w:szCs w:val="28"/>
          <w:lang w:val="ro-MD"/>
        </w:rPr>
        <w:t>faţă</w:t>
      </w:r>
      <w:proofErr w:type="spellEnd"/>
      <w:r w:rsidRPr="00D21DD8">
        <w:rPr>
          <w:rFonts w:ascii="Times New Roman" w:eastAsia="Times New Roman" w:hAnsi="Times New Roman" w:cs="Times New Roman"/>
          <w:bCs/>
          <w:color w:val="000000"/>
          <w:sz w:val="28"/>
          <w:szCs w:val="28"/>
          <w:lang w:val="ro-MD"/>
        </w:rPr>
        <w:t xml:space="preserve"> de luna mai 2022 </w:t>
      </w:r>
      <w:r w:rsidRPr="00D21DD8">
        <w:rPr>
          <w:rFonts w:ascii="Times New Roman" w:eastAsia="Times New Roman" w:hAnsi="Times New Roman" w:cs="Times New Roman"/>
          <w:color w:val="000000"/>
          <w:sz w:val="28"/>
          <w:szCs w:val="28"/>
          <w:lang w:val="ro-MD"/>
        </w:rPr>
        <w:t>au crescut cu</w:t>
      </w:r>
      <w:r w:rsidRPr="00D21DD8">
        <w:rPr>
          <w:rFonts w:ascii="Times New Roman" w:eastAsia="Times New Roman" w:hAnsi="Times New Roman" w:cs="Times New Roman"/>
          <w:bCs/>
          <w:color w:val="000000"/>
          <w:sz w:val="28"/>
          <w:szCs w:val="28"/>
          <w:lang w:val="ro-MD"/>
        </w:rPr>
        <w:t> 2,21%</w:t>
      </w:r>
      <w:r w:rsidRPr="00D21DD8">
        <w:rPr>
          <w:rFonts w:ascii="Times New Roman" w:eastAsia="Times New Roman" w:hAnsi="Times New Roman" w:cs="Times New Roman"/>
          <w:color w:val="000000"/>
          <w:sz w:val="28"/>
          <w:szCs w:val="28"/>
          <w:lang w:val="ro-MD"/>
        </w:rPr>
        <w:t xml:space="preserve">. Creșterea </w:t>
      </w:r>
      <w:proofErr w:type="spellStart"/>
      <w:r w:rsidRPr="00D21DD8">
        <w:rPr>
          <w:rFonts w:ascii="Times New Roman" w:eastAsia="Times New Roman" w:hAnsi="Times New Roman" w:cs="Times New Roman"/>
          <w:color w:val="000000"/>
          <w:sz w:val="28"/>
          <w:szCs w:val="28"/>
          <w:lang w:val="ro-MD"/>
        </w:rPr>
        <w:t>preţurilor</w:t>
      </w:r>
      <w:proofErr w:type="spellEnd"/>
      <w:r w:rsidRPr="00D21DD8">
        <w:rPr>
          <w:rFonts w:ascii="Times New Roman" w:eastAsia="Times New Roman" w:hAnsi="Times New Roman" w:cs="Times New Roman"/>
          <w:color w:val="000000"/>
          <w:sz w:val="28"/>
          <w:szCs w:val="28"/>
          <w:lang w:val="ro-MD"/>
        </w:rPr>
        <w:t xml:space="preserve"> medii de consum a fost determinată de majorarea </w:t>
      </w:r>
      <w:proofErr w:type="spellStart"/>
      <w:r w:rsidRPr="00D21DD8">
        <w:rPr>
          <w:rFonts w:ascii="Times New Roman" w:eastAsia="Times New Roman" w:hAnsi="Times New Roman" w:cs="Times New Roman"/>
          <w:color w:val="000000"/>
          <w:sz w:val="28"/>
          <w:szCs w:val="28"/>
          <w:lang w:val="ro-MD"/>
        </w:rPr>
        <w:t>preţurilor</w:t>
      </w:r>
      <w:proofErr w:type="spellEnd"/>
      <w:r w:rsidRPr="00D21DD8">
        <w:rPr>
          <w:rFonts w:ascii="Times New Roman" w:eastAsia="Times New Roman" w:hAnsi="Times New Roman" w:cs="Times New Roman"/>
          <w:color w:val="000000"/>
          <w:sz w:val="28"/>
          <w:szCs w:val="28"/>
          <w:lang w:val="ro-MD"/>
        </w:rPr>
        <w:t xml:space="preserve"> la produsele alimentare cu 0,57%, la mărfurile nealimentare cu 2,35% și la serviciile prestate populației cu 4,31% .</w:t>
      </w:r>
    </w:p>
    <w:p w14:paraId="582B7366" w14:textId="2B27ADD5" w:rsidR="001D22B6" w:rsidRPr="00D21DD8" w:rsidRDefault="001D22B6" w:rsidP="001D22B6">
      <w:pPr>
        <w:widowControl w:val="0"/>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 xml:space="preserve">În luna iunie </w:t>
      </w:r>
      <w:proofErr w:type="spellStart"/>
      <w:r w:rsidRPr="00D21DD8">
        <w:rPr>
          <w:rFonts w:ascii="Times New Roman" w:eastAsia="Times New Roman" w:hAnsi="Times New Roman" w:cs="Times New Roman"/>
          <w:color w:val="000000"/>
          <w:sz w:val="28"/>
          <w:szCs w:val="28"/>
          <w:lang w:val="ro-MD"/>
        </w:rPr>
        <w:t>faţă</w:t>
      </w:r>
      <w:proofErr w:type="spellEnd"/>
      <w:r w:rsidRPr="00D21DD8">
        <w:rPr>
          <w:rFonts w:ascii="Times New Roman" w:eastAsia="Times New Roman" w:hAnsi="Times New Roman" w:cs="Times New Roman"/>
          <w:color w:val="000000"/>
          <w:sz w:val="28"/>
          <w:szCs w:val="28"/>
          <w:lang w:val="ro-MD"/>
        </w:rPr>
        <w:t xml:space="preserve"> de mai curent, </w:t>
      </w:r>
      <w:r w:rsidRPr="00D21DD8">
        <w:rPr>
          <w:rFonts w:ascii="Times New Roman" w:eastAsia="Times New Roman" w:hAnsi="Times New Roman" w:cs="Times New Roman"/>
          <w:bCs/>
          <w:color w:val="000000"/>
          <w:sz w:val="28"/>
          <w:szCs w:val="28"/>
          <w:lang w:val="ro-MD"/>
        </w:rPr>
        <w:t>creșteri</w:t>
      </w:r>
      <w:r w:rsidRPr="00D21DD8">
        <w:rPr>
          <w:rFonts w:ascii="Times New Roman" w:eastAsia="Times New Roman" w:hAnsi="Times New Roman" w:cs="Times New Roman"/>
          <w:color w:val="000000"/>
          <w:sz w:val="28"/>
          <w:szCs w:val="28"/>
          <w:lang w:val="ro-MD"/>
        </w:rPr>
        <w:t> mai accentuate au fost marcate la următoarele </w:t>
      </w:r>
      <w:r w:rsidRPr="00D21DD8">
        <w:rPr>
          <w:rFonts w:ascii="Times New Roman" w:eastAsia="Times New Roman" w:hAnsi="Times New Roman" w:cs="Times New Roman"/>
          <w:bCs/>
          <w:color w:val="000000"/>
          <w:sz w:val="28"/>
          <w:szCs w:val="28"/>
          <w:lang w:val="ro-MD"/>
        </w:rPr>
        <w:t>produse alimentare</w:t>
      </w:r>
      <w:r w:rsidRPr="00D21DD8">
        <w:rPr>
          <w:rFonts w:ascii="Times New Roman" w:eastAsia="Times New Roman" w:hAnsi="Times New Roman" w:cs="Times New Roman"/>
          <w:color w:val="000000"/>
          <w:sz w:val="28"/>
          <w:szCs w:val="28"/>
          <w:lang w:val="ro-MD"/>
        </w:rPr>
        <w:t>: zahăr – cu 6,5%, pâine din făină de grâu – cu 3,9%, fructe proaspete – cu 2,9% </w:t>
      </w:r>
      <w:r w:rsidRPr="00D21DD8">
        <w:rPr>
          <w:rFonts w:ascii="Times New Roman" w:eastAsia="Times New Roman" w:hAnsi="Times New Roman" w:cs="Times New Roman"/>
          <w:iCs/>
          <w:color w:val="000000"/>
          <w:sz w:val="28"/>
          <w:szCs w:val="28"/>
          <w:lang w:val="ro-MD"/>
        </w:rPr>
        <w:t>(în special la citrice – cu 14,1%)</w:t>
      </w:r>
      <w:r w:rsidRPr="00D21DD8">
        <w:rPr>
          <w:rFonts w:ascii="Times New Roman" w:eastAsia="Times New Roman" w:hAnsi="Times New Roman" w:cs="Times New Roman"/>
          <w:color w:val="000000"/>
          <w:sz w:val="28"/>
          <w:szCs w:val="28"/>
          <w:lang w:val="ro-MD"/>
        </w:rPr>
        <w:t>. Totodată, în perioada de raport au fost înregistrate </w:t>
      </w:r>
      <w:r w:rsidRPr="00D21DD8">
        <w:rPr>
          <w:rFonts w:ascii="Times New Roman" w:eastAsia="Times New Roman" w:hAnsi="Times New Roman" w:cs="Times New Roman"/>
          <w:bCs/>
          <w:color w:val="000000"/>
          <w:sz w:val="28"/>
          <w:szCs w:val="28"/>
          <w:lang w:val="ro-MD"/>
        </w:rPr>
        <w:t>reduceri </w:t>
      </w:r>
      <w:r w:rsidRPr="00D21DD8">
        <w:rPr>
          <w:rFonts w:ascii="Times New Roman" w:eastAsia="Times New Roman" w:hAnsi="Times New Roman" w:cs="Times New Roman"/>
          <w:color w:val="000000"/>
          <w:sz w:val="28"/>
          <w:szCs w:val="28"/>
          <w:lang w:val="ro-MD"/>
        </w:rPr>
        <w:t>de</w:t>
      </w:r>
      <w:r w:rsidRPr="00D21DD8">
        <w:rPr>
          <w:rFonts w:ascii="Times New Roman" w:eastAsia="Times New Roman" w:hAnsi="Times New Roman" w:cs="Times New Roman"/>
          <w:bCs/>
          <w:color w:val="000000"/>
          <w:sz w:val="28"/>
          <w:szCs w:val="28"/>
          <w:lang w:val="ro-MD"/>
        </w:rPr>
        <w:t> </w:t>
      </w:r>
      <w:proofErr w:type="spellStart"/>
      <w:r w:rsidRPr="00D21DD8">
        <w:rPr>
          <w:rFonts w:ascii="Times New Roman" w:eastAsia="Times New Roman" w:hAnsi="Times New Roman" w:cs="Times New Roman"/>
          <w:color w:val="000000"/>
          <w:sz w:val="28"/>
          <w:szCs w:val="28"/>
          <w:lang w:val="ro-MD"/>
        </w:rPr>
        <w:t>preţ</w:t>
      </w:r>
      <w:proofErr w:type="spellEnd"/>
      <w:r w:rsidRPr="00D21DD8">
        <w:rPr>
          <w:rFonts w:ascii="Times New Roman" w:eastAsia="Times New Roman" w:hAnsi="Times New Roman" w:cs="Times New Roman"/>
          <w:color w:val="000000"/>
          <w:sz w:val="28"/>
          <w:szCs w:val="28"/>
          <w:lang w:val="ro-MD"/>
        </w:rPr>
        <w:t xml:space="preserve"> la: legume – în medie cu 9,9% </w:t>
      </w:r>
      <w:r w:rsidRPr="00D21DD8">
        <w:rPr>
          <w:rFonts w:ascii="Times New Roman" w:eastAsia="Times New Roman" w:hAnsi="Times New Roman" w:cs="Times New Roman"/>
          <w:iCs/>
          <w:color w:val="000000"/>
          <w:sz w:val="28"/>
          <w:szCs w:val="28"/>
          <w:lang w:val="ro-MD"/>
        </w:rPr>
        <w:t>(inclusiv la: castraveți cu 31,3%, tomate – cu 20,8%, varză – cu 19,9%),</w:t>
      </w:r>
      <w:r w:rsidRPr="00D21DD8">
        <w:rPr>
          <w:rFonts w:ascii="Times New Roman" w:eastAsia="Times New Roman" w:hAnsi="Times New Roman" w:cs="Times New Roman"/>
          <w:color w:val="000000"/>
          <w:sz w:val="28"/>
          <w:szCs w:val="28"/>
          <w:lang w:val="ro-MD"/>
        </w:rPr>
        <w:t> ulei vegetal – cu 7,4%, </w:t>
      </w:r>
      <w:r w:rsidRPr="00D21DD8">
        <w:rPr>
          <w:rFonts w:ascii="Times New Roman" w:eastAsia="Times New Roman" w:hAnsi="Times New Roman" w:cs="Times New Roman"/>
          <w:iCs/>
          <w:color w:val="000000"/>
          <w:sz w:val="28"/>
          <w:szCs w:val="28"/>
          <w:lang w:val="ro-MD"/>
        </w:rPr>
        <w:t>contribuind împreună la atenuarea creșterii prețurilor medii de consum cu cca 0,4%.</w:t>
      </w:r>
    </w:p>
    <w:p w14:paraId="3E970F6C" w14:textId="6E0F46B6" w:rsidR="001D22B6" w:rsidRPr="00D21DD8" w:rsidRDefault="001D22B6" w:rsidP="001D22B6">
      <w:pPr>
        <w:widowControl w:val="0"/>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vertAlign w:val="superscript"/>
          <w:lang w:val="ro-MD"/>
        </w:rPr>
      </w:pPr>
      <w:r w:rsidRPr="00D21DD8">
        <w:rPr>
          <w:rFonts w:ascii="Times New Roman" w:eastAsia="Times New Roman" w:hAnsi="Times New Roman" w:cs="Times New Roman"/>
          <w:color w:val="000000"/>
          <w:sz w:val="28"/>
          <w:szCs w:val="28"/>
          <w:lang w:val="ro-MD"/>
        </w:rPr>
        <w:t>La </w:t>
      </w:r>
      <w:r w:rsidRPr="00D21DD8">
        <w:rPr>
          <w:rFonts w:ascii="Times New Roman" w:eastAsia="Times New Roman" w:hAnsi="Times New Roman" w:cs="Times New Roman"/>
          <w:bCs/>
          <w:color w:val="000000"/>
          <w:sz w:val="28"/>
          <w:szCs w:val="28"/>
          <w:lang w:val="ro-MD"/>
        </w:rPr>
        <w:t>mărfurile nealimentare</w:t>
      </w:r>
      <w:r w:rsidRPr="00D21DD8">
        <w:rPr>
          <w:rFonts w:ascii="Times New Roman" w:eastAsia="Times New Roman" w:hAnsi="Times New Roman" w:cs="Times New Roman"/>
          <w:color w:val="000000"/>
          <w:sz w:val="28"/>
          <w:szCs w:val="28"/>
          <w:lang w:val="ro-MD"/>
        </w:rPr>
        <w:t>, în luna iunie față de mai 2022 au fost înregistrate creșteri</w:t>
      </w:r>
      <w:r w:rsidRPr="00D21DD8">
        <w:rPr>
          <w:rFonts w:ascii="Times New Roman" w:eastAsia="Times New Roman" w:hAnsi="Times New Roman" w:cs="Times New Roman"/>
          <w:bCs/>
          <w:color w:val="000000"/>
          <w:sz w:val="28"/>
          <w:szCs w:val="28"/>
          <w:lang w:val="ro-MD"/>
        </w:rPr>
        <w:t> </w:t>
      </w:r>
      <w:r w:rsidRPr="00D21DD8">
        <w:rPr>
          <w:rFonts w:ascii="Times New Roman" w:eastAsia="Times New Roman" w:hAnsi="Times New Roman" w:cs="Times New Roman"/>
          <w:color w:val="000000"/>
          <w:sz w:val="28"/>
          <w:szCs w:val="28"/>
          <w:lang w:val="ro-MD"/>
        </w:rPr>
        <w:t>mai</w:t>
      </w:r>
      <w:r w:rsidRPr="00D21DD8">
        <w:rPr>
          <w:rFonts w:ascii="Times New Roman" w:eastAsia="Times New Roman" w:hAnsi="Times New Roman" w:cs="Times New Roman"/>
          <w:bCs/>
          <w:color w:val="000000"/>
          <w:sz w:val="28"/>
          <w:szCs w:val="28"/>
          <w:lang w:val="ro-MD"/>
        </w:rPr>
        <w:t> </w:t>
      </w:r>
      <w:r w:rsidRPr="00D21DD8">
        <w:rPr>
          <w:rFonts w:ascii="Times New Roman" w:eastAsia="Times New Roman" w:hAnsi="Times New Roman" w:cs="Times New Roman"/>
          <w:color w:val="000000"/>
          <w:sz w:val="28"/>
          <w:szCs w:val="28"/>
          <w:lang w:val="ro-MD"/>
        </w:rPr>
        <w:t>semnificative de preț la combustibili și carburanți – cu 9,3% </w:t>
      </w:r>
      <w:r w:rsidRPr="00D21DD8">
        <w:rPr>
          <w:rFonts w:ascii="Times New Roman" w:eastAsia="Times New Roman" w:hAnsi="Times New Roman" w:cs="Times New Roman"/>
          <w:i/>
          <w:iCs/>
          <w:color w:val="000000"/>
          <w:sz w:val="28"/>
          <w:szCs w:val="28"/>
          <w:lang w:val="ro-MD"/>
        </w:rPr>
        <w:t>(inclusiv la motorină și benzină cu cca 12,5%), cauzând creșterea prețurilor medii de consum cu peste 0,5%.</w:t>
      </w:r>
      <w:r w:rsidRPr="00D21DD8">
        <w:rPr>
          <w:rFonts w:ascii="Times New Roman" w:eastAsia="Times New Roman" w:hAnsi="Times New Roman" w:cs="Times New Roman"/>
          <w:color w:val="000000"/>
          <w:sz w:val="28"/>
          <w:szCs w:val="28"/>
          <w:lang w:val="ro-MD"/>
        </w:rPr>
        <w:t xml:space="preserve"> Creșteri mai accentuate a prețurilor (tarifelor) la </w:t>
      </w:r>
      <w:r w:rsidRPr="00D21DD8">
        <w:rPr>
          <w:rFonts w:ascii="Times New Roman" w:eastAsia="Times New Roman" w:hAnsi="Times New Roman" w:cs="Times New Roman"/>
          <w:bCs/>
          <w:color w:val="000000"/>
          <w:sz w:val="28"/>
          <w:szCs w:val="28"/>
          <w:lang w:val="ro-MD"/>
        </w:rPr>
        <w:t>serviciile prestate populației</w:t>
      </w:r>
      <w:r w:rsidRPr="00D21DD8">
        <w:rPr>
          <w:rFonts w:ascii="Times New Roman" w:eastAsia="Times New Roman" w:hAnsi="Times New Roman" w:cs="Times New Roman"/>
          <w:color w:val="000000"/>
          <w:sz w:val="28"/>
          <w:szCs w:val="28"/>
          <w:lang w:val="ro-MD"/>
        </w:rPr>
        <w:t xml:space="preserve"> în luna iunie 2022 </w:t>
      </w:r>
      <w:proofErr w:type="spellStart"/>
      <w:r w:rsidRPr="00D21DD8">
        <w:rPr>
          <w:rFonts w:ascii="Times New Roman" w:eastAsia="Times New Roman" w:hAnsi="Times New Roman" w:cs="Times New Roman"/>
          <w:color w:val="000000"/>
          <w:sz w:val="28"/>
          <w:szCs w:val="28"/>
          <w:lang w:val="ro-MD"/>
        </w:rPr>
        <w:t>faţă</w:t>
      </w:r>
      <w:proofErr w:type="spellEnd"/>
      <w:r w:rsidRPr="00D21DD8">
        <w:rPr>
          <w:rFonts w:ascii="Times New Roman" w:eastAsia="Times New Roman" w:hAnsi="Times New Roman" w:cs="Times New Roman"/>
          <w:color w:val="000000"/>
          <w:sz w:val="28"/>
          <w:szCs w:val="28"/>
          <w:lang w:val="ro-MD"/>
        </w:rPr>
        <w:t xml:space="preserve"> de luna mai 2022 au fost înregistrate la gaze naturale - cu 22,7% și la furnizarea energiei electrice - cu 13,1%, </w:t>
      </w:r>
      <w:r w:rsidRPr="00D21DD8">
        <w:rPr>
          <w:rFonts w:ascii="Times New Roman" w:eastAsia="Times New Roman" w:hAnsi="Times New Roman" w:cs="Times New Roman"/>
          <w:i/>
          <w:iCs/>
          <w:color w:val="000000"/>
          <w:sz w:val="28"/>
          <w:szCs w:val="28"/>
          <w:lang w:val="ro-MD"/>
        </w:rPr>
        <w:t>generând împreună creșterea prețurilor medii de consum cu peste 0,8%.</w:t>
      </w:r>
    </w:p>
    <w:p w14:paraId="583D80A2" w14:textId="52CC968B" w:rsidR="001D22B6" w:rsidRPr="00D21DD8" w:rsidRDefault="001D22B6" w:rsidP="00115CD6">
      <w:pPr>
        <w:widowControl w:val="0"/>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Prețurile medii de consum în luna iunie 2022 comparativ cu luna decembrie 2021 (de la începutul anului curent) au crescut cu 20,17%, inclusiv la produse alimentare cu 21,50%, mărfuri nealimentare cu 14,89% și la servicii prestate populației cu 25,97%</w:t>
      </w:r>
    </w:p>
    <w:p w14:paraId="54D70C4C" w14:textId="346220D4" w:rsidR="00115CD6" w:rsidRPr="00D21DD8" w:rsidRDefault="003144D4" w:rsidP="001D22B6">
      <w:pPr>
        <w:widowControl w:val="0"/>
        <w:spacing w:after="0" w:line="240" w:lineRule="auto"/>
        <w:ind w:firstLine="708"/>
        <w:jc w:val="both"/>
        <w:rPr>
          <w:rFonts w:ascii="Times New Roman" w:hAnsi="Times New Roman" w:cs="Times New Roman"/>
          <w:sz w:val="28"/>
        </w:rPr>
      </w:pPr>
      <w:r w:rsidRPr="00D21DD8">
        <w:rPr>
          <w:rFonts w:ascii="Times New Roman" w:hAnsi="Times New Roman" w:cs="Times New Roman"/>
          <w:sz w:val="28"/>
        </w:rPr>
        <w:t>Datele disponibile privind rata lunară a inflației pentru luna iunie a.c. în unele țări din regiune sunt prezentate în Figura 4.</w:t>
      </w:r>
    </w:p>
    <w:p w14:paraId="13FA8AFA" w14:textId="37767088" w:rsidR="001D22B6" w:rsidRPr="00D21DD8" w:rsidRDefault="003144D4" w:rsidP="001D22B6">
      <w:pPr>
        <w:widowControl w:val="0"/>
        <w:spacing w:after="0" w:line="240" w:lineRule="auto"/>
        <w:ind w:firstLine="708"/>
        <w:jc w:val="both"/>
        <w:rPr>
          <w:rFonts w:ascii="Times New Roman" w:hAnsi="Times New Roman" w:cs="Times New Roman"/>
          <w:sz w:val="28"/>
        </w:rPr>
      </w:pPr>
      <w:r w:rsidRPr="00D21DD8">
        <w:rPr>
          <w:rFonts w:ascii="Times New Roman" w:hAnsi="Times New Roman" w:cs="Times New Roman"/>
          <w:sz w:val="28"/>
        </w:rPr>
        <w:t>Astfel, inflația în luna iunie față de luna mai a.c. în Republica Moldova (2,2%) a fost sub nivelul inflației înregistrate în Turcia (4,9%), Ucraina (3,1%), Slovenia și Estonia (2,7%) și Letonia (2,4%), totodată depășind nivelul inflației marcate în alte țări analizate: Spania (1,8%), Polonia și Ungaria (1,5%), Austria (1,4%), Italia (1,2%), Belgia, Portugalia, Franța, Germania – sub 1 la sută.</w:t>
      </w:r>
    </w:p>
    <w:p w14:paraId="2EA4809E" w14:textId="34552EFC" w:rsidR="00115CD6" w:rsidRPr="00D21DD8" w:rsidRDefault="001D22B6" w:rsidP="00115CD6">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noProof/>
          <w:color w:val="000000"/>
          <w:sz w:val="28"/>
          <w:szCs w:val="28"/>
        </w:rPr>
        <w:lastRenderedPageBreak/>
        <w:drawing>
          <wp:inline distT="0" distB="0" distL="0" distR="0" wp14:anchorId="42F84932" wp14:editId="5B44A5F0">
            <wp:extent cx="5829300" cy="3019425"/>
            <wp:effectExtent l="19050" t="19050" r="1905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PC_iunie_2022_4.png"/>
                    <pic:cNvPicPr/>
                  </pic:nvPicPr>
                  <pic:blipFill>
                    <a:blip r:embed="rId15">
                      <a:extLst>
                        <a:ext uri="{28A0092B-C50C-407E-A947-70E740481C1C}">
                          <a14:useLocalDpi xmlns:a14="http://schemas.microsoft.com/office/drawing/2010/main" val="0"/>
                        </a:ext>
                      </a:extLst>
                    </a:blip>
                    <a:stretch>
                      <a:fillRect/>
                    </a:stretch>
                  </pic:blipFill>
                  <pic:spPr>
                    <a:xfrm>
                      <a:off x="0" y="0"/>
                      <a:ext cx="5830113" cy="3019846"/>
                    </a:xfrm>
                    <a:prstGeom prst="rect">
                      <a:avLst/>
                    </a:prstGeom>
                    <a:ln w="12700">
                      <a:solidFill>
                        <a:schemeClr val="tx1"/>
                      </a:solidFill>
                    </a:ln>
                  </pic:spPr>
                </pic:pic>
              </a:graphicData>
            </a:graphic>
          </wp:inline>
        </w:drawing>
      </w:r>
    </w:p>
    <w:p w14:paraId="04695CCB" w14:textId="739ECA57" w:rsidR="00115CD6" w:rsidRPr="00D21DD8" w:rsidRDefault="001D22B6" w:rsidP="00115CD6">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Cs w:val="28"/>
        </w:rPr>
      </w:pPr>
      <w:r w:rsidRPr="00D21DD8">
        <w:rPr>
          <w:rFonts w:ascii="Times New Roman" w:eastAsia="Times New Roman" w:hAnsi="Times New Roman" w:cs="Times New Roman"/>
          <w:i/>
          <w:color w:val="000000"/>
          <w:szCs w:val="28"/>
        </w:rPr>
        <w:t>Sursa: BNS</w:t>
      </w:r>
    </w:p>
    <w:p w14:paraId="2DC569DC" w14:textId="77777777" w:rsidR="003144D4" w:rsidRPr="00D21DD8" w:rsidRDefault="003144D4" w:rsidP="00115CD6">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Cs w:val="28"/>
        </w:rPr>
      </w:pPr>
    </w:p>
    <w:p w14:paraId="77E6FFBE" w14:textId="77777777" w:rsidR="00115CD6" w:rsidRPr="00D21DD8" w:rsidRDefault="00115CD6" w:rsidP="00115CD6">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Inflația reprezintă un fenomen dinamic. De obicei, se referă la creșteri persistente ale nivelului unui indice de preț al bunurilor și serviciilor. Astfel de indici sunt: </w:t>
      </w:r>
    </w:p>
    <w:p w14:paraId="73EE1943" w14:textId="77777777" w:rsidR="00115CD6" w:rsidRPr="00D21DD8" w:rsidRDefault="00115CD6" w:rsidP="00115CD6">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a) Indicele prețurilor de consum care este indicele cel mai des citat. Evoluția sa în timp  reflectă o creștere a  prețului coșului de bunuri și servicii al unei gospodării medii din economie.</w:t>
      </w:r>
    </w:p>
    <w:p w14:paraId="104C23E4" w14:textId="77777777" w:rsidR="00115CD6" w:rsidRPr="00D21DD8" w:rsidRDefault="00115CD6" w:rsidP="00115CD6">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b) Indicele prețurilor de producție, a cărui evoluție măsoară variația medie a prețurilor primite de producătorii interni pentru producția lor. Deoarece de obicei există un interval de timp când majorarea prețurilor de producție este alimentată de prețurile de consum, evoluția indicelui prețurilor de producție este frecvent utilizată ca un indicator al inflației viitoare a prețurilor de consum. </w:t>
      </w:r>
    </w:p>
    <w:p w14:paraId="5409A1BE" w14:textId="77777777" w:rsidR="00115CD6" w:rsidRPr="00D21DD8" w:rsidRDefault="00115CD6" w:rsidP="00115CD6">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c) Indicii  așa-numitei „inflații de bază”, care exclud din indicii de preț o serie de articole extrem de instabile, cum ar fi alimentele și energia. Acești indici sunt utilizați pentru a evalua tendințele esențiale ale inflației pe termen lung în economie. Indicii prețurilor de consum indică asupra evoluțiilor inflaționiste în economia internă. În tabelul de mai jos este reprezentat IPC pentru perioada a. 2020-2022.</w:t>
      </w:r>
    </w:p>
    <w:tbl>
      <w:tblPr>
        <w:tblW w:w="10466" w:type="dxa"/>
        <w:tblInd w:w="108" w:type="dxa"/>
        <w:tblLayout w:type="fixed"/>
        <w:tblLook w:val="0400" w:firstRow="0" w:lastRow="0" w:firstColumn="0" w:lastColumn="0" w:noHBand="0" w:noVBand="1"/>
      </w:tblPr>
      <w:tblGrid>
        <w:gridCol w:w="1203"/>
        <w:gridCol w:w="585"/>
        <w:gridCol w:w="723"/>
        <w:gridCol w:w="723"/>
        <w:gridCol w:w="723"/>
        <w:gridCol w:w="723"/>
        <w:gridCol w:w="723"/>
        <w:gridCol w:w="723"/>
        <w:gridCol w:w="723"/>
        <w:gridCol w:w="723"/>
        <w:gridCol w:w="723"/>
        <w:gridCol w:w="723"/>
        <w:gridCol w:w="723"/>
        <w:gridCol w:w="725"/>
      </w:tblGrid>
      <w:tr w:rsidR="00115CD6" w:rsidRPr="00D21DD8" w14:paraId="1384493A" w14:textId="77777777" w:rsidTr="0080644F">
        <w:trPr>
          <w:trHeight w:val="512"/>
        </w:trPr>
        <w:tc>
          <w:tcPr>
            <w:tcW w:w="10466" w:type="dxa"/>
            <w:gridSpan w:val="14"/>
            <w:tcBorders>
              <w:top w:val="single" w:sz="4" w:space="0" w:color="000000"/>
              <w:left w:val="single" w:sz="4" w:space="0" w:color="000000"/>
              <w:bottom w:val="single" w:sz="4" w:space="0" w:color="000000"/>
              <w:right w:val="single" w:sz="4" w:space="0" w:color="000000"/>
            </w:tcBorders>
            <w:shd w:val="clear" w:color="auto" w:fill="auto"/>
            <w:vAlign w:val="bottom"/>
          </w:tcPr>
          <w:p w14:paraId="4974C73D" w14:textId="77777777" w:rsidR="00115CD6" w:rsidRPr="00D21DD8" w:rsidRDefault="00115CD6" w:rsidP="00115CD6">
            <w:pPr>
              <w:spacing w:after="0" w:line="240" w:lineRule="auto"/>
              <w:ind w:left="0"/>
              <w:rPr>
                <w:rFonts w:ascii="Times New Roman" w:eastAsia="Times New Roman" w:hAnsi="Times New Roman" w:cs="Times New Roman"/>
                <w:b/>
                <w:color w:val="000000"/>
                <w:sz w:val="22"/>
                <w:szCs w:val="22"/>
                <w:lang w:val="ro-MD" w:eastAsia="ro-MD"/>
              </w:rPr>
            </w:pPr>
            <w:r w:rsidRPr="00D21DD8">
              <w:rPr>
                <w:rFonts w:ascii="Calibri" w:eastAsia="Calibri" w:hAnsi="Calibri" w:cs="Calibri"/>
                <w:color w:val="000000"/>
                <w:sz w:val="18"/>
                <w:szCs w:val="18"/>
                <w:lang w:val="ro-MD" w:eastAsia="ro-MD"/>
              </w:rPr>
              <w:t> </w:t>
            </w:r>
            <w:r w:rsidRPr="00D21DD8">
              <w:rPr>
                <w:rFonts w:ascii="Times New Roman" w:eastAsia="Times New Roman" w:hAnsi="Times New Roman" w:cs="Times New Roman"/>
                <w:b/>
                <w:color w:val="000000"/>
                <w:sz w:val="22"/>
                <w:szCs w:val="22"/>
                <w:lang w:val="ro-MD" w:eastAsia="ro-MD"/>
              </w:rPr>
              <w:t>Indicii prețurilor de consum, decembrie anul precedent=100 pe Grupe majore, Ani și Luni</w:t>
            </w:r>
          </w:p>
          <w:p w14:paraId="200C50CB" w14:textId="77777777" w:rsidR="00115CD6" w:rsidRPr="00D21DD8" w:rsidRDefault="00115CD6" w:rsidP="00115CD6">
            <w:pPr>
              <w:spacing w:after="0" w:line="240" w:lineRule="auto"/>
              <w:ind w:left="0"/>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 </w:t>
            </w:r>
          </w:p>
        </w:tc>
      </w:tr>
      <w:tr w:rsidR="0080644F" w:rsidRPr="00D21DD8" w14:paraId="0BD1C3F7" w14:textId="77777777" w:rsidTr="0080644F">
        <w:trPr>
          <w:trHeight w:val="282"/>
        </w:trPr>
        <w:tc>
          <w:tcPr>
            <w:tcW w:w="120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F9E280" w14:textId="77777777" w:rsidR="00115CD6" w:rsidRPr="00D21DD8" w:rsidRDefault="00115CD6" w:rsidP="00115CD6">
            <w:pPr>
              <w:spacing w:after="0" w:line="240" w:lineRule="auto"/>
              <w:ind w:left="0"/>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 </w:t>
            </w:r>
          </w:p>
        </w:tc>
        <w:tc>
          <w:tcPr>
            <w:tcW w:w="585" w:type="dxa"/>
            <w:tcBorders>
              <w:top w:val="single" w:sz="4" w:space="0" w:color="000000"/>
              <w:left w:val="nil"/>
              <w:bottom w:val="single" w:sz="4" w:space="0" w:color="000000"/>
              <w:right w:val="single" w:sz="4" w:space="0" w:color="000000"/>
            </w:tcBorders>
            <w:shd w:val="clear" w:color="auto" w:fill="auto"/>
            <w:vAlign w:val="bottom"/>
          </w:tcPr>
          <w:p w14:paraId="11733DB1" w14:textId="77777777" w:rsidR="00115CD6" w:rsidRPr="00D21DD8" w:rsidRDefault="00115CD6" w:rsidP="00115CD6">
            <w:pPr>
              <w:spacing w:after="0" w:line="240" w:lineRule="auto"/>
              <w:ind w:left="0"/>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 </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0D126614"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Ian.</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15E2B847"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Febr.</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35C4394F"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Mart.</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43D76A69"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Apr.</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3A1A0866"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Mai</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13C10B1F"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Iun.</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6FD46479"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Iul.</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421F6959"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Aug.</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4A194AAE"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Sept.</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4752DCC3"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Oct.</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50EBFFBA"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Noi</w:t>
            </w:r>
          </w:p>
        </w:tc>
        <w:tc>
          <w:tcPr>
            <w:tcW w:w="723" w:type="dxa"/>
            <w:tcBorders>
              <w:top w:val="single" w:sz="4" w:space="0" w:color="000000"/>
              <w:left w:val="nil"/>
              <w:bottom w:val="single" w:sz="4" w:space="0" w:color="000000"/>
              <w:right w:val="single" w:sz="4" w:space="0" w:color="000000"/>
            </w:tcBorders>
            <w:shd w:val="clear" w:color="auto" w:fill="auto"/>
            <w:vAlign w:val="bottom"/>
          </w:tcPr>
          <w:p w14:paraId="08BE6913"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Dec.</w:t>
            </w:r>
          </w:p>
        </w:tc>
      </w:tr>
      <w:tr w:rsidR="0080644F" w:rsidRPr="00D21DD8" w14:paraId="4EF1FE06"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095787D7" w14:textId="77777777" w:rsidR="00115CD6" w:rsidRPr="00D21DD8" w:rsidRDefault="00115CD6" w:rsidP="00115CD6">
            <w:pPr>
              <w:spacing w:after="0" w:line="240" w:lineRule="auto"/>
              <w:ind w:left="0"/>
              <w:rPr>
                <w:rFonts w:ascii="Times New Roman" w:eastAsia="Times New Roman" w:hAnsi="Times New Roman" w:cs="Times New Roman"/>
                <w:b/>
                <w:color w:val="000000"/>
                <w:sz w:val="18"/>
                <w:szCs w:val="18"/>
                <w:lang w:val="ro-MD" w:eastAsia="ro-MD"/>
              </w:rPr>
            </w:pPr>
            <w:r w:rsidRPr="00D21DD8">
              <w:rPr>
                <w:rFonts w:ascii="Times New Roman" w:eastAsia="Times New Roman" w:hAnsi="Times New Roman" w:cs="Times New Roman"/>
                <w:b/>
                <w:color w:val="000000"/>
                <w:sz w:val="20"/>
                <w:szCs w:val="20"/>
                <w:lang w:val="ro-MD" w:eastAsia="ro-MD"/>
              </w:rPr>
              <w:t>Total</w:t>
            </w:r>
          </w:p>
        </w:tc>
        <w:tc>
          <w:tcPr>
            <w:tcW w:w="585" w:type="dxa"/>
            <w:tcBorders>
              <w:top w:val="nil"/>
              <w:left w:val="nil"/>
              <w:bottom w:val="single" w:sz="4" w:space="0" w:color="000000"/>
              <w:right w:val="single" w:sz="4" w:space="0" w:color="000000"/>
            </w:tcBorders>
            <w:shd w:val="clear" w:color="auto" w:fill="auto"/>
            <w:vAlign w:val="bottom"/>
          </w:tcPr>
          <w:p w14:paraId="7E0303EA"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2020</w:t>
            </w:r>
          </w:p>
        </w:tc>
        <w:tc>
          <w:tcPr>
            <w:tcW w:w="723" w:type="dxa"/>
            <w:tcBorders>
              <w:top w:val="nil"/>
              <w:left w:val="nil"/>
              <w:bottom w:val="single" w:sz="4" w:space="0" w:color="000000"/>
              <w:right w:val="single" w:sz="4" w:space="0" w:color="000000"/>
            </w:tcBorders>
            <w:shd w:val="clear" w:color="auto" w:fill="auto"/>
            <w:vAlign w:val="bottom"/>
          </w:tcPr>
          <w:p w14:paraId="54BA2CC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100,63</w:t>
            </w:r>
          </w:p>
        </w:tc>
        <w:tc>
          <w:tcPr>
            <w:tcW w:w="723" w:type="dxa"/>
            <w:tcBorders>
              <w:top w:val="nil"/>
              <w:left w:val="nil"/>
              <w:bottom w:val="single" w:sz="4" w:space="0" w:color="000000"/>
              <w:right w:val="single" w:sz="4" w:space="0" w:color="000000"/>
            </w:tcBorders>
            <w:shd w:val="clear" w:color="auto" w:fill="auto"/>
            <w:vAlign w:val="bottom"/>
          </w:tcPr>
          <w:p w14:paraId="0554C96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100,60</w:t>
            </w:r>
          </w:p>
        </w:tc>
        <w:tc>
          <w:tcPr>
            <w:tcW w:w="723" w:type="dxa"/>
            <w:tcBorders>
              <w:top w:val="nil"/>
              <w:left w:val="nil"/>
              <w:bottom w:val="single" w:sz="4" w:space="0" w:color="000000"/>
              <w:right w:val="single" w:sz="4" w:space="0" w:color="000000"/>
            </w:tcBorders>
            <w:shd w:val="clear" w:color="auto" w:fill="auto"/>
            <w:vAlign w:val="bottom"/>
          </w:tcPr>
          <w:p w14:paraId="20BF389B"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100,70</w:t>
            </w:r>
          </w:p>
        </w:tc>
        <w:tc>
          <w:tcPr>
            <w:tcW w:w="723" w:type="dxa"/>
            <w:tcBorders>
              <w:top w:val="nil"/>
              <w:left w:val="nil"/>
              <w:bottom w:val="single" w:sz="4" w:space="0" w:color="000000"/>
              <w:right w:val="single" w:sz="4" w:space="0" w:color="000000"/>
            </w:tcBorders>
            <w:shd w:val="clear" w:color="auto" w:fill="auto"/>
            <w:vAlign w:val="bottom"/>
          </w:tcPr>
          <w:p w14:paraId="62EB510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100,86</w:t>
            </w:r>
          </w:p>
        </w:tc>
        <w:tc>
          <w:tcPr>
            <w:tcW w:w="723" w:type="dxa"/>
            <w:tcBorders>
              <w:top w:val="nil"/>
              <w:left w:val="nil"/>
              <w:bottom w:val="single" w:sz="4" w:space="0" w:color="000000"/>
              <w:right w:val="single" w:sz="4" w:space="0" w:color="000000"/>
            </w:tcBorders>
            <w:shd w:val="clear" w:color="auto" w:fill="auto"/>
            <w:vAlign w:val="bottom"/>
          </w:tcPr>
          <w:p w14:paraId="78902E4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101,08</w:t>
            </w:r>
          </w:p>
        </w:tc>
        <w:tc>
          <w:tcPr>
            <w:tcW w:w="723" w:type="dxa"/>
            <w:tcBorders>
              <w:top w:val="nil"/>
              <w:left w:val="nil"/>
              <w:bottom w:val="single" w:sz="4" w:space="0" w:color="000000"/>
              <w:right w:val="single" w:sz="4" w:space="0" w:color="000000"/>
            </w:tcBorders>
            <w:shd w:val="clear" w:color="auto" w:fill="auto"/>
            <w:vAlign w:val="bottom"/>
          </w:tcPr>
          <w:p w14:paraId="4E4CC84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101,07</w:t>
            </w:r>
          </w:p>
        </w:tc>
        <w:tc>
          <w:tcPr>
            <w:tcW w:w="723" w:type="dxa"/>
            <w:tcBorders>
              <w:top w:val="nil"/>
              <w:left w:val="nil"/>
              <w:bottom w:val="single" w:sz="4" w:space="0" w:color="000000"/>
              <w:right w:val="single" w:sz="4" w:space="0" w:color="000000"/>
            </w:tcBorders>
            <w:shd w:val="clear" w:color="auto" w:fill="auto"/>
            <w:vAlign w:val="bottom"/>
          </w:tcPr>
          <w:p w14:paraId="72AC9F0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100,84</w:t>
            </w:r>
          </w:p>
        </w:tc>
        <w:tc>
          <w:tcPr>
            <w:tcW w:w="723" w:type="dxa"/>
            <w:tcBorders>
              <w:top w:val="nil"/>
              <w:left w:val="nil"/>
              <w:bottom w:val="single" w:sz="4" w:space="0" w:color="000000"/>
              <w:right w:val="single" w:sz="4" w:space="0" w:color="000000"/>
            </w:tcBorders>
            <w:shd w:val="clear" w:color="auto" w:fill="auto"/>
            <w:vAlign w:val="bottom"/>
          </w:tcPr>
          <w:p w14:paraId="635D380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100,05</w:t>
            </w:r>
          </w:p>
        </w:tc>
        <w:tc>
          <w:tcPr>
            <w:tcW w:w="723" w:type="dxa"/>
            <w:tcBorders>
              <w:top w:val="nil"/>
              <w:left w:val="nil"/>
              <w:bottom w:val="single" w:sz="4" w:space="0" w:color="000000"/>
              <w:right w:val="single" w:sz="4" w:space="0" w:color="000000"/>
            </w:tcBorders>
            <w:shd w:val="clear" w:color="auto" w:fill="auto"/>
            <w:vAlign w:val="bottom"/>
          </w:tcPr>
          <w:p w14:paraId="0A3ACA19"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99,79</w:t>
            </w:r>
          </w:p>
        </w:tc>
        <w:tc>
          <w:tcPr>
            <w:tcW w:w="723" w:type="dxa"/>
            <w:tcBorders>
              <w:top w:val="nil"/>
              <w:left w:val="nil"/>
              <w:bottom w:val="single" w:sz="4" w:space="0" w:color="000000"/>
              <w:right w:val="single" w:sz="4" w:space="0" w:color="000000"/>
            </w:tcBorders>
            <w:shd w:val="clear" w:color="auto" w:fill="auto"/>
            <w:vAlign w:val="bottom"/>
          </w:tcPr>
          <w:p w14:paraId="0C67CFF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99,91</w:t>
            </w:r>
          </w:p>
        </w:tc>
        <w:tc>
          <w:tcPr>
            <w:tcW w:w="723" w:type="dxa"/>
            <w:tcBorders>
              <w:top w:val="nil"/>
              <w:left w:val="nil"/>
              <w:bottom w:val="single" w:sz="4" w:space="0" w:color="000000"/>
              <w:right w:val="single" w:sz="4" w:space="0" w:color="000000"/>
            </w:tcBorders>
            <w:shd w:val="clear" w:color="auto" w:fill="auto"/>
            <w:vAlign w:val="bottom"/>
          </w:tcPr>
          <w:p w14:paraId="05A2EB8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100,07</w:t>
            </w:r>
          </w:p>
        </w:tc>
        <w:tc>
          <w:tcPr>
            <w:tcW w:w="723" w:type="dxa"/>
            <w:tcBorders>
              <w:top w:val="nil"/>
              <w:left w:val="nil"/>
              <w:bottom w:val="single" w:sz="4" w:space="0" w:color="000000"/>
              <w:right w:val="single" w:sz="4" w:space="0" w:color="000000"/>
            </w:tcBorders>
            <w:shd w:val="clear" w:color="auto" w:fill="auto"/>
            <w:vAlign w:val="bottom"/>
          </w:tcPr>
          <w:p w14:paraId="5631C8D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100,39</w:t>
            </w:r>
          </w:p>
        </w:tc>
      </w:tr>
      <w:tr w:rsidR="0080644F" w:rsidRPr="00D21DD8" w14:paraId="40A41290"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34AB0EF0" w14:textId="77777777" w:rsidR="00115CD6" w:rsidRPr="00D21DD8" w:rsidRDefault="00115CD6" w:rsidP="00115CD6">
            <w:pPr>
              <w:spacing w:after="0" w:line="240" w:lineRule="auto"/>
              <w:ind w:left="0"/>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2168D01A"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2021</w:t>
            </w:r>
          </w:p>
        </w:tc>
        <w:tc>
          <w:tcPr>
            <w:tcW w:w="723" w:type="dxa"/>
            <w:tcBorders>
              <w:top w:val="nil"/>
              <w:left w:val="nil"/>
              <w:bottom w:val="single" w:sz="4" w:space="0" w:color="000000"/>
              <w:right w:val="single" w:sz="4" w:space="0" w:color="000000"/>
            </w:tcBorders>
            <w:shd w:val="clear" w:color="auto" w:fill="auto"/>
            <w:vAlign w:val="bottom"/>
          </w:tcPr>
          <w:p w14:paraId="4D0430C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100,46</w:t>
            </w:r>
          </w:p>
        </w:tc>
        <w:tc>
          <w:tcPr>
            <w:tcW w:w="723" w:type="dxa"/>
            <w:tcBorders>
              <w:top w:val="nil"/>
              <w:left w:val="nil"/>
              <w:bottom w:val="single" w:sz="4" w:space="0" w:color="000000"/>
              <w:right w:val="single" w:sz="4" w:space="0" w:color="000000"/>
            </w:tcBorders>
            <w:shd w:val="clear" w:color="auto" w:fill="auto"/>
            <w:vAlign w:val="bottom"/>
          </w:tcPr>
          <w:p w14:paraId="34D089D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100,84</w:t>
            </w:r>
          </w:p>
        </w:tc>
        <w:tc>
          <w:tcPr>
            <w:tcW w:w="723" w:type="dxa"/>
            <w:tcBorders>
              <w:top w:val="nil"/>
              <w:left w:val="nil"/>
              <w:bottom w:val="single" w:sz="4" w:space="0" w:color="000000"/>
              <w:right w:val="single" w:sz="4" w:space="0" w:color="000000"/>
            </w:tcBorders>
            <w:shd w:val="clear" w:color="auto" w:fill="auto"/>
            <w:vAlign w:val="bottom"/>
          </w:tcPr>
          <w:p w14:paraId="3F4458B1"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101,80</w:t>
            </w:r>
          </w:p>
        </w:tc>
        <w:tc>
          <w:tcPr>
            <w:tcW w:w="723" w:type="dxa"/>
            <w:tcBorders>
              <w:top w:val="nil"/>
              <w:left w:val="nil"/>
              <w:bottom w:val="single" w:sz="4" w:space="0" w:color="000000"/>
              <w:right w:val="single" w:sz="4" w:space="0" w:color="000000"/>
            </w:tcBorders>
            <w:shd w:val="clear" w:color="auto" w:fill="auto"/>
            <w:vAlign w:val="bottom"/>
          </w:tcPr>
          <w:p w14:paraId="3C0B4D80"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103,31</w:t>
            </w:r>
          </w:p>
        </w:tc>
        <w:tc>
          <w:tcPr>
            <w:tcW w:w="723" w:type="dxa"/>
            <w:tcBorders>
              <w:top w:val="nil"/>
              <w:left w:val="nil"/>
              <w:bottom w:val="single" w:sz="4" w:space="0" w:color="000000"/>
              <w:right w:val="single" w:sz="4" w:space="0" w:color="000000"/>
            </w:tcBorders>
            <w:shd w:val="clear" w:color="auto" w:fill="auto"/>
            <w:vAlign w:val="bottom"/>
          </w:tcPr>
          <w:p w14:paraId="18A9011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103,81</w:t>
            </w:r>
          </w:p>
        </w:tc>
        <w:tc>
          <w:tcPr>
            <w:tcW w:w="723" w:type="dxa"/>
            <w:tcBorders>
              <w:top w:val="nil"/>
              <w:left w:val="nil"/>
              <w:bottom w:val="single" w:sz="4" w:space="0" w:color="000000"/>
              <w:right w:val="single" w:sz="4" w:space="0" w:color="000000"/>
            </w:tcBorders>
            <w:shd w:val="clear" w:color="auto" w:fill="auto"/>
            <w:vAlign w:val="bottom"/>
          </w:tcPr>
          <w:p w14:paraId="269C98AB"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103,86</w:t>
            </w:r>
          </w:p>
        </w:tc>
        <w:tc>
          <w:tcPr>
            <w:tcW w:w="723" w:type="dxa"/>
            <w:tcBorders>
              <w:top w:val="nil"/>
              <w:left w:val="nil"/>
              <w:bottom w:val="single" w:sz="4" w:space="0" w:color="000000"/>
              <w:right w:val="single" w:sz="4" w:space="0" w:color="000000"/>
            </w:tcBorders>
            <w:shd w:val="clear" w:color="auto" w:fill="auto"/>
            <w:vAlign w:val="bottom"/>
          </w:tcPr>
          <w:p w14:paraId="6099978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103,95</w:t>
            </w:r>
          </w:p>
        </w:tc>
        <w:tc>
          <w:tcPr>
            <w:tcW w:w="723" w:type="dxa"/>
            <w:tcBorders>
              <w:top w:val="nil"/>
              <w:left w:val="nil"/>
              <w:bottom w:val="single" w:sz="4" w:space="0" w:color="000000"/>
              <w:right w:val="single" w:sz="4" w:space="0" w:color="000000"/>
            </w:tcBorders>
            <w:shd w:val="clear" w:color="auto" w:fill="auto"/>
            <w:vAlign w:val="bottom"/>
          </w:tcPr>
          <w:p w14:paraId="7F5649B0"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104,29</w:t>
            </w:r>
          </w:p>
        </w:tc>
        <w:tc>
          <w:tcPr>
            <w:tcW w:w="723" w:type="dxa"/>
            <w:tcBorders>
              <w:top w:val="nil"/>
              <w:left w:val="nil"/>
              <w:bottom w:val="single" w:sz="4" w:space="0" w:color="000000"/>
              <w:right w:val="single" w:sz="4" w:space="0" w:color="000000"/>
            </w:tcBorders>
            <w:shd w:val="clear" w:color="auto" w:fill="auto"/>
            <w:vAlign w:val="bottom"/>
          </w:tcPr>
          <w:p w14:paraId="2C55E19F"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106,04</w:t>
            </w:r>
          </w:p>
        </w:tc>
        <w:tc>
          <w:tcPr>
            <w:tcW w:w="723" w:type="dxa"/>
            <w:tcBorders>
              <w:top w:val="nil"/>
              <w:left w:val="nil"/>
              <w:bottom w:val="single" w:sz="4" w:space="0" w:color="000000"/>
              <w:right w:val="single" w:sz="4" w:space="0" w:color="000000"/>
            </w:tcBorders>
            <w:shd w:val="clear" w:color="auto" w:fill="auto"/>
            <w:vAlign w:val="bottom"/>
          </w:tcPr>
          <w:p w14:paraId="75BD4DD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108,29</w:t>
            </w:r>
          </w:p>
        </w:tc>
        <w:tc>
          <w:tcPr>
            <w:tcW w:w="723" w:type="dxa"/>
            <w:tcBorders>
              <w:top w:val="nil"/>
              <w:left w:val="nil"/>
              <w:bottom w:val="single" w:sz="4" w:space="0" w:color="000000"/>
              <w:right w:val="single" w:sz="4" w:space="0" w:color="000000"/>
            </w:tcBorders>
            <w:shd w:val="clear" w:color="auto" w:fill="auto"/>
            <w:vAlign w:val="bottom"/>
          </w:tcPr>
          <w:p w14:paraId="7A5F994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112,08</w:t>
            </w:r>
          </w:p>
        </w:tc>
        <w:tc>
          <w:tcPr>
            <w:tcW w:w="723" w:type="dxa"/>
            <w:tcBorders>
              <w:top w:val="nil"/>
              <w:left w:val="nil"/>
              <w:bottom w:val="single" w:sz="4" w:space="0" w:color="000000"/>
              <w:right w:val="single" w:sz="4" w:space="0" w:color="000000"/>
            </w:tcBorders>
            <w:shd w:val="clear" w:color="auto" w:fill="auto"/>
            <w:vAlign w:val="bottom"/>
          </w:tcPr>
          <w:p w14:paraId="40881BE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113,94</w:t>
            </w:r>
          </w:p>
        </w:tc>
      </w:tr>
      <w:tr w:rsidR="0080644F" w:rsidRPr="00D21DD8" w14:paraId="4F588A64"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7168F261" w14:textId="77777777" w:rsidR="00115CD6" w:rsidRPr="00D21DD8" w:rsidRDefault="00115CD6" w:rsidP="00115CD6">
            <w:pPr>
              <w:spacing w:after="0" w:line="240" w:lineRule="auto"/>
              <w:ind w:left="0"/>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62276BCC"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2022</w:t>
            </w:r>
          </w:p>
        </w:tc>
        <w:tc>
          <w:tcPr>
            <w:tcW w:w="723" w:type="dxa"/>
            <w:tcBorders>
              <w:top w:val="nil"/>
              <w:left w:val="nil"/>
              <w:bottom w:val="single" w:sz="4" w:space="0" w:color="000000"/>
              <w:right w:val="single" w:sz="4" w:space="0" w:color="000000"/>
            </w:tcBorders>
            <w:shd w:val="clear" w:color="auto" w:fill="auto"/>
            <w:vAlign w:val="bottom"/>
          </w:tcPr>
          <w:p w14:paraId="1D5F54F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102,77</w:t>
            </w:r>
          </w:p>
        </w:tc>
        <w:tc>
          <w:tcPr>
            <w:tcW w:w="723" w:type="dxa"/>
            <w:tcBorders>
              <w:top w:val="nil"/>
              <w:left w:val="nil"/>
              <w:bottom w:val="single" w:sz="4" w:space="0" w:color="000000"/>
              <w:right w:val="single" w:sz="4" w:space="0" w:color="000000"/>
            </w:tcBorders>
            <w:shd w:val="clear" w:color="auto" w:fill="auto"/>
            <w:vAlign w:val="bottom"/>
          </w:tcPr>
          <w:p w14:paraId="6D4C4C9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104,89</w:t>
            </w:r>
          </w:p>
        </w:tc>
        <w:tc>
          <w:tcPr>
            <w:tcW w:w="723" w:type="dxa"/>
            <w:tcBorders>
              <w:top w:val="nil"/>
              <w:left w:val="nil"/>
              <w:bottom w:val="single" w:sz="4" w:space="0" w:color="000000"/>
              <w:right w:val="single" w:sz="4" w:space="0" w:color="000000"/>
            </w:tcBorders>
            <w:shd w:val="clear" w:color="auto" w:fill="auto"/>
            <w:vAlign w:val="bottom"/>
          </w:tcPr>
          <w:p w14:paraId="23243A0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109,15</w:t>
            </w:r>
          </w:p>
        </w:tc>
        <w:tc>
          <w:tcPr>
            <w:tcW w:w="723" w:type="dxa"/>
            <w:tcBorders>
              <w:top w:val="nil"/>
              <w:left w:val="nil"/>
              <w:bottom w:val="single" w:sz="4" w:space="0" w:color="000000"/>
              <w:right w:val="single" w:sz="4" w:space="0" w:color="000000"/>
            </w:tcBorders>
            <w:shd w:val="clear" w:color="auto" w:fill="auto"/>
            <w:vAlign w:val="bottom"/>
          </w:tcPr>
          <w:p w14:paraId="3FD2859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115,22</w:t>
            </w:r>
          </w:p>
        </w:tc>
        <w:tc>
          <w:tcPr>
            <w:tcW w:w="723" w:type="dxa"/>
            <w:tcBorders>
              <w:top w:val="nil"/>
              <w:left w:val="nil"/>
              <w:bottom w:val="single" w:sz="4" w:space="0" w:color="000000"/>
              <w:right w:val="single" w:sz="4" w:space="0" w:color="000000"/>
            </w:tcBorders>
            <w:shd w:val="clear" w:color="auto" w:fill="auto"/>
            <w:vAlign w:val="bottom"/>
          </w:tcPr>
          <w:p w14:paraId="0A5BDF6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117,57</w:t>
            </w:r>
          </w:p>
        </w:tc>
        <w:tc>
          <w:tcPr>
            <w:tcW w:w="723" w:type="dxa"/>
            <w:tcBorders>
              <w:top w:val="nil"/>
              <w:left w:val="nil"/>
              <w:bottom w:val="single" w:sz="4" w:space="0" w:color="000000"/>
              <w:right w:val="single" w:sz="4" w:space="0" w:color="000000"/>
            </w:tcBorders>
            <w:shd w:val="clear" w:color="auto" w:fill="auto"/>
            <w:vAlign w:val="bottom"/>
          </w:tcPr>
          <w:p w14:paraId="01963B54" w14:textId="62824A65" w:rsidR="00115CD6" w:rsidRPr="00D21DD8" w:rsidRDefault="00E10E73"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120,17</w:t>
            </w:r>
          </w:p>
        </w:tc>
        <w:tc>
          <w:tcPr>
            <w:tcW w:w="723" w:type="dxa"/>
            <w:tcBorders>
              <w:top w:val="nil"/>
              <w:left w:val="nil"/>
              <w:bottom w:val="single" w:sz="4" w:space="0" w:color="000000"/>
              <w:right w:val="single" w:sz="4" w:space="0" w:color="000000"/>
            </w:tcBorders>
            <w:shd w:val="clear" w:color="auto" w:fill="auto"/>
            <w:vAlign w:val="bottom"/>
          </w:tcPr>
          <w:p w14:paraId="7B6EAEDF"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6037AB6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52B786A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65B6892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26B8124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7EA3073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r>
      <w:tr w:rsidR="0080644F" w:rsidRPr="00D21DD8" w14:paraId="7BBD5910"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12C20E33"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Produse alimentare</w:t>
            </w:r>
          </w:p>
        </w:tc>
        <w:tc>
          <w:tcPr>
            <w:tcW w:w="585" w:type="dxa"/>
            <w:tcBorders>
              <w:top w:val="nil"/>
              <w:left w:val="nil"/>
              <w:bottom w:val="single" w:sz="4" w:space="0" w:color="000000"/>
              <w:right w:val="single" w:sz="4" w:space="0" w:color="000000"/>
            </w:tcBorders>
            <w:shd w:val="clear" w:color="auto" w:fill="auto"/>
            <w:vAlign w:val="bottom"/>
          </w:tcPr>
          <w:p w14:paraId="39A77546"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2020</w:t>
            </w:r>
          </w:p>
        </w:tc>
        <w:tc>
          <w:tcPr>
            <w:tcW w:w="723" w:type="dxa"/>
            <w:tcBorders>
              <w:top w:val="nil"/>
              <w:left w:val="nil"/>
              <w:bottom w:val="single" w:sz="4" w:space="0" w:color="000000"/>
              <w:right w:val="single" w:sz="4" w:space="0" w:color="000000"/>
            </w:tcBorders>
            <w:shd w:val="clear" w:color="auto" w:fill="auto"/>
            <w:vAlign w:val="bottom"/>
          </w:tcPr>
          <w:p w14:paraId="684AC17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100,97</w:t>
            </w:r>
          </w:p>
        </w:tc>
        <w:tc>
          <w:tcPr>
            <w:tcW w:w="723" w:type="dxa"/>
            <w:tcBorders>
              <w:top w:val="nil"/>
              <w:left w:val="nil"/>
              <w:bottom w:val="single" w:sz="4" w:space="0" w:color="000000"/>
              <w:right w:val="single" w:sz="4" w:space="0" w:color="000000"/>
            </w:tcBorders>
            <w:shd w:val="clear" w:color="auto" w:fill="auto"/>
            <w:vAlign w:val="bottom"/>
          </w:tcPr>
          <w:p w14:paraId="16EDC80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101,35</w:t>
            </w:r>
          </w:p>
        </w:tc>
        <w:tc>
          <w:tcPr>
            <w:tcW w:w="723" w:type="dxa"/>
            <w:tcBorders>
              <w:top w:val="nil"/>
              <w:left w:val="nil"/>
              <w:bottom w:val="single" w:sz="4" w:space="0" w:color="000000"/>
              <w:right w:val="single" w:sz="4" w:space="0" w:color="000000"/>
            </w:tcBorders>
            <w:shd w:val="clear" w:color="auto" w:fill="auto"/>
            <w:vAlign w:val="bottom"/>
          </w:tcPr>
          <w:p w14:paraId="3B208D4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101,71</w:t>
            </w:r>
          </w:p>
        </w:tc>
        <w:tc>
          <w:tcPr>
            <w:tcW w:w="723" w:type="dxa"/>
            <w:tcBorders>
              <w:top w:val="nil"/>
              <w:left w:val="nil"/>
              <w:bottom w:val="single" w:sz="4" w:space="0" w:color="000000"/>
              <w:right w:val="single" w:sz="4" w:space="0" w:color="000000"/>
            </w:tcBorders>
            <w:shd w:val="clear" w:color="auto" w:fill="auto"/>
            <w:vAlign w:val="bottom"/>
          </w:tcPr>
          <w:p w14:paraId="6AD91F4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102,90</w:t>
            </w:r>
          </w:p>
        </w:tc>
        <w:tc>
          <w:tcPr>
            <w:tcW w:w="723" w:type="dxa"/>
            <w:tcBorders>
              <w:top w:val="nil"/>
              <w:left w:val="nil"/>
              <w:bottom w:val="single" w:sz="4" w:space="0" w:color="000000"/>
              <w:right w:val="single" w:sz="4" w:space="0" w:color="000000"/>
            </w:tcBorders>
            <w:shd w:val="clear" w:color="auto" w:fill="auto"/>
            <w:vAlign w:val="bottom"/>
          </w:tcPr>
          <w:p w14:paraId="2692E1DB"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103,74</w:t>
            </w:r>
          </w:p>
        </w:tc>
        <w:tc>
          <w:tcPr>
            <w:tcW w:w="723" w:type="dxa"/>
            <w:tcBorders>
              <w:top w:val="nil"/>
              <w:left w:val="nil"/>
              <w:bottom w:val="single" w:sz="4" w:space="0" w:color="000000"/>
              <w:right w:val="single" w:sz="4" w:space="0" w:color="000000"/>
            </w:tcBorders>
            <w:shd w:val="clear" w:color="auto" w:fill="auto"/>
            <w:vAlign w:val="bottom"/>
          </w:tcPr>
          <w:p w14:paraId="6BEF656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103,31</w:t>
            </w:r>
          </w:p>
        </w:tc>
        <w:tc>
          <w:tcPr>
            <w:tcW w:w="723" w:type="dxa"/>
            <w:tcBorders>
              <w:top w:val="nil"/>
              <w:left w:val="nil"/>
              <w:bottom w:val="single" w:sz="4" w:space="0" w:color="000000"/>
              <w:right w:val="single" w:sz="4" w:space="0" w:color="000000"/>
            </w:tcBorders>
            <w:shd w:val="clear" w:color="auto" w:fill="auto"/>
            <w:vAlign w:val="bottom"/>
          </w:tcPr>
          <w:p w14:paraId="5A11E7E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102,27</w:t>
            </w:r>
          </w:p>
        </w:tc>
        <w:tc>
          <w:tcPr>
            <w:tcW w:w="723" w:type="dxa"/>
            <w:tcBorders>
              <w:top w:val="nil"/>
              <w:left w:val="nil"/>
              <w:bottom w:val="single" w:sz="4" w:space="0" w:color="000000"/>
              <w:right w:val="single" w:sz="4" w:space="0" w:color="000000"/>
            </w:tcBorders>
            <w:shd w:val="clear" w:color="auto" w:fill="auto"/>
            <w:vAlign w:val="bottom"/>
          </w:tcPr>
          <w:p w14:paraId="7BFA477B"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101,11</w:t>
            </w:r>
          </w:p>
        </w:tc>
        <w:tc>
          <w:tcPr>
            <w:tcW w:w="723" w:type="dxa"/>
            <w:tcBorders>
              <w:top w:val="nil"/>
              <w:left w:val="nil"/>
              <w:bottom w:val="single" w:sz="4" w:space="0" w:color="000000"/>
              <w:right w:val="single" w:sz="4" w:space="0" w:color="000000"/>
            </w:tcBorders>
            <w:shd w:val="clear" w:color="auto" w:fill="auto"/>
            <w:vAlign w:val="bottom"/>
          </w:tcPr>
          <w:p w14:paraId="4B952D39"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100,49</w:t>
            </w:r>
          </w:p>
        </w:tc>
        <w:tc>
          <w:tcPr>
            <w:tcW w:w="723" w:type="dxa"/>
            <w:tcBorders>
              <w:top w:val="nil"/>
              <w:left w:val="nil"/>
              <w:bottom w:val="single" w:sz="4" w:space="0" w:color="000000"/>
              <w:right w:val="single" w:sz="4" w:space="0" w:color="000000"/>
            </w:tcBorders>
            <w:shd w:val="clear" w:color="auto" w:fill="auto"/>
            <w:vAlign w:val="bottom"/>
          </w:tcPr>
          <w:p w14:paraId="34F4C12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100,44</w:t>
            </w:r>
          </w:p>
        </w:tc>
        <w:tc>
          <w:tcPr>
            <w:tcW w:w="723" w:type="dxa"/>
            <w:tcBorders>
              <w:top w:val="nil"/>
              <w:left w:val="nil"/>
              <w:bottom w:val="single" w:sz="4" w:space="0" w:color="000000"/>
              <w:right w:val="single" w:sz="4" w:space="0" w:color="000000"/>
            </w:tcBorders>
            <w:shd w:val="clear" w:color="auto" w:fill="auto"/>
            <w:vAlign w:val="bottom"/>
          </w:tcPr>
          <w:p w14:paraId="2CA26F5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101,14</w:t>
            </w:r>
          </w:p>
        </w:tc>
        <w:tc>
          <w:tcPr>
            <w:tcW w:w="723" w:type="dxa"/>
            <w:tcBorders>
              <w:top w:val="nil"/>
              <w:left w:val="nil"/>
              <w:bottom w:val="single" w:sz="4" w:space="0" w:color="000000"/>
              <w:right w:val="single" w:sz="4" w:space="0" w:color="000000"/>
            </w:tcBorders>
            <w:shd w:val="clear" w:color="auto" w:fill="auto"/>
            <w:vAlign w:val="bottom"/>
          </w:tcPr>
          <w:p w14:paraId="6E95968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101,66</w:t>
            </w:r>
          </w:p>
        </w:tc>
      </w:tr>
      <w:tr w:rsidR="0080644F" w:rsidRPr="00D21DD8" w14:paraId="7F54EABA"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2A0EC3B5" w14:textId="77777777" w:rsidR="00115CD6" w:rsidRPr="00D21DD8" w:rsidRDefault="00115CD6" w:rsidP="00115CD6">
            <w:pPr>
              <w:spacing w:after="0" w:line="240" w:lineRule="auto"/>
              <w:ind w:left="0"/>
              <w:rPr>
                <w:rFonts w:ascii="Times New Roman" w:eastAsia="Times New Roman" w:hAnsi="Times New Roman" w:cs="Times New Roman"/>
                <w:color w:val="000000"/>
                <w:sz w:val="20"/>
                <w:szCs w:val="20"/>
                <w:lang w:val="ro-MD" w:eastAsia="ro-MD"/>
              </w:rPr>
            </w:pPr>
            <w:r w:rsidRPr="00D21DD8">
              <w:rPr>
                <w:rFonts w:ascii="Times New Roman" w:eastAsia="Times New Roman" w:hAnsi="Times New Roman" w:cs="Times New Roman"/>
                <w:color w:val="000000"/>
                <w:sz w:val="20"/>
                <w:szCs w:val="20"/>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1376CB33"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2021</w:t>
            </w:r>
          </w:p>
        </w:tc>
        <w:tc>
          <w:tcPr>
            <w:tcW w:w="723" w:type="dxa"/>
            <w:tcBorders>
              <w:top w:val="nil"/>
              <w:left w:val="nil"/>
              <w:bottom w:val="single" w:sz="4" w:space="0" w:color="000000"/>
              <w:right w:val="single" w:sz="4" w:space="0" w:color="000000"/>
            </w:tcBorders>
            <w:shd w:val="clear" w:color="auto" w:fill="auto"/>
            <w:vAlign w:val="bottom"/>
          </w:tcPr>
          <w:p w14:paraId="4F5E323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100,58</w:t>
            </w:r>
          </w:p>
        </w:tc>
        <w:tc>
          <w:tcPr>
            <w:tcW w:w="723" w:type="dxa"/>
            <w:tcBorders>
              <w:top w:val="nil"/>
              <w:left w:val="nil"/>
              <w:bottom w:val="single" w:sz="4" w:space="0" w:color="000000"/>
              <w:right w:val="single" w:sz="4" w:space="0" w:color="000000"/>
            </w:tcBorders>
            <w:shd w:val="clear" w:color="auto" w:fill="auto"/>
            <w:vAlign w:val="bottom"/>
          </w:tcPr>
          <w:p w14:paraId="6BB8C41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101,50</w:t>
            </w:r>
          </w:p>
        </w:tc>
        <w:tc>
          <w:tcPr>
            <w:tcW w:w="723" w:type="dxa"/>
            <w:tcBorders>
              <w:top w:val="nil"/>
              <w:left w:val="nil"/>
              <w:bottom w:val="single" w:sz="4" w:space="0" w:color="000000"/>
              <w:right w:val="single" w:sz="4" w:space="0" w:color="000000"/>
            </w:tcBorders>
            <w:shd w:val="clear" w:color="auto" w:fill="auto"/>
            <w:vAlign w:val="bottom"/>
          </w:tcPr>
          <w:p w14:paraId="2A477FF9"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103,08</w:t>
            </w:r>
          </w:p>
        </w:tc>
        <w:tc>
          <w:tcPr>
            <w:tcW w:w="723" w:type="dxa"/>
            <w:tcBorders>
              <w:top w:val="nil"/>
              <w:left w:val="nil"/>
              <w:bottom w:val="single" w:sz="4" w:space="0" w:color="000000"/>
              <w:right w:val="single" w:sz="4" w:space="0" w:color="000000"/>
            </w:tcBorders>
            <w:shd w:val="clear" w:color="auto" w:fill="auto"/>
            <w:vAlign w:val="bottom"/>
          </w:tcPr>
          <w:p w14:paraId="1405303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106,36</w:t>
            </w:r>
          </w:p>
        </w:tc>
        <w:tc>
          <w:tcPr>
            <w:tcW w:w="723" w:type="dxa"/>
            <w:tcBorders>
              <w:top w:val="nil"/>
              <w:left w:val="nil"/>
              <w:bottom w:val="single" w:sz="4" w:space="0" w:color="000000"/>
              <w:right w:val="single" w:sz="4" w:space="0" w:color="000000"/>
            </w:tcBorders>
            <w:shd w:val="clear" w:color="auto" w:fill="auto"/>
            <w:vAlign w:val="bottom"/>
          </w:tcPr>
          <w:p w14:paraId="2617E07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107,10</w:t>
            </w:r>
          </w:p>
        </w:tc>
        <w:tc>
          <w:tcPr>
            <w:tcW w:w="723" w:type="dxa"/>
            <w:tcBorders>
              <w:top w:val="nil"/>
              <w:left w:val="nil"/>
              <w:bottom w:val="single" w:sz="4" w:space="0" w:color="000000"/>
              <w:right w:val="single" w:sz="4" w:space="0" w:color="000000"/>
            </w:tcBorders>
            <w:shd w:val="clear" w:color="auto" w:fill="auto"/>
            <w:vAlign w:val="bottom"/>
          </w:tcPr>
          <w:p w14:paraId="7D0ADBF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106,27</w:t>
            </w:r>
          </w:p>
        </w:tc>
        <w:tc>
          <w:tcPr>
            <w:tcW w:w="723" w:type="dxa"/>
            <w:tcBorders>
              <w:top w:val="nil"/>
              <w:left w:val="nil"/>
              <w:bottom w:val="single" w:sz="4" w:space="0" w:color="000000"/>
              <w:right w:val="single" w:sz="4" w:space="0" w:color="000000"/>
            </w:tcBorders>
            <w:shd w:val="clear" w:color="auto" w:fill="auto"/>
            <w:vAlign w:val="bottom"/>
          </w:tcPr>
          <w:p w14:paraId="24A58F6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104,82</w:t>
            </w:r>
          </w:p>
        </w:tc>
        <w:tc>
          <w:tcPr>
            <w:tcW w:w="723" w:type="dxa"/>
            <w:tcBorders>
              <w:top w:val="nil"/>
              <w:left w:val="nil"/>
              <w:bottom w:val="single" w:sz="4" w:space="0" w:color="000000"/>
              <w:right w:val="single" w:sz="4" w:space="0" w:color="000000"/>
            </w:tcBorders>
            <w:shd w:val="clear" w:color="auto" w:fill="auto"/>
            <w:vAlign w:val="bottom"/>
          </w:tcPr>
          <w:p w14:paraId="7E7B929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104,27</w:t>
            </w:r>
          </w:p>
        </w:tc>
        <w:tc>
          <w:tcPr>
            <w:tcW w:w="723" w:type="dxa"/>
            <w:tcBorders>
              <w:top w:val="nil"/>
              <w:left w:val="nil"/>
              <w:bottom w:val="single" w:sz="4" w:space="0" w:color="000000"/>
              <w:right w:val="single" w:sz="4" w:space="0" w:color="000000"/>
            </w:tcBorders>
            <w:shd w:val="clear" w:color="auto" w:fill="auto"/>
            <w:vAlign w:val="bottom"/>
          </w:tcPr>
          <w:p w14:paraId="65B2ECA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107,06</w:t>
            </w:r>
          </w:p>
        </w:tc>
        <w:tc>
          <w:tcPr>
            <w:tcW w:w="723" w:type="dxa"/>
            <w:tcBorders>
              <w:top w:val="nil"/>
              <w:left w:val="nil"/>
              <w:bottom w:val="single" w:sz="4" w:space="0" w:color="000000"/>
              <w:right w:val="single" w:sz="4" w:space="0" w:color="000000"/>
            </w:tcBorders>
            <w:shd w:val="clear" w:color="auto" w:fill="auto"/>
            <w:vAlign w:val="bottom"/>
          </w:tcPr>
          <w:p w14:paraId="1C2E18E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111,38</w:t>
            </w:r>
          </w:p>
        </w:tc>
        <w:tc>
          <w:tcPr>
            <w:tcW w:w="723" w:type="dxa"/>
            <w:tcBorders>
              <w:top w:val="nil"/>
              <w:left w:val="nil"/>
              <w:bottom w:val="single" w:sz="4" w:space="0" w:color="000000"/>
              <w:right w:val="single" w:sz="4" w:space="0" w:color="000000"/>
            </w:tcBorders>
            <w:shd w:val="clear" w:color="auto" w:fill="auto"/>
            <w:vAlign w:val="bottom"/>
          </w:tcPr>
          <w:p w14:paraId="2F7DA23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114,91</w:t>
            </w:r>
          </w:p>
        </w:tc>
        <w:tc>
          <w:tcPr>
            <w:tcW w:w="723" w:type="dxa"/>
            <w:tcBorders>
              <w:top w:val="nil"/>
              <w:left w:val="nil"/>
              <w:bottom w:val="single" w:sz="4" w:space="0" w:color="000000"/>
              <w:right w:val="single" w:sz="4" w:space="0" w:color="000000"/>
            </w:tcBorders>
            <w:shd w:val="clear" w:color="auto" w:fill="auto"/>
            <w:vAlign w:val="bottom"/>
          </w:tcPr>
          <w:p w14:paraId="01C50B7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117,46</w:t>
            </w:r>
          </w:p>
        </w:tc>
      </w:tr>
      <w:tr w:rsidR="0080644F" w:rsidRPr="00D21DD8" w14:paraId="116E93EE"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77BDEB5D" w14:textId="77777777" w:rsidR="00115CD6" w:rsidRPr="00D21DD8" w:rsidRDefault="00115CD6" w:rsidP="00115CD6">
            <w:pPr>
              <w:spacing w:after="0" w:line="240" w:lineRule="auto"/>
              <w:ind w:left="0"/>
              <w:rPr>
                <w:rFonts w:ascii="Times New Roman" w:eastAsia="Times New Roman" w:hAnsi="Times New Roman" w:cs="Times New Roman"/>
                <w:color w:val="000000"/>
                <w:sz w:val="20"/>
                <w:szCs w:val="20"/>
                <w:lang w:val="ro-MD" w:eastAsia="ro-MD"/>
              </w:rPr>
            </w:pPr>
            <w:r w:rsidRPr="00D21DD8">
              <w:rPr>
                <w:rFonts w:ascii="Times New Roman" w:eastAsia="Times New Roman" w:hAnsi="Times New Roman" w:cs="Times New Roman"/>
                <w:color w:val="000000"/>
                <w:sz w:val="20"/>
                <w:szCs w:val="20"/>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4BFB410D"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2022</w:t>
            </w:r>
          </w:p>
        </w:tc>
        <w:tc>
          <w:tcPr>
            <w:tcW w:w="723" w:type="dxa"/>
            <w:tcBorders>
              <w:top w:val="nil"/>
              <w:left w:val="nil"/>
              <w:bottom w:val="single" w:sz="4" w:space="0" w:color="000000"/>
              <w:right w:val="single" w:sz="4" w:space="0" w:color="000000"/>
            </w:tcBorders>
            <w:shd w:val="clear" w:color="auto" w:fill="auto"/>
            <w:vAlign w:val="bottom"/>
          </w:tcPr>
          <w:p w14:paraId="00FB69B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103,65</w:t>
            </w:r>
          </w:p>
        </w:tc>
        <w:tc>
          <w:tcPr>
            <w:tcW w:w="723" w:type="dxa"/>
            <w:tcBorders>
              <w:top w:val="nil"/>
              <w:left w:val="nil"/>
              <w:bottom w:val="single" w:sz="4" w:space="0" w:color="000000"/>
              <w:right w:val="single" w:sz="4" w:space="0" w:color="000000"/>
            </w:tcBorders>
            <w:shd w:val="clear" w:color="auto" w:fill="auto"/>
            <w:vAlign w:val="bottom"/>
          </w:tcPr>
          <w:p w14:paraId="48134AB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106,56</w:t>
            </w:r>
          </w:p>
        </w:tc>
        <w:tc>
          <w:tcPr>
            <w:tcW w:w="723" w:type="dxa"/>
            <w:tcBorders>
              <w:top w:val="nil"/>
              <w:left w:val="nil"/>
              <w:bottom w:val="single" w:sz="4" w:space="0" w:color="000000"/>
              <w:right w:val="single" w:sz="4" w:space="0" w:color="000000"/>
            </w:tcBorders>
            <w:shd w:val="clear" w:color="auto" w:fill="auto"/>
            <w:vAlign w:val="bottom"/>
          </w:tcPr>
          <w:p w14:paraId="272692B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111,48</w:t>
            </w:r>
          </w:p>
        </w:tc>
        <w:tc>
          <w:tcPr>
            <w:tcW w:w="723" w:type="dxa"/>
            <w:tcBorders>
              <w:top w:val="nil"/>
              <w:left w:val="nil"/>
              <w:bottom w:val="single" w:sz="4" w:space="0" w:color="000000"/>
              <w:right w:val="single" w:sz="4" w:space="0" w:color="000000"/>
            </w:tcBorders>
            <w:shd w:val="clear" w:color="auto" w:fill="auto"/>
            <w:vAlign w:val="bottom"/>
          </w:tcPr>
          <w:p w14:paraId="0DD77749"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117,86</w:t>
            </w:r>
          </w:p>
        </w:tc>
        <w:tc>
          <w:tcPr>
            <w:tcW w:w="723" w:type="dxa"/>
            <w:tcBorders>
              <w:top w:val="nil"/>
              <w:left w:val="nil"/>
              <w:bottom w:val="single" w:sz="4" w:space="0" w:color="000000"/>
              <w:right w:val="single" w:sz="4" w:space="0" w:color="000000"/>
            </w:tcBorders>
            <w:shd w:val="clear" w:color="auto" w:fill="auto"/>
            <w:vAlign w:val="bottom"/>
          </w:tcPr>
          <w:p w14:paraId="1E07E83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120,81</w:t>
            </w:r>
          </w:p>
        </w:tc>
        <w:tc>
          <w:tcPr>
            <w:tcW w:w="723" w:type="dxa"/>
            <w:tcBorders>
              <w:top w:val="nil"/>
              <w:left w:val="nil"/>
              <w:bottom w:val="single" w:sz="4" w:space="0" w:color="000000"/>
              <w:right w:val="single" w:sz="4" w:space="0" w:color="000000"/>
            </w:tcBorders>
            <w:shd w:val="clear" w:color="auto" w:fill="auto"/>
            <w:vAlign w:val="bottom"/>
          </w:tcPr>
          <w:p w14:paraId="30643E67" w14:textId="0C004484" w:rsidR="00115CD6" w:rsidRPr="00D21DD8" w:rsidRDefault="00E24F15"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121,50</w:t>
            </w:r>
          </w:p>
        </w:tc>
        <w:tc>
          <w:tcPr>
            <w:tcW w:w="723" w:type="dxa"/>
            <w:tcBorders>
              <w:top w:val="nil"/>
              <w:left w:val="nil"/>
              <w:bottom w:val="single" w:sz="4" w:space="0" w:color="000000"/>
              <w:right w:val="single" w:sz="4" w:space="0" w:color="000000"/>
            </w:tcBorders>
            <w:shd w:val="clear" w:color="auto" w:fill="auto"/>
            <w:vAlign w:val="bottom"/>
          </w:tcPr>
          <w:p w14:paraId="10BAC6A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6863578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4621704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0BDCD09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313A522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256E3ED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r>
      <w:tr w:rsidR="0080644F" w:rsidRPr="00D21DD8" w14:paraId="64C98B75"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5A2DDDA9"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t>Mărfuri nealimentare</w:t>
            </w:r>
          </w:p>
        </w:tc>
        <w:tc>
          <w:tcPr>
            <w:tcW w:w="585" w:type="dxa"/>
            <w:tcBorders>
              <w:top w:val="nil"/>
              <w:left w:val="nil"/>
              <w:bottom w:val="single" w:sz="4" w:space="0" w:color="000000"/>
              <w:right w:val="single" w:sz="4" w:space="0" w:color="000000"/>
            </w:tcBorders>
            <w:shd w:val="clear" w:color="auto" w:fill="auto"/>
            <w:vAlign w:val="bottom"/>
          </w:tcPr>
          <w:p w14:paraId="2C9D922F"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2020</w:t>
            </w:r>
          </w:p>
        </w:tc>
        <w:tc>
          <w:tcPr>
            <w:tcW w:w="723" w:type="dxa"/>
            <w:tcBorders>
              <w:top w:val="nil"/>
              <w:left w:val="nil"/>
              <w:bottom w:val="single" w:sz="4" w:space="0" w:color="000000"/>
              <w:right w:val="single" w:sz="4" w:space="0" w:color="000000"/>
            </w:tcBorders>
            <w:shd w:val="clear" w:color="auto" w:fill="auto"/>
            <w:vAlign w:val="bottom"/>
          </w:tcPr>
          <w:p w14:paraId="33FDDD3B"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100,19</w:t>
            </w:r>
          </w:p>
        </w:tc>
        <w:tc>
          <w:tcPr>
            <w:tcW w:w="723" w:type="dxa"/>
            <w:tcBorders>
              <w:top w:val="nil"/>
              <w:left w:val="nil"/>
              <w:bottom w:val="single" w:sz="4" w:space="0" w:color="000000"/>
              <w:right w:val="single" w:sz="4" w:space="0" w:color="000000"/>
            </w:tcBorders>
            <w:shd w:val="clear" w:color="auto" w:fill="auto"/>
            <w:vAlign w:val="bottom"/>
          </w:tcPr>
          <w:p w14:paraId="2D1CF73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99,75</w:t>
            </w:r>
          </w:p>
        </w:tc>
        <w:tc>
          <w:tcPr>
            <w:tcW w:w="723" w:type="dxa"/>
            <w:tcBorders>
              <w:top w:val="nil"/>
              <w:left w:val="nil"/>
              <w:bottom w:val="single" w:sz="4" w:space="0" w:color="000000"/>
              <w:right w:val="single" w:sz="4" w:space="0" w:color="000000"/>
            </w:tcBorders>
            <w:shd w:val="clear" w:color="auto" w:fill="auto"/>
            <w:vAlign w:val="bottom"/>
          </w:tcPr>
          <w:p w14:paraId="4B44466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99,56</w:t>
            </w:r>
          </w:p>
        </w:tc>
        <w:tc>
          <w:tcPr>
            <w:tcW w:w="723" w:type="dxa"/>
            <w:tcBorders>
              <w:top w:val="nil"/>
              <w:left w:val="nil"/>
              <w:bottom w:val="single" w:sz="4" w:space="0" w:color="000000"/>
              <w:right w:val="single" w:sz="4" w:space="0" w:color="000000"/>
            </w:tcBorders>
            <w:shd w:val="clear" w:color="auto" w:fill="auto"/>
            <w:vAlign w:val="bottom"/>
          </w:tcPr>
          <w:p w14:paraId="154DC65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98,78</w:t>
            </w:r>
          </w:p>
        </w:tc>
        <w:tc>
          <w:tcPr>
            <w:tcW w:w="723" w:type="dxa"/>
            <w:tcBorders>
              <w:top w:val="nil"/>
              <w:left w:val="nil"/>
              <w:bottom w:val="single" w:sz="4" w:space="0" w:color="000000"/>
              <w:right w:val="single" w:sz="4" w:space="0" w:color="000000"/>
            </w:tcBorders>
            <w:shd w:val="clear" w:color="auto" w:fill="auto"/>
            <w:vAlign w:val="bottom"/>
          </w:tcPr>
          <w:p w14:paraId="63BDF6A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98,48</w:t>
            </w:r>
          </w:p>
        </w:tc>
        <w:tc>
          <w:tcPr>
            <w:tcW w:w="723" w:type="dxa"/>
            <w:tcBorders>
              <w:top w:val="nil"/>
              <w:left w:val="nil"/>
              <w:bottom w:val="single" w:sz="4" w:space="0" w:color="000000"/>
              <w:right w:val="single" w:sz="4" w:space="0" w:color="000000"/>
            </w:tcBorders>
            <w:shd w:val="clear" w:color="auto" w:fill="auto"/>
            <w:vAlign w:val="bottom"/>
          </w:tcPr>
          <w:p w14:paraId="09AC4DB9"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98,69</w:t>
            </w:r>
          </w:p>
        </w:tc>
        <w:tc>
          <w:tcPr>
            <w:tcW w:w="723" w:type="dxa"/>
            <w:tcBorders>
              <w:top w:val="nil"/>
              <w:left w:val="nil"/>
              <w:bottom w:val="single" w:sz="4" w:space="0" w:color="000000"/>
              <w:right w:val="single" w:sz="4" w:space="0" w:color="000000"/>
            </w:tcBorders>
            <w:shd w:val="clear" w:color="auto" w:fill="auto"/>
            <w:vAlign w:val="bottom"/>
          </w:tcPr>
          <w:p w14:paraId="322E58A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98,92</w:t>
            </w:r>
          </w:p>
        </w:tc>
        <w:tc>
          <w:tcPr>
            <w:tcW w:w="723" w:type="dxa"/>
            <w:tcBorders>
              <w:top w:val="nil"/>
              <w:left w:val="nil"/>
              <w:bottom w:val="single" w:sz="4" w:space="0" w:color="000000"/>
              <w:right w:val="single" w:sz="4" w:space="0" w:color="000000"/>
            </w:tcBorders>
            <w:shd w:val="clear" w:color="auto" w:fill="auto"/>
            <w:vAlign w:val="bottom"/>
          </w:tcPr>
          <w:p w14:paraId="370B92C0"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98,63</w:t>
            </w:r>
          </w:p>
        </w:tc>
        <w:tc>
          <w:tcPr>
            <w:tcW w:w="723" w:type="dxa"/>
            <w:tcBorders>
              <w:top w:val="nil"/>
              <w:left w:val="nil"/>
              <w:bottom w:val="single" w:sz="4" w:space="0" w:color="000000"/>
              <w:right w:val="single" w:sz="4" w:space="0" w:color="000000"/>
            </w:tcBorders>
            <w:shd w:val="clear" w:color="auto" w:fill="auto"/>
            <w:vAlign w:val="bottom"/>
          </w:tcPr>
          <w:p w14:paraId="52099D4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98,59</w:t>
            </w:r>
          </w:p>
        </w:tc>
        <w:tc>
          <w:tcPr>
            <w:tcW w:w="723" w:type="dxa"/>
            <w:tcBorders>
              <w:top w:val="nil"/>
              <w:left w:val="nil"/>
              <w:bottom w:val="single" w:sz="4" w:space="0" w:color="000000"/>
              <w:right w:val="single" w:sz="4" w:space="0" w:color="000000"/>
            </w:tcBorders>
            <w:shd w:val="clear" w:color="auto" w:fill="auto"/>
            <w:vAlign w:val="bottom"/>
          </w:tcPr>
          <w:p w14:paraId="55E46CB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98,91</w:t>
            </w:r>
          </w:p>
        </w:tc>
        <w:tc>
          <w:tcPr>
            <w:tcW w:w="723" w:type="dxa"/>
            <w:tcBorders>
              <w:top w:val="nil"/>
              <w:left w:val="nil"/>
              <w:bottom w:val="single" w:sz="4" w:space="0" w:color="000000"/>
              <w:right w:val="single" w:sz="4" w:space="0" w:color="000000"/>
            </w:tcBorders>
            <w:shd w:val="clear" w:color="auto" w:fill="auto"/>
            <w:vAlign w:val="bottom"/>
          </w:tcPr>
          <w:p w14:paraId="372C595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99,14</w:t>
            </w:r>
          </w:p>
        </w:tc>
        <w:tc>
          <w:tcPr>
            <w:tcW w:w="723" w:type="dxa"/>
            <w:tcBorders>
              <w:top w:val="nil"/>
              <w:left w:val="nil"/>
              <w:bottom w:val="single" w:sz="4" w:space="0" w:color="000000"/>
              <w:right w:val="single" w:sz="4" w:space="0" w:color="000000"/>
            </w:tcBorders>
            <w:shd w:val="clear" w:color="auto" w:fill="auto"/>
            <w:vAlign w:val="bottom"/>
          </w:tcPr>
          <w:p w14:paraId="3B6D224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99,51</w:t>
            </w:r>
          </w:p>
        </w:tc>
      </w:tr>
      <w:tr w:rsidR="0080644F" w:rsidRPr="00D21DD8" w14:paraId="0DF3C306"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22F7FD25" w14:textId="77777777" w:rsidR="00115CD6" w:rsidRPr="00D21DD8" w:rsidRDefault="00115CD6" w:rsidP="00115CD6">
            <w:pPr>
              <w:spacing w:after="0" w:line="240" w:lineRule="auto"/>
              <w:ind w:left="0"/>
              <w:rPr>
                <w:rFonts w:ascii="Times New Roman" w:eastAsia="Times New Roman" w:hAnsi="Times New Roman" w:cs="Times New Roman"/>
                <w:color w:val="000000"/>
                <w:sz w:val="20"/>
                <w:szCs w:val="20"/>
                <w:lang w:val="ro-MD" w:eastAsia="ro-MD"/>
              </w:rPr>
            </w:pPr>
            <w:r w:rsidRPr="00D21DD8">
              <w:rPr>
                <w:rFonts w:ascii="Times New Roman" w:eastAsia="Times New Roman" w:hAnsi="Times New Roman" w:cs="Times New Roman"/>
                <w:color w:val="000000"/>
                <w:sz w:val="20"/>
                <w:szCs w:val="20"/>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1EB72EAA"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2021</w:t>
            </w:r>
          </w:p>
        </w:tc>
        <w:tc>
          <w:tcPr>
            <w:tcW w:w="723" w:type="dxa"/>
            <w:tcBorders>
              <w:top w:val="nil"/>
              <w:left w:val="nil"/>
              <w:bottom w:val="single" w:sz="4" w:space="0" w:color="000000"/>
              <w:right w:val="single" w:sz="4" w:space="0" w:color="000000"/>
            </w:tcBorders>
            <w:shd w:val="clear" w:color="auto" w:fill="auto"/>
            <w:vAlign w:val="bottom"/>
          </w:tcPr>
          <w:p w14:paraId="7485E86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100,60</w:t>
            </w:r>
          </w:p>
        </w:tc>
        <w:tc>
          <w:tcPr>
            <w:tcW w:w="723" w:type="dxa"/>
            <w:tcBorders>
              <w:top w:val="nil"/>
              <w:left w:val="nil"/>
              <w:bottom w:val="single" w:sz="4" w:space="0" w:color="000000"/>
              <w:right w:val="single" w:sz="4" w:space="0" w:color="000000"/>
            </w:tcBorders>
            <w:shd w:val="clear" w:color="auto" w:fill="auto"/>
            <w:vAlign w:val="bottom"/>
          </w:tcPr>
          <w:p w14:paraId="50319D8B"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101,40</w:t>
            </w:r>
          </w:p>
        </w:tc>
        <w:tc>
          <w:tcPr>
            <w:tcW w:w="723" w:type="dxa"/>
            <w:tcBorders>
              <w:top w:val="nil"/>
              <w:left w:val="nil"/>
              <w:bottom w:val="single" w:sz="4" w:space="0" w:color="000000"/>
              <w:right w:val="single" w:sz="4" w:space="0" w:color="000000"/>
            </w:tcBorders>
            <w:shd w:val="clear" w:color="auto" w:fill="auto"/>
            <w:vAlign w:val="bottom"/>
          </w:tcPr>
          <w:p w14:paraId="1A75CD8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102,39</w:t>
            </w:r>
          </w:p>
        </w:tc>
        <w:tc>
          <w:tcPr>
            <w:tcW w:w="723" w:type="dxa"/>
            <w:tcBorders>
              <w:top w:val="nil"/>
              <w:left w:val="nil"/>
              <w:bottom w:val="single" w:sz="4" w:space="0" w:color="000000"/>
              <w:right w:val="single" w:sz="4" w:space="0" w:color="000000"/>
            </w:tcBorders>
            <w:shd w:val="clear" w:color="auto" w:fill="auto"/>
            <w:vAlign w:val="bottom"/>
          </w:tcPr>
          <w:p w14:paraId="345A09A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103,03</w:t>
            </w:r>
          </w:p>
        </w:tc>
        <w:tc>
          <w:tcPr>
            <w:tcW w:w="723" w:type="dxa"/>
            <w:tcBorders>
              <w:top w:val="nil"/>
              <w:left w:val="nil"/>
              <w:bottom w:val="single" w:sz="4" w:space="0" w:color="000000"/>
              <w:right w:val="single" w:sz="4" w:space="0" w:color="000000"/>
            </w:tcBorders>
            <w:shd w:val="clear" w:color="auto" w:fill="auto"/>
            <w:vAlign w:val="bottom"/>
          </w:tcPr>
          <w:p w14:paraId="7D306D0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103,57</w:t>
            </w:r>
          </w:p>
        </w:tc>
        <w:tc>
          <w:tcPr>
            <w:tcW w:w="723" w:type="dxa"/>
            <w:tcBorders>
              <w:top w:val="nil"/>
              <w:left w:val="nil"/>
              <w:bottom w:val="single" w:sz="4" w:space="0" w:color="000000"/>
              <w:right w:val="single" w:sz="4" w:space="0" w:color="000000"/>
            </w:tcBorders>
            <w:shd w:val="clear" w:color="auto" w:fill="auto"/>
            <w:vAlign w:val="bottom"/>
          </w:tcPr>
          <w:p w14:paraId="45D3BC4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104,29</w:t>
            </w:r>
          </w:p>
        </w:tc>
        <w:tc>
          <w:tcPr>
            <w:tcW w:w="723" w:type="dxa"/>
            <w:tcBorders>
              <w:top w:val="nil"/>
              <w:left w:val="nil"/>
              <w:bottom w:val="single" w:sz="4" w:space="0" w:color="000000"/>
              <w:right w:val="single" w:sz="4" w:space="0" w:color="000000"/>
            </w:tcBorders>
            <w:shd w:val="clear" w:color="auto" w:fill="auto"/>
            <w:vAlign w:val="bottom"/>
          </w:tcPr>
          <w:p w14:paraId="66EB9B21"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104,91</w:t>
            </w:r>
          </w:p>
        </w:tc>
        <w:tc>
          <w:tcPr>
            <w:tcW w:w="723" w:type="dxa"/>
            <w:tcBorders>
              <w:top w:val="nil"/>
              <w:left w:val="nil"/>
              <w:bottom w:val="single" w:sz="4" w:space="0" w:color="000000"/>
              <w:right w:val="single" w:sz="4" w:space="0" w:color="000000"/>
            </w:tcBorders>
            <w:shd w:val="clear" w:color="auto" w:fill="auto"/>
            <w:vAlign w:val="bottom"/>
          </w:tcPr>
          <w:p w14:paraId="77AB33E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105,98</w:t>
            </w:r>
          </w:p>
        </w:tc>
        <w:tc>
          <w:tcPr>
            <w:tcW w:w="723" w:type="dxa"/>
            <w:tcBorders>
              <w:top w:val="nil"/>
              <w:left w:val="nil"/>
              <w:bottom w:val="single" w:sz="4" w:space="0" w:color="000000"/>
              <w:right w:val="single" w:sz="4" w:space="0" w:color="000000"/>
            </w:tcBorders>
            <w:shd w:val="clear" w:color="auto" w:fill="auto"/>
            <w:vAlign w:val="bottom"/>
          </w:tcPr>
          <w:p w14:paraId="7DF3FD5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107,62</w:t>
            </w:r>
          </w:p>
        </w:tc>
        <w:tc>
          <w:tcPr>
            <w:tcW w:w="723" w:type="dxa"/>
            <w:tcBorders>
              <w:top w:val="nil"/>
              <w:left w:val="nil"/>
              <w:bottom w:val="single" w:sz="4" w:space="0" w:color="000000"/>
              <w:right w:val="single" w:sz="4" w:space="0" w:color="000000"/>
            </w:tcBorders>
            <w:shd w:val="clear" w:color="auto" w:fill="auto"/>
            <w:vAlign w:val="bottom"/>
          </w:tcPr>
          <w:p w14:paraId="144BB2C7"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109,36</w:t>
            </w:r>
          </w:p>
        </w:tc>
        <w:tc>
          <w:tcPr>
            <w:tcW w:w="723" w:type="dxa"/>
            <w:tcBorders>
              <w:top w:val="nil"/>
              <w:left w:val="nil"/>
              <w:bottom w:val="single" w:sz="4" w:space="0" w:color="000000"/>
              <w:right w:val="single" w:sz="4" w:space="0" w:color="000000"/>
            </w:tcBorders>
            <w:shd w:val="clear" w:color="auto" w:fill="auto"/>
            <w:vAlign w:val="bottom"/>
          </w:tcPr>
          <w:p w14:paraId="3716359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110,87</w:t>
            </w:r>
          </w:p>
        </w:tc>
        <w:tc>
          <w:tcPr>
            <w:tcW w:w="723" w:type="dxa"/>
            <w:tcBorders>
              <w:top w:val="nil"/>
              <w:left w:val="nil"/>
              <w:bottom w:val="single" w:sz="4" w:space="0" w:color="000000"/>
              <w:right w:val="single" w:sz="4" w:space="0" w:color="000000"/>
            </w:tcBorders>
            <w:shd w:val="clear" w:color="auto" w:fill="auto"/>
            <w:vAlign w:val="bottom"/>
          </w:tcPr>
          <w:p w14:paraId="6A13A02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112,06</w:t>
            </w:r>
          </w:p>
        </w:tc>
      </w:tr>
      <w:tr w:rsidR="0080644F" w:rsidRPr="00D21DD8" w14:paraId="37A83206"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5B8D8243" w14:textId="77777777" w:rsidR="00115CD6" w:rsidRPr="00D21DD8" w:rsidRDefault="00115CD6" w:rsidP="00115CD6">
            <w:pPr>
              <w:spacing w:after="0" w:line="240" w:lineRule="auto"/>
              <w:ind w:left="0"/>
              <w:rPr>
                <w:rFonts w:ascii="Times New Roman" w:eastAsia="Times New Roman" w:hAnsi="Times New Roman" w:cs="Times New Roman"/>
                <w:color w:val="000000"/>
                <w:sz w:val="20"/>
                <w:szCs w:val="20"/>
                <w:lang w:val="ro-MD" w:eastAsia="ro-MD"/>
              </w:rPr>
            </w:pPr>
            <w:r w:rsidRPr="00D21DD8">
              <w:rPr>
                <w:rFonts w:ascii="Times New Roman" w:eastAsia="Times New Roman" w:hAnsi="Times New Roman" w:cs="Times New Roman"/>
                <w:color w:val="000000"/>
                <w:sz w:val="20"/>
                <w:szCs w:val="20"/>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5ECB304F"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2022</w:t>
            </w:r>
          </w:p>
        </w:tc>
        <w:tc>
          <w:tcPr>
            <w:tcW w:w="723" w:type="dxa"/>
            <w:tcBorders>
              <w:top w:val="nil"/>
              <w:left w:val="nil"/>
              <w:bottom w:val="single" w:sz="4" w:space="0" w:color="000000"/>
              <w:right w:val="single" w:sz="4" w:space="0" w:color="000000"/>
            </w:tcBorders>
            <w:shd w:val="clear" w:color="auto" w:fill="auto"/>
            <w:vAlign w:val="bottom"/>
          </w:tcPr>
          <w:p w14:paraId="34093D1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101,79</w:t>
            </w:r>
          </w:p>
        </w:tc>
        <w:tc>
          <w:tcPr>
            <w:tcW w:w="723" w:type="dxa"/>
            <w:tcBorders>
              <w:top w:val="nil"/>
              <w:left w:val="nil"/>
              <w:bottom w:val="single" w:sz="4" w:space="0" w:color="000000"/>
              <w:right w:val="single" w:sz="4" w:space="0" w:color="000000"/>
            </w:tcBorders>
            <w:shd w:val="clear" w:color="auto" w:fill="auto"/>
            <w:vAlign w:val="bottom"/>
          </w:tcPr>
          <w:p w14:paraId="61794E8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104,00</w:t>
            </w:r>
          </w:p>
        </w:tc>
        <w:tc>
          <w:tcPr>
            <w:tcW w:w="723" w:type="dxa"/>
            <w:tcBorders>
              <w:top w:val="nil"/>
              <w:left w:val="nil"/>
              <w:bottom w:val="single" w:sz="4" w:space="0" w:color="000000"/>
              <w:right w:val="single" w:sz="4" w:space="0" w:color="000000"/>
            </w:tcBorders>
            <w:shd w:val="clear" w:color="auto" w:fill="auto"/>
            <w:vAlign w:val="bottom"/>
          </w:tcPr>
          <w:p w14:paraId="05C6939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107,81</w:t>
            </w:r>
          </w:p>
        </w:tc>
        <w:tc>
          <w:tcPr>
            <w:tcW w:w="723" w:type="dxa"/>
            <w:tcBorders>
              <w:top w:val="nil"/>
              <w:left w:val="nil"/>
              <w:bottom w:val="single" w:sz="4" w:space="0" w:color="000000"/>
              <w:right w:val="single" w:sz="4" w:space="0" w:color="000000"/>
            </w:tcBorders>
            <w:shd w:val="clear" w:color="auto" w:fill="auto"/>
            <w:vAlign w:val="bottom"/>
          </w:tcPr>
          <w:p w14:paraId="2E180B8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109,54</w:t>
            </w:r>
          </w:p>
        </w:tc>
        <w:tc>
          <w:tcPr>
            <w:tcW w:w="723" w:type="dxa"/>
            <w:tcBorders>
              <w:top w:val="nil"/>
              <w:left w:val="nil"/>
              <w:bottom w:val="single" w:sz="4" w:space="0" w:color="000000"/>
              <w:right w:val="single" w:sz="4" w:space="0" w:color="000000"/>
            </w:tcBorders>
            <w:shd w:val="clear" w:color="auto" w:fill="auto"/>
            <w:vAlign w:val="bottom"/>
          </w:tcPr>
          <w:p w14:paraId="6B7FECF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112,26</w:t>
            </w:r>
          </w:p>
        </w:tc>
        <w:tc>
          <w:tcPr>
            <w:tcW w:w="723" w:type="dxa"/>
            <w:tcBorders>
              <w:top w:val="nil"/>
              <w:left w:val="nil"/>
              <w:bottom w:val="single" w:sz="4" w:space="0" w:color="000000"/>
              <w:right w:val="single" w:sz="4" w:space="0" w:color="000000"/>
            </w:tcBorders>
            <w:shd w:val="clear" w:color="auto" w:fill="auto"/>
            <w:vAlign w:val="bottom"/>
          </w:tcPr>
          <w:p w14:paraId="25B2001E" w14:textId="3E9BD7D2" w:rsidR="00115CD6" w:rsidRPr="00D21DD8" w:rsidRDefault="00E24F15"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114,89</w:t>
            </w:r>
          </w:p>
        </w:tc>
        <w:tc>
          <w:tcPr>
            <w:tcW w:w="723" w:type="dxa"/>
            <w:tcBorders>
              <w:top w:val="nil"/>
              <w:left w:val="nil"/>
              <w:bottom w:val="single" w:sz="4" w:space="0" w:color="000000"/>
              <w:right w:val="single" w:sz="4" w:space="0" w:color="000000"/>
            </w:tcBorders>
            <w:shd w:val="clear" w:color="auto" w:fill="auto"/>
            <w:vAlign w:val="bottom"/>
          </w:tcPr>
          <w:p w14:paraId="38BB50A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0511AA4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11BF161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6ABEC96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3440F02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3A49AE1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r>
      <w:tr w:rsidR="0080644F" w:rsidRPr="00D21DD8" w14:paraId="56A89A91"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4A93D437" w14:textId="77777777" w:rsidR="00115CD6" w:rsidRPr="00D21DD8" w:rsidRDefault="00115CD6" w:rsidP="00115CD6">
            <w:pPr>
              <w:spacing w:after="0" w:line="240" w:lineRule="auto"/>
              <w:ind w:left="0"/>
              <w:rPr>
                <w:rFonts w:ascii="Times New Roman" w:eastAsia="Times New Roman" w:hAnsi="Times New Roman" w:cs="Times New Roman"/>
                <w:b/>
                <w:color w:val="000000"/>
                <w:sz w:val="20"/>
                <w:szCs w:val="20"/>
                <w:lang w:val="ro-MD" w:eastAsia="ro-MD"/>
              </w:rPr>
            </w:pPr>
            <w:r w:rsidRPr="00D21DD8">
              <w:rPr>
                <w:rFonts w:ascii="Times New Roman" w:eastAsia="Times New Roman" w:hAnsi="Times New Roman" w:cs="Times New Roman"/>
                <w:b/>
                <w:color w:val="000000"/>
                <w:sz w:val="20"/>
                <w:szCs w:val="20"/>
                <w:lang w:val="ro-MD" w:eastAsia="ro-MD"/>
              </w:rPr>
              <w:lastRenderedPageBreak/>
              <w:t>Servicii</w:t>
            </w:r>
          </w:p>
        </w:tc>
        <w:tc>
          <w:tcPr>
            <w:tcW w:w="585" w:type="dxa"/>
            <w:tcBorders>
              <w:top w:val="nil"/>
              <w:left w:val="nil"/>
              <w:bottom w:val="single" w:sz="4" w:space="0" w:color="000000"/>
              <w:right w:val="single" w:sz="4" w:space="0" w:color="000000"/>
            </w:tcBorders>
            <w:shd w:val="clear" w:color="auto" w:fill="auto"/>
            <w:vAlign w:val="bottom"/>
          </w:tcPr>
          <w:p w14:paraId="24411920"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2020</w:t>
            </w:r>
          </w:p>
        </w:tc>
        <w:tc>
          <w:tcPr>
            <w:tcW w:w="723" w:type="dxa"/>
            <w:tcBorders>
              <w:top w:val="nil"/>
              <w:left w:val="nil"/>
              <w:bottom w:val="single" w:sz="4" w:space="0" w:color="000000"/>
              <w:right w:val="single" w:sz="4" w:space="0" w:color="000000"/>
            </w:tcBorders>
            <w:shd w:val="clear" w:color="auto" w:fill="auto"/>
            <w:vAlign w:val="bottom"/>
          </w:tcPr>
          <w:p w14:paraId="706D9D9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100,74</w:t>
            </w:r>
          </w:p>
        </w:tc>
        <w:tc>
          <w:tcPr>
            <w:tcW w:w="723" w:type="dxa"/>
            <w:tcBorders>
              <w:top w:val="nil"/>
              <w:left w:val="nil"/>
              <w:bottom w:val="single" w:sz="4" w:space="0" w:color="000000"/>
              <w:right w:val="single" w:sz="4" w:space="0" w:color="000000"/>
            </w:tcBorders>
            <w:shd w:val="clear" w:color="auto" w:fill="auto"/>
            <w:vAlign w:val="bottom"/>
          </w:tcPr>
          <w:p w14:paraId="38448AB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100,70</w:t>
            </w:r>
          </w:p>
        </w:tc>
        <w:tc>
          <w:tcPr>
            <w:tcW w:w="723" w:type="dxa"/>
            <w:tcBorders>
              <w:top w:val="nil"/>
              <w:left w:val="nil"/>
              <w:bottom w:val="single" w:sz="4" w:space="0" w:color="000000"/>
              <w:right w:val="single" w:sz="4" w:space="0" w:color="000000"/>
            </w:tcBorders>
            <w:shd w:val="clear" w:color="auto" w:fill="auto"/>
            <w:vAlign w:val="bottom"/>
          </w:tcPr>
          <w:p w14:paraId="38898F7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100,79</w:t>
            </w:r>
          </w:p>
        </w:tc>
        <w:tc>
          <w:tcPr>
            <w:tcW w:w="723" w:type="dxa"/>
            <w:tcBorders>
              <w:top w:val="nil"/>
              <w:left w:val="nil"/>
              <w:bottom w:val="single" w:sz="4" w:space="0" w:color="000000"/>
              <w:right w:val="single" w:sz="4" w:space="0" w:color="000000"/>
            </w:tcBorders>
            <w:shd w:val="clear" w:color="auto" w:fill="auto"/>
            <w:vAlign w:val="bottom"/>
          </w:tcPr>
          <w:p w14:paraId="105219B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100,81</w:t>
            </w:r>
          </w:p>
        </w:tc>
        <w:tc>
          <w:tcPr>
            <w:tcW w:w="723" w:type="dxa"/>
            <w:tcBorders>
              <w:top w:val="nil"/>
              <w:left w:val="nil"/>
              <w:bottom w:val="single" w:sz="4" w:space="0" w:color="000000"/>
              <w:right w:val="single" w:sz="4" w:space="0" w:color="000000"/>
            </w:tcBorders>
            <w:shd w:val="clear" w:color="auto" w:fill="auto"/>
            <w:vAlign w:val="bottom"/>
          </w:tcPr>
          <w:p w14:paraId="38B1EFA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100,88</w:t>
            </w:r>
          </w:p>
        </w:tc>
        <w:tc>
          <w:tcPr>
            <w:tcW w:w="723" w:type="dxa"/>
            <w:tcBorders>
              <w:top w:val="nil"/>
              <w:left w:val="nil"/>
              <w:bottom w:val="single" w:sz="4" w:space="0" w:color="000000"/>
              <w:right w:val="single" w:sz="4" w:space="0" w:color="000000"/>
            </w:tcBorders>
            <w:shd w:val="clear" w:color="auto" w:fill="auto"/>
            <w:vAlign w:val="bottom"/>
          </w:tcPr>
          <w:p w14:paraId="1D44AA6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101,15</w:t>
            </w:r>
          </w:p>
        </w:tc>
        <w:tc>
          <w:tcPr>
            <w:tcW w:w="723" w:type="dxa"/>
            <w:tcBorders>
              <w:top w:val="nil"/>
              <w:left w:val="nil"/>
              <w:bottom w:val="single" w:sz="4" w:space="0" w:color="000000"/>
              <w:right w:val="single" w:sz="4" w:space="0" w:color="000000"/>
            </w:tcBorders>
            <w:shd w:val="clear" w:color="auto" w:fill="auto"/>
            <w:vAlign w:val="bottom"/>
          </w:tcPr>
          <w:p w14:paraId="6E49C9C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101,43</w:t>
            </w:r>
          </w:p>
        </w:tc>
        <w:tc>
          <w:tcPr>
            <w:tcW w:w="723" w:type="dxa"/>
            <w:tcBorders>
              <w:top w:val="nil"/>
              <w:left w:val="nil"/>
              <w:bottom w:val="single" w:sz="4" w:space="0" w:color="000000"/>
              <w:right w:val="single" w:sz="4" w:space="0" w:color="000000"/>
            </w:tcBorders>
            <w:shd w:val="clear" w:color="auto" w:fill="auto"/>
            <w:vAlign w:val="bottom"/>
          </w:tcPr>
          <w:p w14:paraId="1FCE65AE"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100,48</w:t>
            </w:r>
          </w:p>
        </w:tc>
        <w:tc>
          <w:tcPr>
            <w:tcW w:w="723" w:type="dxa"/>
            <w:tcBorders>
              <w:top w:val="nil"/>
              <w:left w:val="nil"/>
              <w:bottom w:val="single" w:sz="4" w:space="0" w:color="000000"/>
              <w:right w:val="single" w:sz="4" w:space="0" w:color="000000"/>
            </w:tcBorders>
            <w:shd w:val="clear" w:color="auto" w:fill="auto"/>
            <w:vAlign w:val="bottom"/>
          </w:tcPr>
          <w:p w14:paraId="4C1F9941"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100,45</w:t>
            </w:r>
          </w:p>
        </w:tc>
        <w:tc>
          <w:tcPr>
            <w:tcW w:w="723" w:type="dxa"/>
            <w:tcBorders>
              <w:top w:val="nil"/>
              <w:left w:val="nil"/>
              <w:bottom w:val="single" w:sz="4" w:space="0" w:color="000000"/>
              <w:right w:val="single" w:sz="4" w:space="0" w:color="000000"/>
            </w:tcBorders>
            <w:shd w:val="clear" w:color="auto" w:fill="auto"/>
            <w:vAlign w:val="bottom"/>
          </w:tcPr>
          <w:p w14:paraId="734732AB"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100,50</w:t>
            </w:r>
          </w:p>
        </w:tc>
        <w:tc>
          <w:tcPr>
            <w:tcW w:w="723" w:type="dxa"/>
            <w:tcBorders>
              <w:top w:val="nil"/>
              <w:left w:val="nil"/>
              <w:bottom w:val="single" w:sz="4" w:space="0" w:color="000000"/>
              <w:right w:val="single" w:sz="4" w:space="0" w:color="000000"/>
            </w:tcBorders>
            <w:shd w:val="clear" w:color="auto" w:fill="auto"/>
            <w:vAlign w:val="bottom"/>
          </w:tcPr>
          <w:p w14:paraId="0D6FC51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99,75</w:t>
            </w:r>
          </w:p>
        </w:tc>
        <w:tc>
          <w:tcPr>
            <w:tcW w:w="723" w:type="dxa"/>
            <w:tcBorders>
              <w:top w:val="nil"/>
              <w:left w:val="nil"/>
              <w:bottom w:val="single" w:sz="4" w:space="0" w:color="000000"/>
              <w:right w:val="single" w:sz="4" w:space="0" w:color="000000"/>
            </w:tcBorders>
            <w:shd w:val="clear" w:color="auto" w:fill="auto"/>
            <w:vAlign w:val="bottom"/>
          </w:tcPr>
          <w:p w14:paraId="13E86CF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99,70</w:t>
            </w:r>
          </w:p>
        </w:tc>
      </w:tr>
      <w:tr w:rsidR="0080644F" w:rsidRPr="00D21DD8" w14:paraId="6929CA81" w14:textId="77777777" w:rsidTr="0080644F">
        <w:trPr>
          <w:trHeight w:val="223"/>
        </w:trPr>
        <w:tc>
          <w:tcPr>
            <w:tcW w:w="1203" w:type="dxa"/>
            <w:tcBorders>
              <w:top w:val="nil"/>
              <w:left w:val="single" w:sz="4" w:space="0" w:color="000000"/>
              <w:bottom w:val="single" w:sz="4" w:space="0" w:color="000000"/>
              <w:right w:val="single" w:sz="4" w:space="0" w:color="000000"/>
            </w:tcBorders>
            <w:shd w:val="clear" w:color="auto" w:fill="auto"/>
            <w:vAlign w:val="bottom"/>
          </w:tcPr>
          <w:p w14:paraId="1D3E82EC" w14:textId="77777777" w:rsidR="00115CD6" w:rsidRPr="00D21DD8" w:rsidRDefault="00115CD6" w:rsidP="00115CD6">
            <w:pPr>
              <w:spacing w:after="0" w:line="240" w:lineRule="auto"/>
              <w:ind w:left="0"/>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02314DD6"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2021</w:t>
            </w:r>
          </w:p>
        </w:tc>
        <w:tc>
          <w:tcPr>
            <w:tcW w:w="723" w:type="dxa"/>
            <w:tcBorders>
              <w:top w:val="nil"/>
              <w:left w:val="nil"/>
              <w:bottom w:val="single" w:sz="4" w:space="0" w:color="000000"/>
              <w:right w:val="single" w:sz="4" w:space="0" w:color="000000"/>
            </w:tcBorders>
            <w:shd w:val="clear" w:color="auto" w:fill="auto"/>
            <w:vAlign w:val="bottom"/>
          </w:tcPr>
          <w:p w14:paraId="3883C3C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100,08</w:t>
            </w:r>
          </w:p>
        </w:tc>
        <w:tc>
          <w:tcPr>
            <w:tcW w:w="723" w:type="dxa"/>
            <w:tcBorders>
              <w:top w:val="nil"/>
              <w:left w:val="nil"/>
              <w:bottom w:val="single" w:sz="4" w:space="0" w:color="000000"/>
              <w:right w:val="single" w:sz="4" w:space="0" w:color="000000"/>
            </w:tcBorders>
            <w:shd w:val="clear" w:color="auto" w:fill="auto"/>
            <w:vAlign w:val="bottom"/>
          </w:tcPr>
          <w:p w14:paraId="31F9F27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99,09</w:t>
            </w:r>
          </w:p>
        </w:tc>
        <w:tc>
          <w:tcPr>
            <w:tcW w:w="723" w:type="dxa"/>
            <w:tcBorders>
              <w:top w:val="nil"/>
              <w:left w:val="nil"/>
              <w:bottom w:val="single" w:sz="4" w:space="0" w:color="000000"/>
              <w:right w:val="single" w:sz="4" w:space="0" w:color="000000"/>
            </w:tcBorders>
            <w:shd w:val="clear" w:color="auto" w:fill="auto"/>
            <w:vAlign w:val="bottom"/>
          </w:tcPr>
          <w:p w14:paraId="5CD6F1C1"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99,19</w:t>
            </w:r>
          </w:p>
        </w:tc>
        <w:tc>
          <w:tcPr>
            <w:tcW w:w="723" w:type="dxa"/>
            <w:tcBorders>
              <w:top w:val="nil"/>
              <w:left w:val="nil"/>
              <w:bottom w:val="single" w:sz="4" w:space="0" w:color="000000"/>
              <w:right w:val="single" w:sz="4" w:space="0" w:color="000000"/>
            </w:tcBorders>
            <w:shd w:val="clear" w:color="auto" w:fill="auto"/>
            <w:vAlign w:val="bottom"/>
          </w:tcPr>
          <w:p w14:paraId="3D0559FF"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99,52</w:t>
            </w:r>
          </w:p>
        </w:tc>
        <w:tc>
          <w:tcPr>
            <w:tcW w:w="723" w:type="dxa"/>
            <w:tcBorders>
              <w:top w:val="nil"/>
              <w:left w:val="nil"/>
              <w:bottom w:val="single" w:sz="4" w:space="0" w:color="000000"/>
              <w:right w:val="single" w:sz="4" w:space="0" w:color="000000"/>
            </w:tcBorders>
            <w:shd w:val="clear" w:color="auto" w:fill="auto"/>
            <w:vAlign w:val="bottom"/>
          </w:tcPr>
          <w:p w14:paraId="115A6029"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99,63</w:t>
            </w:r>
          </w:p>
        </w:tc>
        <w:tc>
          <w:tcPr>
            <w:tcW w:w="723" w:type="dxa"/>
            <w:tcBorders>
              <w:top w:val="nil"/>
              <w:left w:val="nil"/>
              <w:bottom w:val="single" w:sz="4" w:space="0" w:color="000000"/>
              <w:right w:val="single" w:sz="4" w:space="0" w:color="000000"/>
            </w:tcBorders>
            <w:shd w:val="clear" w:color="auto" w:fill="auto"/>
            <w:vAlign w:val="bottom"/>
          </w:tcPr>
          <w:p w14:paraId="5327B42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99,91</w:t>
            </w:r>
          </w:p>
        </w:tc>
        <w:tc>
          <w:tcPr>
            <w:tcW w:w="723" w:type="dxa"/>
            <w:tcBorders>
              <w:top w:val="nil"/>
              <w:left w:val="nil"/>
              <w:bottom w:val="single" w:sz="4" w:space="0" w:color="000000"/>
              <w:right w:val="single" w:sz="4" w:space="0" w:color="000000"/>
            </w:tcBorders>
            <w:shd w:val="clear" w:color="auto" w:fill="auto"/>
            <w:vAlign w:val="bottom"/>
          </w:tcPr>
          <w:p w14:paraId="3537ED6D"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101,28</w:t>
            </w:r>
          </w:p>
        </w:tc>
        <w:tc>
          <w:tcPr>
            <w:tcW w:w="723" w:type="dxa"/>
            <w:tcBorders>
              <w:top w:val="nil"/>
              <w:left w:val="nil"/>
              <w:bottom w:val="single" w:sz="4" w:space="0" w:color="000000"/>
              <w:right w:val="single" w:sz="4" w:space="0" w:color="000000"/>
            </w:tcBorders>
            <w:shd w:val="clear" w:color="auto" w:fill="auto"/>
            <w:vAlign w:val="bottom"/>
          </w:tcPr>
          <w:p w14:paraId="3D9C4896"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101,82</w:t>
            </w:r>
          </w:p>
        </w:tc>
        <w:tc>
          <w:tcPr>
            <w:tcW w:w="723" w:type="dxa"/>
            <w:tcBorders>
              <w:top w:val="nil"/>
              <w:left w:val="nil"/>
              <w:bottom w:val="single" w:sz="4" w:space="0" w:color="000000"/>
              <w:right w:val="single" w:sz="4" w:space="0" w:color="000000"/>
            </w:tcBorders>
            <w:shd w:val="clear" w:color="auto" w:fill="auto"/>
            <w:vAlign w:val="bottom"/>
          </w:tcPr>
          <w:p w14:paraId="2F99821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102,29</w:t>
            </w:r>
          </w:p>
        </w:tc>
        <w:tc>
          <w:tcPr>
            <w:tcW w:w="723" w:type="dxa"/>
            <w:tcBorders>
              <w:top w:val="nil"/>
              <w:left w:val="nil"/>
              <w:bottom w:val="single" w:sz="4" w:space="0" w:color="000000"/>
              <w:right w:val="single" w:sz="4" w:space="0" w:color="000000"/>
            </w:tcBorders>
            <w:shd w:val="clear" w:color="auto" w:fill="auto"/>
            <w:vAlign w:val="bottom"/>
          </w:tcPr>
          <w:p w14:paraId="2F20F09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102,46</w:t>
            </w:r>
          </w:p>
        </w:tc>
        <w:tc>
          <w:tcPr>
            <w:tcW w:w="723" w:type="dxa"/>
            <w:tcBorders>
              <w:top w:val="nil"/>
              <w:left w:val="nil"/>
              <w:bottom w:val="single" w:sz="4" w:space="0" w:color="000000"/>
              <w:right w:val="single" w:sz="4" w:space="0" w:color="000000"/>
            </w:tcBorders>
            <w:shd w:val="clear" w:color="auto" w:fill="auto"/>
            <w:vAlign w:val="bottom"/>
          </w:tcPr>
          <w:p w14:paraId="1DBAC632"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109,71</w:t>
            </w:r>
          </w:p>
        </w:tc>
        <w:tc>
          <w:tcPr>
            <w:tcW w:w="723" w:type="dxa"/>
            <w:tcBorders>
              <w:top w:val="nil"/>
              <w:left w:val="nil"/>
              <w:bottom w:val="single" w:sz="4" w:space="0" w:color="000000"/>
              <w:right w:val="single" w:sz="4" w:space="0" w:color="000000"/>
            </w:tcBorders>
            <w:shd w:val="clear" w:color="auto" w:fill="auto"/>
            <w:vAlign w:val="bottom"/>
          </w:tcPr>
          <w:p w14:paraId="215230E0"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111,59</w:t>
            </w:r>
          </w:p>
        </w:tc>
      </w:tr>
      <w:tr w:rsidR="0080644F" w:rsidRPr="00D21DD8" w14:paraId="439A669B" w14:textId="77777777" w:rsidTr="0080644F">
        <w:trPr>
          <w:trHeight w:val="282"/>
        </w:trPr>
        <w:tc>
          <w:tcPr>
            <w:tcW w:w="1203" w:type="dxa"/>
            <w:tcBorders>
              <w:top w:val="nil"/>
              <w:left w:val="single" w:sz="4" w:space="0" w:color="000000"/>
              <w:bottom w:val="single" w:sz="4" w:space="0" w:color="000000"/>
              <w:right w:val="single" w:sz="4" w:space="0" w:color="000000"/>
            </w:tcBorders>
            <w:shd w:val="clear" w:color="auto" w:fill="auto"/>
            <w:vAlign w:val="bottom"/>
          </w:tcPr>
          <w:p w14:paraId="034A9B7F" w14:textId="77777777" w:rsidR="00115CD6" w:rsidRPr="00D21DD8" w:rsidRDefault="00115CD6" w:rsidP="00115CD6">
            <w:pPr>
              <w:spacing w:after="0" w:line="240" w:lineRule="auto"/>
              <w:ind w:left="0"/>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 </w:t>
            </w:r>
          </w:p>
        </w:tc>
        <w:tc>
          <w:tcPr>
            <w:tcW w:w="585" w:type="dxa"/>
            <w:tcBorders>
              <w:top w:val="nil"/>
              <w:left w:val="nil"/>
              <w:bottom w:val="single" w:sz="4" w:space="0" w:color="000000"/>
              <w:right w:val="single" w:sz="4" w:space="0" w:color="000000"/>
            </w:tcBorders>
            <w:shd w:val="clear" w:color="auto" w:fill="auto"/>
            <w:vAlign w:val="bottom"/>
          </w:tcPr>
          <w:p w14:paraId="603C0870" w14:textId="77777777" w:rsidR="00115CD6" w:rsidRPr="00D21DD8" w:rsidRDefault="00115CD6" w:rsidP="00115CD6">
            <w:pPr>
              <w:spacing w:after="0" w:line="240" w:lineRule="auto"/>
              <w:ind w:left="0"/>
              <w:rPr>
                <w:rFonts w:ascii="Calibri" w:eastAsia="Calibri" w:hAnsi="Calibri" w:cs="Calibri"/>
                <w:b/>
                <w:color w:val="000000"/>
                <w:sz w:val="18"/>
                <w:szCs w:val="18"/>
                <w:lang w:val="ro-MD" w:eastAsia="ro-MD"/>
              </w:rPr>
            </w:pPr>
            <w:r w:rsidRPr="00D21DD8">
              <w:rPr>
                <w:rFonts w:ascii="Calibri" w:eastAsia="Calibri" w:hAnsi="Calibri" w:cs="Calibri"/>
                <w:b/>
                <w:color w:val="000000"/>
                <w:sz w:val="18"/>
                <w:szCs w:val="18"/>
                <w:lang w:val="ro-MD" w:eastAsia="ro-MD"/>
              </w:rPr>
              <w:t>2022</w:t>
            </w:r>
          </w:p>
        </w:tc>
        <w:tc>
          <w:tcPr>
            <w:tcW w:w="723" w:type="dxa"/>
            <w:tcBorders>
              <w:top w:val="nil"/>
              <w:left w:val="nil"/>
              <w:bottom w:val="single" w:sz="4" w:space="0" w:color="000000"/>
              <w:right w:val="single" w:sz="4" w:space="0" w:color="000000"/>
            </w:tcBorders>
            <w:shd w:val="clear" w:color="auto" w:fill="auto"/>
            <w:vAlign w:val="bottom"/>
          </w:tcPr>
          <w:p w14:paraId="7A1C9E7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102,96</w:t>
            </w:r>
          </w:p>
        </w:tc>
        <w:tc>
          <w:tcPr>
            <w:tcW w:w="723" w:type="dxa"/>
            <w:tcBorders>
              <w:top w:val="nil"/>
              <w:left w:val="nil"/>
              <w:bottom w:val="single" w:sz="4" w:space="0" w:color="000000"/>
              <w:right w:val="single" w:sz="4" w:space="0" w:color="000000"/>
            </w:tcBorders>
            <w:shd w:val="clear" w:color="auto" w:fill="auto"/>
            <w:vAlign w:val="bottom"/>
          </w:tcPr>
          <w:p w14:paraId="36F7E351"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103,87</w:t>
            </w:r>
          </w:p>
        </w:tc>
        <w:tc>
          <w:tcPr>
            <w:tcW w:w="723" w:type="dxa"/>
            <w:tcBorders>
              <w:top w:val="nil"/>
              <w:left w:val="nil"/>
              <w:bottom w:val="single" w:sz="4" w:space="0" w:color="000000"/>
              <w:right w:val="single" w:sz="4" w:space="0" w:color="000000"/>
            </w:tcBorders>
            <w:shd w:val="clear" w:color="auto" w:fill="auto"/>
            <w:vAlign w:val="bottom"/>
          </w:tcPr>
          <w:p w14:paraId="5ED87B2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107,86</w:t>
            </w:r>
          </w:p>
        </w:tc>
        <w:tc>
          <w:tcPr>
            <w:tcW w:w="723" w:type="dxa"/>
            <w:tcBorders>
              <w:top w:val="nil"/>
              <w:left w:val="nil"/>
              <w:bottom w:val="single" w:sz="4" w:space="0" w:color="000000"/>
              <w:right w:val="single" w:sz="4" w:space="0" w:color="000000"/>
            </w:tcBorders>
            <w:shd w:val="clear" w:color="auto" w:fill="auto"/>
            <w:vAlign w:val="bottom"/>
          </w:tcPr>
          <w:p w14:paraId="31F99A7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119,86</w:t>
            </w:r>
          </w:p>
        </w:tc>
        <w:tc>
          <w:tcPr>
            <w:tcW w:w="723" w:type="dxa"/>
            <w:tcBorders>
              <w:top w:val="nil"/>
              <w:left w:val="nil"/>
              <w:bottom w:val="single" w:sz="4" w:space="0" w:color="000000"/>
              <w:right w:val="single" w:sz="4" w:space="0" w:color="000000"/>
            </w:tcBorders>
            <w:shd w:val="clear" w:color="auto" w:fill="auto"/>
            <w:vAlign w:val="bottom"/>
          </w:tcPr>
          <w:p w14:paraId="4FA81834"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120,77</w:t>
            </w:r>
          </w:p>
        </w:tc>
        <w:tc>
          <w:tcPr>
            <w:tcW w:w="723" w:type="dxa"/>
            <w:tcBorders>
              <w:top w:val="nil"/>
              <w:left w:val="nil"/>
              <w:bottom w:val="single" w:sz="4" w:space="0" w:color="000000"/>
              <w:right w:val="single" w:sz="4" w:space="0" w:color="000000"/>
            </w:tcBorders>
            <w:shd w:val="clear" w:color="auto" w:fill="auto"/>
            <w:vAlign w:val="bottom"/>
          </w:tcPr>
          <w:p w14:paraId="7EB57394" w14:textId="22C0FD4F" w:rsidR="00115CD6" w:rsidRPr="00D21DD8" w:rsidRDefault="00E24F15"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125,97</w:t>
            </w:r>
          </w:p>
        </w:tc>
        <w:tc>
          <w:tcPr>
            <w:tcW w:w="723" w:type="dxa"/>
            <w:tcBorders>
              <w:top w:val="nil"/>
              <w:left w:val="nil"/>
              <w:bottom w:val="single" w:sz="4" w:space="0" w:color="000000"/>
              <w:right w:val="single" w:sz="4" w:space="0" w:color="000000"/>
            </w:tcBorders>
            <w:shd w:val="clear" w:color="auto" w:fill="auto"/>
            <w:vAlign w:val="bottom"/>
          </w:tcPr>
          <w:p w14:paraId="121FFC2A"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7019936C"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203990F8"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5B7B41F3"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229DE889"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c>
          <w:tcPr>
            <w:tcW w:w="723" w:type="dxa"/>
            <w:tcBorders>
              <w:top w:val="nil"/>
              <w:left w:val="nil"/>
              <w:bottom w:val="single" w:sz="4" w:space="0" w:color="000000"/>
              <w:right w:val="single" w:sz="4" w:space="0" w:color="000000"/>
            </w:tcBorders>
            <w:shd w:val="clear" w:color="auto" w:fill="auto"/>
            <w:vAlign w:val="bottom"/>
          </w:tcPr>
          <w:p w14:paraId="1EEEA0C5" w14:textId="77777777" w:rsidR="00115CD6" w:rsidRPr="00D21DD8" w:rsidRDefault="00115CD6" w:rsidP="00115CD6">
            <w:pPr>
              <w:spacing w:after="0" w:line="240" w:lineRule="auto"/>
              <w:ind w:left="0"/>
              <w:jc w:val="right"/>
              <w:rPr>
                <w:rFonts w:ascii="Calibri" w:eastAsia="Calibri" w:hAnsi="Calibri" w:cs="Calibri"/>
                <w:color w:val="000000"/>
                <w:sz w:val="18"/>
                <w:szCs w:val="18"/>
                <w:lang w:val="ro-MD" w:eastAsia="ro-MD"/>
              </w:rPr>
            </w:pPr>
            <w:r w:rsidRPr="00D21DD8">
              <w:rPr>
                <w:rFonts w:ascii="Calibri" w:eastAsia="Calibri" w:hAnsi="Calibri" w:cs="Calibri"/>
                <w:color w:val="000000"/>
                <w:sz w:val="18"/>
                <w:szCs w:val="18"/>
                <w:lang w:val="ro-MD" w:eastAsia="ro-MD"/>
              </w:rPr>
              <w:t>..</w:t>
            </w:r>
          </w:p>
        </w:tc>
      </w:tr>
    </w:tbl>
    <w:p w14:paraId="1576A34D" w14:textId="77777777" w:rsidR="00115CD6" w:rsidRPr="00D21DD8" w:rsidRDefault="00115CD6" w:rsidP="00115CD6">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20"/>
          <w:szCs w:val="20"/>
        </w:rPr>
      </w:pPr>
      <w:r w:rsidRPr="00D21DD8">
        <w:rPr>
          <w:rFonts w:ascii="Times New Roman" w:eastAsia="Times New Roman" w:hAnsi="Times New Roman" w:cs="Times New Roman"/>
          <w:i/>
          <w:color w:val="000000"/>
          <w:sz w:val="20"/>
          <w:szCs w:val="20"/>
        </w:rPr>
        <w:t>Sursa: BNS</w:t>
      </w:r>
    </w:p>
    <w:p w14:paraId="0363738E" w14:textId="77777777" w:rsidR="00115CD6" w:rsidRPr="00D21DD8" w:rsidRDefault="00115CD6" w:rsidP="00115CD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p>
    <w:p w14:paraId="1954B301" w14:textId="54F679CD" w:rsidR="00115CD6" w:rsidRPr="00D21DD8" w:rsidRDefault="00115CD6" w:rsidP="00115CD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După cum se poate observa evoluția indicelui prețului de consum în timp  reflectă o creștere continuă a prețului coșului de bunuri și servicii al unei gospodării medii din economie. Inflația a devenit principala problemă economică și socială a anului curent, atât pentru Republica Moldova, cât și pentru economia globală, pe fundalul creșterii prețurilor internaționale la produsele alimentare și resursele energetice, și a războiului din Ucraina. </w:t>
      </w:r>
      <w:sdt>
        <w:sdtPr>
          <w:tag w:val="goog_rdk_1"/>
          <w:id w:val="-2048600841"/>
        </w:sdtPr>
        <w:sdtEndPr/>
        <w:sdtContent/>
      </w:sdt>
      <w:r w:rsidRPr="00D21DD8">
        <w:rPr>
          <w:rFonts w:ascii="Times New Roman" w:eastAsia="Times New Roman" w:hAnsi="Times New Roman" w:cs="Times New Roman"/>
          <w:color w:val="000000"/>
          <w:sz w:val="28"/>
          <w:szCs w:val="28"/>
        </w:rPr>
        <w:t xml:space="preserve">Astfel, inflația anuală a ajuns la </w:t>
      </w:r>
      <w:r w:rsidR="003144D4" w:rsidRPr="00D21DD8">
        <w:rPr>
          <w:rFonts w:ascii="Times New Roman" w:eastAsia="Times New Roman" w:hAnsi="Times New Roman" w:cs="Times New Roman"/>
          <w:color w:val="000000"/>
          <w:sz w:val="28"/>
          <w:szCs w:val="28"/>
        </w:rPr>
        <w:t>31</w:t>
      </w:r>
      <w:r w:rsidRPr="00D21DD8">
        <w:rPr>
          <w:rFonts w:ascii="Times New Roman" w:eastAsia="Times New Roman" w:hAnsi="Times New Roman" w:cs="Times New Roman"/>
          <w:color w:val="000000"/>
          <w:sz w:val="28"/>
          <w:szCs w:val="28"/>
        </w:rPr>
        <w:t>,</w:t>
      </w:r>
      <w:r w:rsidR="003144D4" w:rsidRPr="00D21DD8">
        <w:rPr>
          <w:rFonts w:ascii="Times New Roman" w:eastAsia="Times New Roman" w:hAnsi="Times New Roman" w:cs="Times New Roman"/>
          <w:color w:val="000000"/>
          <w:sz w:val="28"/>
          <w:szCs w:val="28"/>
        </w:rPr>
        <w:t>83</w:t>
      </w:r>
      <w:r w:rsidRPr="00D21DD8">
        <w:rPr>
          <w:rFonts w:ascii="Times New Roman" w:eastAsia="Times New Roman" w:hAnsi="Times New Roman" w:cs="Times New Roman"/>
          <w:color w:val="000000"/>
          <w:sz w:val="28"/>
          <w:szCs w:val="28"/>
        </w:rPr>
        <w:t xml:space="preserve">% în </w:t>
      </w:r>
      <w:r w:rsidR="003144D4" w:rsidRPr="00D21DD8">
        <w:rPr>
          <w:rFonts w:ascii="Times New Roman" w:eastAsia="Times New Roman" w:hAnsi="Times New Roman" w:cs="Times New Roman"/>
          <w:color w:val="000000"/>
          <w:sz w:val="28"/>
          <w:szCs w:val="28"/>
        </w:rPr>
        <w:t>luna iunie 2022</w:t>
      </w:r>
      <w:r w:rsidRPr="00D21DD8">
        <w:rPr>
          <w:rFonts w:ascii="Times New Roman" w:eastAsia="Times New Roman" w:hAnsi="Times New Roman" w:cs="Times New Roman"/>
          <w:color w:val="000000"/>
          <w:sz w:val="28"/>
          <w:szCs w:val="28"/>
        </w:rPr>
        <w:t>, iar în lunile următoare, cel mai probabil, va depăși pragul de 3</w:t>
      </w:r>
      <w:r w:rsidR="003144D4" w:rsidRPr="00D21DD8">
        <w:rPr>
          <w:rFonts w:ascii="Times New Roman" w:eastAsia="Times New Roman" w:hAnsi="Times New Roman" w:cs="Times New Roman"/>
          <w:color w:val="000000"/>
          <w:sz w:val="28"/>
          <w:szCs w:val="28"/>
        </w:rPr>
        <w:t>3</w:t>
      </w:r>
      <w:r w:rsidRPr="00D21DD8">
        <w:rPr>
          <w:rFonts w:ascii="Times New Roman" w:eastAsia="Times New Roman" w:hAnsi="Times New Roman" w:cs="Times New Roman"/>
          <w:color w:val="000000"/>
          <w:sz w:val="28"/>
          <w:szCs w:val="28"/>
        </w:rPr>
        <w:t>%. Totodată, și în Uniunea Europeană, Marea Britanie sau Statele Unite ale Americii aceasta a atins nivele maxime din ultimele decenii. Pentru Moldova, consumul căreia depinde în proporție de circa 60% de importuri, iar în cazul resurselor energetice dependența este practic completă de importuri, inflația globală s-a transformat imediat într-o problemă națională complexă.</w:t>
      </w:r>
    </w:p>
    <w:p w14:paraId="0EAB7FBF" w14:textId="77777777" w:rsidR="003144D4" w:rsidRPr="00D21DD8" w:rsidRDefault="003144D4" w:rsidP="00115CD6">
      <w:pPr>
        <w:widowControl w:val="0"/>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p>
    <w:p w14:paraId="504C2686" w14:textId="50F8CCF6" w:rsidR="0080644F" w:rsidRPr="00D21DD8" w:rsidRDefault="0080644F" w:rsidP="003144D4">
      <w:pPr>
        <w:widowControl w:val="0"/>
        <w:spacing w:after="0" w:line="240" w:lineRule="auto"/>
        <w:ind w:firstLine="851"/>
        <w:jc w:val="both"/>
        <w:rPr>
          <w:rFonts w:ascii="Times New Roman" w:eastAsia="Times New Roman" w:hAnsi="Times New Roman" w:cs="Times New Roman"/>
          <w:b/>
          <w:i/>
          <w:color w:val="000000"/>
          <w:sz w:val="28"/>
          <w:szCs w:val="28"/>
        </w:rPr>
      </w:pPr>
      <w:r w:rsidRPr="00D21DD8">
        <w:rPr>
          <w:rFonts w:ascii="Times New Roman" w:eastAsia="Times New Roman" w:hAnsi="Times New Roman" w:cs="Times New Roman"/>
          <w:b/>
          <w:i/>
          <w:color w:val="000000"/>
          <w:sz w:val="28"/>
          <w:szCs w:val="28"/>
        </w:rPr>
        <w:t xml:space="preserve">IV. Activitatea Comisiei </w:t>
      </w:r>
      <w:r w:rsidR="003144D4" w:rsidRPr="00D21DD8">
        <w:rPr>
          <w:rFonts w:ascii="Times New Roman" w:eastAsia="Times New Roman" w:hAnsi="Times New Roman" w:cs="Times New Roman"/>
          <w:b/>
          <w:i/>
          <w:color w:val="000000"/>
          <w:sz w:val="28"/>
          <w:szCs w:val="28"/>
        </w:rPr>
        <w:t xml:space="preserve">speciale </w:t>
      </w:r>
      <w:r w:rsidRPr="00D21DD8">
        <w:rPr>
          <w:rFonts w:ascii="Times New Roman" w:eastAsia="Times New Roman" w:hAnsi="Times New Roman" w:cs="Times New Roman"/>
          <w:b/>
          <w:i/>
          <w:color w:val="000000"/>
          <w:sz w:val="28"/>
          <w:szCs w:val="28"/>
        </w:rPr>
        <w:t>și audierile efectuate</w:t>
      </w:r>
    </w:p>
    <w:p w14:paraId="70E3F47B" w14:textId="77777777" w:rsidR="003144D4" w:rsidRPr="00D21DD8" w:rsidRDefault="003144D4" w:rsidP="003144D4">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Pentru realizarea mandatului său de activitate din data constituirii Comisia specială a identificat procedura privind desfășurarea activității sale, obiectul de activitate și cercul de subiecți, care urmează a fi atrași în activitatea sa prin audieri, precum și informația ce urmează a fi solicitată de la instituțiile competente ale statului, cu stabilirea listei persoanelor ce urmează a fi audiate.</w:t>
      </w:r>
    </w:p>
    <w:p w14:paraId="74271030" w14:textId="77777777" w:rsidR="003144D4" w:rsidRPr="00D21DD8" w:rsidRDefault="003144D4" w:rsidP="003144D4">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Astfel, în vederea realizării scopului stabilit, Comisia specială a făcut mai multe demersuri în adresa autorităților și instituțiilor publice ale statului abilitate cu atribuții în procesul decizional privind controlul inflației și politica monetară: Banca Națională a Moldovei, Ministerul Finanțelor, Ministerul Economiei, solicitând informația cu privire la rapoarte, analize, decizii examinate ce țin de obiectul de activitate a Comisiei speciale.</w:t>
      </w:r>
    </w:p>
    <w:p w14:paraId="47E7668B" w14:textId="77777777" w:rsidR="00B1635D" w:rsidRPr="00D21DD8" w:rsidRDefault="00B1635D" w:rsidP="00B1635D">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u w:val="single"/>
          <w:lang w:eastAsia="ru-RU"/>
        </w:rPr>
        <w:t xml:space="preserve">La ședința din data de 8 iunie 2022 </w:t>
      </w:r>
      <w:r w:rsidRPr="00D21DD8">
        <w:rPr>
          <w:rFonts w:ascii="Times New Roman" w:eastAsia="Times New Roman" w:hAnsi="Times New Roman" w:cs="Times New Roman"/>
          <w:color w:val="000000"/>
          <w:sz w:val="28"/>
          <w:szCs w:val="28"/>
          <w:lang w:eastAsia="ru-RU"/>
        </w:rPr>
        <w:t xml:space="preserve">, Comisia specială a invitat Ministerul Finanțelor.  La audieri a fost prezent dl. Ion GUMENE, Secretar de Stat. </w:t>
      </w:r>
    </w:p>
    <w:p w14:paraId="1355ACD4" w14:textId="63532902" w:rsidR="00B1635D" w:rsidRPr="00D21DD8" w:rsidRDefault="00B1635D" w:rsidP="00B1635D">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În cadrul acestei ședințe s-au discutat următoarele: aspectele generale privind rolul Ministerului Finanțelor față de măsurile întreprinse în procesul decizional privind controlul inflației și politica monetară pe parcursul ultimelor 18 luni, modul de cooperare dintre Ministerul Finanțelor și Banca Națională în vederea identificării factorilor ce au alimentat inflația și instrumentele de soluționare, evoluția și dinamica prețurilor de consum, situația actuală a inflației și premisele de viitor, metodele utilizate de către Ministerul Finanțelor în vederea temperării procesului inflaționist, efectele coeficienților prognozați de inflație care se utilizează la elaborarea politicii fiscal bugetare și a legii bugetului, activitatea Comitetului Național de Stabilitate Financiară și numărul de ședințe care au avut loc, sursele de acoperire a deficitului bugetar prin prisma vânzărilor valorilor mobiliare de stat (VMS) și creșterea ratei dobânzilor la VMS, valorile ratei inflației utilizate la elaborarea bugetului pentru anul (2020-2021), influența inflației asupra proiectelor</w:t>
      </w:r>
      <w:r w:rsidR="00003BCF" w:rsidRPr="00D21DD8">
        <w:rPr>
          <w:rFonts w:ascii="Times New Roman" w:eastAsia="Times New Roman" w:hAnsi="Times New Roman" w:cs="Times New Roman"/>
          <w:color w:val="000000"/>
          <w:sz w:val="28"/>
          <w:szCs w:val="28"/>
          <w:lang w:eastAsia="ru-RU"/>
        </w:rPr>
        <w:t xml:space="preserve"> </w:t>
      </w:r>
      <w:r w:rsidR="00DA33C8" w:rsidRPr="00D21DD8">
        <w:rPr>
          <w:rFonts w:ascii="Times New Roman" w:eastAsia="Times New Roman" w:hAnsi="Times New Roman" w:cs="Times New Roman"/>
          <w:color w:val="000000"/>
          <w:sz w:val="28"/>
          <w:szCs w:val="28"/>
          <w:lang w:val="ro-MD" w:eastAsia="ru-RU"/>
        </w:rPr>
        <w:t>investiționale</w:t>
      </w:r>
      <w:r w:rsidRPr="00D21DD8">
        <w:rPr>
          <w:rFonts w:ascii="Times New Roman" w:eastAsia="Times New Roman" w:hAnsi="Times New Roman" w:cs="Times New Roman"/>
          <w:color w:val="000000"/>
          <w:sz w:val="28"/>
          <w:szCs w:val="28"/>
          <w:lang w:eastAsia="ru-RU"/>
        </w:rPr>
        <w:t xml:space="preserve">, discuțiile Ministerului Finanțelor cu Banca Națională despre efectul creșterii pensiilor și a salariilor în procesul </w:t>
      </w:r>
      <w:r w:rsidRPr="00D21DD8">
        <w:rPr>
          <w:rFonts w:ascii="Times New Roman" w:eastAsia="Times New Roman" w:hAnsi="Times New Roman" w:cs="Times New Roman"/>
          <w:color w:val="000000"/>
          <w:sz w:val="28"/>
          <w:szCs w:val="28"/>
          <w:lang w:eastAsia="ru-RU"/>
        </w:rPr>
        <w:lastRenderedPageBreak/>
        <w:t xml:space="preserve">inflaționist, existența pârghiilor care le utilizează Ministerul Finanțelor în vederea reducerii consumului ca factor a procesului inflaționist, existența unor platforme/comitete de interacțiune dintre Ministerul Finanțelor și Banca Națională, coordonarea politicilor fiscale a Ministerului Finanțelor cu Banca Națională. </w:t>
      </w:r>
    </w:p>
    <w:p w14:paraId="58D3FBAF" w14:textId="77777777" w:rsidR="00B1635D" w:rsidRPr="00D21DD8" w:rsidRDefault="00B1635D" w:rsidP="00B1635D">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i/>
          <w:color w:val="000000"/>
          <w:sz w:val="28"/>
          <w:szCs w:val="28"/>
          <w:lang w:eastAsia="ru-RU"/>
        </w:rPr>
        <w:t xml:space="preserve">Rezultatul audierilor. </w:t>
      </w:r>
      <w:r w:rsidRPr="00D21DD8">
        <w:rPr>
          <w:rFonts w:ascii="Times New Roman" w:eastAsia="Times New Roman" w:hAnsi="Times New Roman" w:cs="Times New Roman"/>
          <w:color w:val="000000"/>
          <w:sz w:val="28"/>
          <w:szCs w:val="28"/>
          <w:lang w:eastAsia="ru-RU"/>
        </w:rPr>
        <w:t>Dl. Secretar de Stat, a menționat că obiectivul fundamental de asigurare a stabilității prețurilor și menținerea ratei inflației este al Băncii Naționale. Ministerul Finanțelor utilizează indicatorii de prognoză a inflației la elaborarea bugetului și a politicii fiscale. De asemenea, a precizat că Ministerul nu deține pârghii directe care ar putea fi utilizate în scopul diminuării procesului inflaționist. A fost stipulat că Ministerul Finanțelor cooperează cu Banca Națională la subiectul inflației dar nu există platforme sau comitete de cooperare, unele subiecte fiind discutate la Comitetul Național de Stabilitate Financiară.</w:t>
      </w:r>
    </w:p>
    <w:p w14:paraId="4C81C623" w14:textId="77777777" w:rsidR="005A4ED0" w:rsidRPr="00D21DD8" w:rsidRDefault="005A4ED0" w:rsidP="005A4ED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u w:val="single"/>
          <w:lang w:eastAsia="ru-RU"/>
        </w:rPr>
        <w:t>Pe data de 10.06.2022</w:t>
      </w:r>
      <w:r w:rsidRPr="00D21DD8">
        <w:rPr>
          <w:rFonts w:ascii="Times New Roman" w:eastAsia="Times New Roman" w:hAnsi="Times New Roman" w:cs="Times New Roman"/>
          <w:color w:val="000000"/>
          <w:sz w:val="28"/>
          <w:szCs w:val="28"/>
          <w:lang w:eastAsia="ru-RU"/>
        </w:rPr>
        <w:t xml:space="preserve">, Comisia specială a avut  două ședințe. </w:t>
      </w:r>
    </w:p>
    <w:p w14:paraId="299B02A9" w14:textId="77777777" w:rsidR="005A4ED0" w:rsidRPr="00D21DD8" w:rsidRDefault="005A4ED0" w:rsidP="005A4ED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La prima ședință Comisia specială a invitat Ministerul Economiei.  La audieri au fost prezenți: dl. Sergiu GAIBU, Ministru al Economiei; dl. Silviu Neghină, Șef adjunct Direcția dezvoltarea mediului de afaceri și dna Victoria </w:t>
      </w:r>
      <w:proofErr w:type="spellStart"/>
      <w:r w:rsidRPr="00D21DD8">
        <w:rPr>
          <w:rFonts w:ascii="Times New Roman" w:eastAsia="Times New Roman" w:hAnsi="Times New Roman" w:cs="Times New Roman"/>
          <w:color w:val="000000"/>
          <w:sz w:val="28"/>
          <w:szCs w:val="28"/>
          <w:lang w:eastAsia="ru-RU"/>
        </w:rPr>
        <w:t>Blanuța</w:t>
      </w:r>
      <w:proofErr w:type="spellEnd"/>
      <w:r w:rsidRPr="00D21DD8">
        <w:rPr>
          <w:rFonts w:ascii="Times New Roman" w:eastAsia="Times New Roman" w:hAnsi="Times New Roman" w:cs="Times New Roman"/>
          <w:color w:val="000000"/>
          <w:sz w:val="28"/>
          <w:szCs w:val="28"/>
          <w:lang w:eastAsia="ru-RU"/>
        </w:rPr>
        <w:t>, Șef secția analiză și prognozare macroeconomică.</w:t>
      </w:r>
    </w:p>
    <w:p w14:paraId="3AC1CDFC" w14:textId="77777777" w:rsidR="005A4ED0" w:rsidRPr="00D21DD8" w:rsidRDefault="005A4ED0" w:rsidP="005A4ED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În cadrul acestei ședințe s-au discutat următoarele: aspectele generale privind rolul Ministerului Economiei față de măsurile întreprinse în procesul decizional privind controlul inflației și politica monetară pe parcursul ultimelor 18 luni, modul de cooperare dintre Ministerul Economiei și Banca Națională în vederea identificării factorilor ce au alimentat inflația și instrumentele de soluționare utilizate pentru diminuarea inflației, evoluția și dinamica prețurilor de consum, situația actuală a inflației și premisele de viitor, numărul ședințelor Comitetului Național de Stabilitate Financiară  și subiectele discutate, acțiunile întreprinse de către Guvern cu privire la stabilitatea prețurilor și schimbul de informații între instituții cu privire la procesul inflaționist, efectele rapoartelor/analizelor prezentate pe subiectul creșterii prețurilor, evoluția prețului și indicele valoric la produse alimentare precum: uleiul, pâinea, peștele congelat întreg, carnea de porc pe os, carnea de găină, zahar, paste, ceapă și alte, evoluția indicele valoric în diferite regiuni, solicitările de pro activitate a Băncii Naționale către Guvern prin prisma procesului inflaționist, efectele inflației asupra creditării, impactul inflației asupra creditelor pe termen scurt și lung, impactul creșterii ratelor dobânzilor asupra creditării, analizele de prognoză macro-economice utilizate în cadrul Ministerul Economiei, premisele de creștere a prețurilor și majorarea semnificativă a inflației, subiectul deținerii de către Ministerul Economiei a Metodologiei de prognoză a inflației utilizată de către Banca Națională, fenomenul creșterii creditelor de consumul ca efect de driver a inflației, deciziile de creștere a ratei de bază ca efect de temperare a consumului, impactul inflației asupra creditelor oferite persoanelor juridice și persoanelor fizice, prognoza creșterii economice.</w:t>
      </w:r>
    </w:p>
    <w:p w14:paraId="3808060D" w14:textId="77777777" w:rsidR="005A4ED0" w:rsidRPr="00D21DD8" w:rsidRDefault="005A4ED0" w:rsidP="005A4ED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i/>
          <w:color w:val="000000"/>
          <w:sz w:val="28"/>
          <w:szCs w:val="28"/>
          <w:lang w:eastAsia="ru-RU"/>
        </w:rPr>
        <w:t xml:space="preserve">Rezultatul audierilor. </w:t>
      </w:r>
      <w:r w:rsidRPr="00D21DD8">
        <w:rPr>
          <w:rFonts w:ascii="Times New Roman" w:eastAsia="Times New Roman" w:hAnsi="Times New Roman" w:cs="Times New Roman"/>
          <w:color w:val="000000"/>
          <w:sz w:val="28"/>
          <w:szCs w:val="28"/>
          <w:lang w:eastAsia="ru-RU"/>
        </w:rPr>
        <w:t xml:space="preserve">Dl Ministru, GAIBU, a menționat că la subiectul monitorizării și controlului inflației și politicii monetare sunt implicate câteva instituții ale statului precum: Banca Națională, Biroul Național de Statistică, </w:t>
      </w:r>
      <w:r w:rsidRPr="00D21DD8">
        <w:rPr>
          <w:rFonts w:ascii="Times New Roman" w:eastAsia="Times New Roman" w:hAnsi="Times New Roman" w:cs="Times New Roman"/>
          <w:color w:val="000000"/>
          <w:sz w:val="28"/>
          <w:szCs w:val="28"/>
          <w:lang w:eastAsia="ru-RU"/>
        </w:rPr>
        <w:lastRenderedPageBreak/>
        <w:t>Guvernul, Comitetul Național de Stabilitate Financiară. Dl Ministru a menționat că Banca Națională are rolul cel mai important astfel încât este instituția care răspunde nemijlocit de masa monetară și situația generală dintre cerere și ofertă în ceea ce privește moneda și instrumentele de politică monetară. A fost discutat subiectul ședințelor Comitetului Național de Stabilitate Financiară în ultimele 18 luni (2 ședințe). A fost analizat fenomenul vacuumului de resurse financiare și cererea sporită pentru resursele financiare pe termen scurt și efectele majorării costurilor acestor resurse. S-a constatat că unul din elementele cheie la creșterea inflației a fost  impactul creșterii tarifelor la combustibil, energie electrică, gazele naturale și încălzire, de asemenea un impact major l-a avut importul. A fost descris modul de organizare și activitatea a Comitetului pe prețuri, Comitet care a fost creat prin dispoziția Prim-Ministrului la care participau instituții precum: Banca Națională, Ministerul Finanțelor, Ministerul Economiei, ANRE, Consiliul Concurenței, BNS, Ministerul Agriculturii. Comitetul având drept scop identificarea problemelor și acțiunilor ce sunt necesare a fi întreprinse pentru a diminua prețurile și costurilor la produse. Ministerul Economiei a prezentat analiza prețurilor la produsele de consum, efectele evoluției importurilor prin descrierea indicelui valoric a importurilor dar și mecanismele utilizate de către minister în vederea temperării efectelor inflației.</w:t>
      </w:r>
    </w:p>
    <w:p w14:paraId="13858098"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u w:val="single"/>
          <w:lang w:eastAsia="ru-RU"/>
        </w:rPr>
        <w:t>În cadrul următoarei ședințe a Comisiei speciale din data de 10.06.2022</w:t>
      </w:r>
      <w:r w:rsidRPr="00D21DD8">
        <w:rPr>
          <w:rFonts w:ascii="Times New Roman" w:eastAsia="Times New Roman" w:hAnsi="Times New Roman" w:cs="Times New Roman"/>
          <w:color w:val="000000"/>
          <w:sz w:val="28"/>
          <w:szCs w:val="28"/>
          <w:lang w:eastAsia="ru-RU"/>
        </w:rPr>
        <w:t>, Comisia specială a invitat conducerea Băncii Naționale și șeful Departamentului politică monetară pentru audierea informației generale cu privire la procesul decizional privind controlul inflației și politica monetară în ultimele 18 luni.</w:t>
      </w:r>
    </w:p>
    <w:p w14:paraId="03A313E0" w14:textId="7F6E4B3D"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Comisia specială a constatat neprezentarea </w:t>
      </w:r>
      <w:r w:rsidR="00D37588" w:rsidRPr="00D21DD8">
        <w:rPr>
          <w:rFonts w:ascii="Times New Roman" w:eastAsia="Times New Roman" w:hAnsi="Times New Roman" w:cs="Times New Roman"/>
          <w:color w:val="000000"/>
          <w:sz w:val="28"/>
          <w:szCs w:val="28"/>
          <w:lang w:eastAsia="ru-RU"/>
        </w:rPr>
        <w:t>conducerii</w:t>
      </w:r>
      <w:r w:rsidRPr="00D21DD8">
        <w:rPr>
          <w:rFonts w:ascii="Times New Roman" w:eastAsia="Times New Roman" w:hAnsi="Times New Roman" w:cs="Times New Roman"/>
          <w:color w:val="000000"/>
          <w:sz w:val="28"/>
          <w:szCs w:val="28"/>
          <w:lang w:eastAsia="ru-RU"/>
        </w:rPr>
        <w:t xml:space="preserve"> Băncii Naționale și a șefului Departamentului politică monetară la ședința Comisiei speciale.</w:t>
      </w:r>
    </w:p>
    <w:p w14:paraId="223E24E2"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val="en-US" w:eastAsia="ru-RU"/>
        </w:rPr>
      </w:pPr>
      <w:r w:rsidRPr="00D21DD8">
        <w:rPr>
          <w:rFonts w:ascii="Times New Roman" w:eastAsia="Times New Roman" w:hAnsi="Times New Roman" w:cs="Times New Roman"/>
          <w:color w:val="000000"/>
          <w:sz w:val="28"/>
          <w:szCs w:val="28"/>
          <w:lang w:eastAsia="ru-RU"/>
        </w:rPr>
        <w:t>Comisia specială a menționat despre demersul prezentat de către Banca Națională cu privire la solicitarea de amânare a termenului de prezentare a actelor, analizelor și informațiilor solicitate de către comisie. Urmare a examinării demersului Băncii Naționale nr.16/005/3/1772 din 09.06.2022, Comisia specială a constat că nu poate amâna termenii inițiali având în vedere mandatul Comisiei speciale de 30 de zile, prevăzut în Hotărârea Parlamentului nr.147/2022.</w:t>
      </w:r>
      <w:r w:rsidRPr="00D21DD8">
        <w:rPr>
          <w:rFonts w:ascii="Times New Roman" w:eastAsia="Times New Roman" w:hAnsi="Times New Roman" w:cs="Times New Roman"/>
          <w:color w:val="000000"/>
          <w:sz w:val="28"/>
          <w:szCs w:val="28"/>
          <w:lang w:val="en-US" w:eastAsia="ru-RU"/>
        </w:rPr>
        <w:t xml:space="preserve"> </w:t>
      </w:r>
      <w:r w:rsidRPr="00D21DD8">
        <w:rPr>
          <w:rFonts w:ascii="Times New Roman" w:eastAsia="Times New Roman" w:hAnsi="Times New Roman" w:cs="Times New Roman"/>
          <w:color w:val="000000"/>
          <w:sz w:val="28"/>
          <w:szCs w:val="28"/>
          <w:lang w:eastAsia="ru-RU"/>
        </w:rPr>
        <w:t>Astfel, Comisia specială a reiterat poziția sa de a avea o ședință ulterioară cu reprezentanții Băncii Naționale (pe data de 13 iunie 2022), și neacceptarea amânării prezentării conducerii Băncii Naționale la activitățile Comisiei speciale.</w:t>
      </w:r>
    </w:p>
    <w:p w14:paraId="4519C7E5"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u w:val="single"/>
          <w:lang w:eastAsia="ru-RU"/>
        </w:rPr>
        <w:t>La ședința din data de 13.06.2022</w:t>
      </w:r>
      <w:r w:rsidRPr="00D21DD8">
        <w:rPr>
          <w:rFonts w:ascii="Times New Roman" w:eastAsia="Times New Roman" w:hAnsi="Times New Roman" w:cs="Times New Roman"/>
          <w:color w:val="000000"/>
          <w:sz w:val="28"/>
          <w:szCs w:val="28"/>
          <w:lang w:eastAsia="ru-RU"/>
        </w:rPr>
        <w:t>, Comisia specială a invitat conducerea Băncii Naționale pentru audierea informației generale cu privire procesului decizional privind controlul inflației și politica monetară în ultimele 18 luni.</w:t>
      </w:r>
    </w:p>
    <w:p w14:paraId="09167536"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În cadrul acestei ședințe s-au discutat următoarele: aspectele generale privind rolul Băncii Naționale față de măsurile întreprinse în procesul decizional privind controlul inflației și politica monetară pe parcursul ultimelor 18 luni, mecanismul de luare a deciziilor Băncii Naționale pe politica monetară în conlucrare cu alte autorități ale statului, nr.de ședințe a Comitetului Național de Stabilitate Financiară și subiectele discutate, existența unor platforme suplimentare cu privire la cooperarea Băncii Naționale cu Ministerul Finanțelor, Ministerului Economiei sau alte instituții ale statului, rolul Comitetului Național </w:t>
      </w:r>
      <w:r w:rsidRPr="00D21DD8">
        <w:rPr>
          <w:rFonts w:ascii="Times New Roman" w:eastAsia="Times New Roman" w:hAnsi="Times New Roman" w:cs="Times New Roman"/>
          <w:color w:val="000000"/>
          <w:sz w:val="28"/>
          <w:szCs w:val="28"/>
          <w:lang w:eastAsia="ru-RU"/>
        </w:rPr>
        <w:lastRenderedPageBreak/>
        <w:t xml:space="preserve">de Stabilitate Financiară, riscurile inflaționiste asupra stabilității fiscale analizate în cadrul ședinței Comitetului Național de Stabilitate Financiară , acțiunile și inacțiunile Băncii Naționale în vederea diminuării efectelor inflaționiste, gestionarea riscurilor inflaționiste de către Banca Națională, rolul și măsurile întreprinse de Departamentul politică monetară în vederea monitorizării inflației, procesul de luare a deciziilor  de către bordul Băncii Naționale (în baza la ce acte/analize/informații/rapoarte), </w:t>
      </w:r>
      <w:proofErr w:type="spellStart"/>
      <w:r w:rsidRPr="00D21DD8">
        <w:rPr>
          <w:rFonts w:ascii="Times New Roman" w:eastAsia="Times New Roman" w:hAnsi="Times New Roman" w:cs="Times New Roman"/>
          <w:color w:val="000000"/>
          <w:sz w:val="28"/>
          <w:szCs w:val="28"/>
          <w:lang w:eastAsia="ru-RU"/>
        </w:rPr>
        <w:t>time</w:t>
      </w:r>
      <w:proofErr w:type="spellEnd"/>
      <w:r w:rsidRPr="00D21DD8">
        <w:rPr>
          <w:rFonts w:ascii="Times New Roman" w:eastAsia="Times New Roman" w:hAnsi="Times New Roman" w:cs="Times New Roman"/>
          <w:color w:val="000000"/>
          <w:sz w:val="28"/>
          <w:szCs w:val="28"/>
          <w:lang w:eastAsia="ru-RU"/>
        </w:rPr>
        <w:t xml:space="preserve"> line-</w:t>
      </w:r>
      <w:proofErr w:type="spellStart"/>
      <w:r w:rsidRPr="00D21DD8">
        <w:rPr>
          <w:rFonts w:ascii="Times New Roman" w:eastAsia="Times New Roman" w:hAnsi="Times New Roman" w:cs="Times New Roman"/>
          <w:color w:val="000000"/>
          <w:sz w:val="28"/>
          <w:szCs w:val="28"/>
          <w:lang w:eastAsia="ru-RU"/>
        </w:rPr>
        <w:t>ul</w:t>
      </w:r>
      <w:proofErr w:type="spellEnd"/>
      <w:r w:rsidRPr="00D21DD8">
        <w:rPr>
          <w:rFonts w:ascii="Times New Roman" w:eastAsia="Times New Roman" w:hAnsi="Times New Roman" w:cs="Times New Roman"/>
          <w:color w:val="000000"/>
          <w:sz w:val="28"/>
          <w:szCs w:val="28"/>
          <w:lang w:eastAsia="ru-RU"/>
        </w:rPr>
        <w:t xml:space="preserve"> de elaborare și prezentare a rapoartelor/deciziilor asupra inflației și politica monetară în ultimele 18 luni, existența unui raport intermediar asupra inflației sau a unei note informative între februarie 2022 și mai 2022 prezentat Comitetului executiv al Băncii Naționale de către Departamentul politică monetară, Metodologia de elaborare a Rapoartelor asupra inflației și metodologia de calcul a datelor/indicatorii utilizați de către Banca Națională în acest scop, impactul creditelor de consum asupra inflației, factorii relevanți în elaborarea rapoartelor inflației, existența unui model în baza căruia se bazează politica monetară a Băncii Naționale, particularitățile calendarului ședințelor Comitetului executiv al Băncii Naționale cu privire la deciziile de politică monetară, modul de comunicare a</w:t>
      </w:r>
      <w:r w:rsidRPr="00D21DD8">
        <w:t xml:space="preserve"> </w:t>
      </w:r>
      <w:r w:rsidRPr="00D21DD8">
        <w:rPr>
          <w:rFonts w:ascii="Times New Roman" w:eastAsia="Times New Roman" w:hAnsi="Times New Roman" w:cs="Times New Roman"/>
          <w:color w:val="000000"/>
          <w:sz w:val="28"/>
          <w:szCs w:val="28"/>
          <w:lang w:eastAsia="ru-RU"/>
        </w:rPr>
        <w:t>Băncii Naționale cu populația privind inflația și prognozele ulterioare, abordarea unui potențial risc de conflict de interese membrii Consiliul de supraveghere și Comitetul executiv ale Băncii Naționale prin prisma suprapunerii componenței a 3 persoane în ambele organe de conducere;</w:t>
      </w:r>
    </w:p>
    <w:p w14:paraId="3D9B4400"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i/>
          <w:color w:val="000000"/>
          <w:sz w:val="28"/>
          <w:szCs w:val="28"/>
          <w:lang w:eastAsia="ru-RU"/>
        </w:rPr>
        <w:t xml:space="preserve">Rezultatul audierilor. </w:t>
      </w:r>
      <w:r w:rsidRPr="00D21DD8">
        <w:rPr>
          <w:rFonts w:ascii="Times New Roman" w:eastAsia="Times New Roman" w:hAnsi="Times New Roman" w:cs="Times New Roman"/>
          <w:color w:val="000000"/>
          <w:sz w:val="28"/>
          <w:szCs w:val="28"/>
          <w:lang w:eastAsia="ru-RU"/>
        </w:rPr>
        <w:t xml:space="preserve">Urmare a audierilor, Guvernatorul Băncii Naționale, dl. Octavian ARMAȘU a prezentat următoarele precizări: </w:t>
      </w:r>
    </w:p>
    <w:p w14:paraId="088C945D" w14:textId="31770C49"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1. cu referire la ședințele Comitetului Național de Stabilitate Financiară s-a menționat că aceste ședințe nu fac parte din procesul decizional asupra inflației, la aceste ședințe nu se discută politica monetară iar acest Comitet reprezintă o platformă interinstituțional</w:t>
      </w:r>
      <w:r w:rsidR="00887FB9" w:rsidRPr="00D21DD8">
        <w:rPr>
          <w:rFonts w:ascii="Times New Roman" w:eastAsia="Times New Roman" w:hAnsi="Times New Roman" w:cs="Times New Roman"/>
          <w:color w:val="000000"/>
          <w:sz w:val="28"/>
          <w:szCs w:val="28"/>
          <w:lang w:eastAsia="ru-RU"/>
        </w:rPr>
        <w:t>ă</w:t>
      </w:r>
      <w:r w:rsidRPr="00D21DD8">
        <w:rPr>
          <w:rFonts w:ascii="Times New Roman" w:eastAsia="Times New Roman" w:hAnsi="Times New Roman" w:cs="Times New Roman"/>
          <w:color w:val="000000"/>
          <w:sz w:val="28"/>
          <w:szCs w:val="28"/>
          <w:lang w:eastAsia="ru-RU"/>
        </w:rPr>
        <w:t xml:space="preserve"> în baza căreia se discută riscurile ce țin de stabilitatea financiară din țară, subiectul inflației se discută doar sub aspect de riscuri;</w:t>
      </w:r>
    </w:p>
    <w:p w14:paraId="14245787"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2. cu referire la existența altor platforme/canale suplimentare celei a Comitetului Național de Stabilitate Financiară privind deciziile cu privire subiectul politicii monetare, dl. Guvernator a adus la cunoștință Comisiei speciale existența unor platforme/canale suplimentare precum </w:t>
      </w:r>
      <w:r w:rsidRPr="00D21DD8">
        <w:rPr>
          <w:rFonts w:ascii="Times New Roman" w:eastAsia="Times New Roman" w:hAnsi="Times New Roman" w:cs="Times New Roman"/>
          <w:b/>
          <w:bCs/>
          <w:i/>
          <w:color w:val="000000"/>
          <w:sz w:val="28"/>
          <w:szCs w:val="28"/>
          <w:lang w:eastAsia="ru-RU"/>
        </w:rPr>
        <w:t>Comitetul de lichidități</w:t>
      </w:r>
      <w:r w:rsidRPr="00D21DD8">
        <w:rPr>
          <w:rFonts w:ascii="Times New Roman" w:eastAsia="Times New Roman" w:hAnsi="Times New Roman" w:cs="Times New Roman"/>
          <w:i/>
          <w:color w:val="000000"/>
          <w:sz w:val="28"/>
          <w:szCs w:val="28"/>
          <w:u w:val="single"/>
          <w:lang w:eastAsia="ru-RU"/>
        </w:rPr>
        <w:t xml:space="preserve">, </w:t>
      </w:r>
      <w:r w:rsidRPr="00D21DD8">
        <w:rPr>
          <w:rFonts w:ascii="Times New Roman" w:eastAsia="Times New Roman" w:hAnsi="Times New Roman" w:cs="Times New Roman"/>
          <w:color w:val="000000"/>
          <w:sz w:val="28"/>
          <w:szCs w:val="28"/>
          <w:u w:val="single"/>
          <w:lang w:eastAsia="ru-RU"/>
        </w:rPr>
        <w:t>în cadrul căruia se discută așteptările pe partea bugetară și așteptările pe partea inflaționistă și prin intermediul acestui Comitet are loc coordonarea activităților între Guvern și Banca Națională</w:t>
      </w:r>
      <w:r w:rsidRPr="00D21DD8">
        <w:rPr>
          <w:rFonts w:ascii="Times New Roman" w:eastAsia="Times New Roman" w:hAnsi="Times New Roman" w:cs="Times New Roman"/>
          <w:color w:val="000000"/>
          <w:sz w:val="28"/>
          <w:szCs w:val="28"/>
          <w:lang w:eastAsia="ru-RU"/>
        </w:rPr>
        <w:t xml:space="preserve">. </w:t>
      </w:r>
    </w:p>
    <w:p w14:paraId="513EA22B"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Alte canale de conlucrare între Banca Națională și Guvern sunt: discuțiile la nivel de Guvernator – Prim-Ministru, Miniștri, Secretar de Stat, ședințele de lucru pe platforma Guvernului referitor la prognozele inflaționiste, ședințele de lucru pe platforma Consiliului Suprem de Securitate, ședințele de lucru pe platforma Comisiei speciale parlamentare. Guvernatorul a menționat că un dialog interinstituțional pe subiectul prognozei inflației între Guvern și Banca Națională</w:t>
      </w:r>
      <w:r w:rsidRPr="00D21DD8" w:rsidDel="000740A7">
        <w:rPr>
          <w:rFonts w:ascii="Times New Roman" w:eastAsia="Times New Roman" w:hAnsi="Times New Roman" w:cs="Times New Roman"/>
          <w:color w:val="000000"/>
          <w:sz w:val="28"/>
          <w:szCs w:val="28"/>
          <w:lang w:eastAsia="ru-RU"/>
        </w:rPr>
        <w:t xml:space="preserve"> </w:t>
      </w:r>
      <w:r w:rsidRPr="00D21DD8">
        <w:rPr>
          <w:rFonts w:ascii="Times New Roman" w:eastAsia="Times New Roman" w:hAnsi="Times New Roman" w:cs="Times New Roman"/>
          <w:color w:val="000000"/>
          <w:sz w:val="28"/>
          <w:szCs w:val="28"/>
          <w:lang w:eastAsia="ru-RU"/>
        </w:rPr>
        <w:t xml:space="preserve">există, deși nu există o platformă formalizată de coordonare a politicilor monetare și fiscale. </w:t>
      </w:r>
    </w:p>
    <w:p w14:paraId="6AE03A70"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Un alt canal de comunicare, este conlucrarea dintre Banca Națională și Fondul Monetar Internațional în aspectele ce țin de evaluarea procesului </w:t>
      </w:r>
      <w:r w:rsidRPr="00D21DD8">
        <w:rPr>
          <w:rFonts w:ascii="Times New Roman" w:eastAsia="Times New Roman" w:hAnsi="Times New Roman" w:cs="Times New Roman"/>
          <w:color w:val="000000"/>
          <w:sz w:val="28"/>
          <w:szCs w:val="28"/>
          <w:lang w:eastAsia="ru-RU"/>
        </w:rPr>
        <w:lastRenderedPageBreak/>
        <w:t>decizional și previziunile bugetare care ulterior pot fi încorporate în deciziile monetare ale  Băncii Naționale;</w:t>
      </w:r>
    </w:p>
    <w:p w14:paraId="372ECD54" w14:textId="0898DE36"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3. cu referire la ședințele Comitetului Național de Stabilitate Financiară</w:t>
      </w:r>
      <w:r w:rsidRPr="00D21DD8">
        <w:rPr>
          <w:rFonts w:ascii="Times New Roman" w:eastAsia="Times New Roman" w:hAnsi="Times New Roman" w:cs="Times New Roman"/>
          <w:sz w:val="28"/>
          <w:szCs w:val="28"/>
          <w:vertAlign w:val="superscript"/>
        </w:rPr>
        <w:footnoteReference w:id="2"/>
      </w:r>
      <w:r w:rsidRPr="00D21DD8">
        <w:rPr>
          <w:rFonts w:ascii="Times New Roman" w:eastAsia="Times New Roman" w:hAnsi="Times New Roman" w:cs="Times New Roman"/>
          <w:color w:val="000000"/>
          <w:sz w:val="28"/>
          <w:szCs w:val="28"/>
          <w:lang w:eastAsia="ru-RU"/>
        </w:rPr>
        <w:t>, ședințele se bazează doar pe mandatul legal a acestui Comitet, fără abateri la alte subiecte;</w:t>
      </w:r>
    </w:p>
    <w:p w14:paraId="1987E60F"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4. cu referire la subiectul riscurilor de inflație discutat în cadrul ședinței Comitetului Național de Stabilitate Financiară a fost analizat și discutat la ultima ședință a Comitetului Național de Stabilitate Financiară , urmare a începerii războiului în Ucraina când presiunile inflaționiste au devenit mai vizibile iar inflația a căpătat valori foarte mari;</w:t>
      </w:r>
    </w:p>
    <w:p w14:paraId="0D919F6D"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5. </w:t>
      </w:r>
      <w:r w:rsidRPr="00D21DD8">
        <w:rPr>
          <w:rFonts w:ascii="Times New Roman" w:eastAsia="Times New Roman" w:hAnsi="Times New Roman" w:cs="Times New Roman"/>
          <w:color w:val="000000"/>
          <w:sz w:val="28"/>
          <w:szCs w:val="28"/>
          <w:u w:val="single"/>
          <w:lang w:eastAsia="ru-RU"/>
        </w:rPr>
        <w:t>cu referire la procesul de luare a deciziilor finale de politică monetară de către conducerea Băncii Naționale</w:t>
      </w:r>
      <w:r w:rsidRPr="00D21DD8">
        <w:rPr>
          <w:rFonts w:ascii="Times New Roman" w:eastAsia="Times New Roman" w:hAnsi="Times New Roman" w:cs="Times New Roman"/>
          <w:color w:val="000000"/>
          <w:sz w:val="28"/>
          <w:szCs w:val="28"/>
          <w:lang w:eastAsia="ru-RU"/>
        </w:rPr>
        <w:t>, aceste decizii se bazează pe analizele, rapoartele și evaluarea informațiilor prezentate de către Departamentul politică monetară. Banca Națională prezintă 4 rapoarte asupra inflație (obligatorii prin lege) și suplimentar se elaborează 4 rapoarte intermediare/note informative (după caz);</w:t>
      </w:r>
    </w:p>
    <w:p w14:paraId="269DC123" w14:textId="46D00190"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6. cu referire la Raportul asupra inflației din </w:t>
      </w:r>
      <w:r w:rsidR="007A5F71" w:rsidRPr="00D21DD8">
        <w:rPr>
          <w:rFonts w:ascii="Times New Roman" w:eastAsia="Times New Roman" w:hAnsi="Times New Roman" w:cs="Times New Roman"/>
          <w:color w:val="000000"/>
          <w:sz w:val="28"/>
          <w:szCs w:val="28"/>
          <w:lang w:eastAsia="ru-RU"/>
        </w:rPr>
        <w:t xml:space="preserve">luna </w:t>
      </w:r>
      <w:r w:rsidRPr="00D21DD8">
        <w:rPr>
          <w:rFonts w:ascii="Times New Roman" w:eastAsia="Times New Roman" w:hAnsi="Times New Roman" w:cs="Times New Roman"/>
          <w:color w:val="000000"/>
          <w:sz w:val="28"/>
          <w:szCs w:val="28"/>
          <w:lang w:eastAsia="ru-RU"/>
        </w:rPr>
        <w:t xml:space="preserve">februarie 2022, a fost precizat că elaborarea acestuia a avut loc înainte de începutul războiului din Ucraina din data de 24 februarie 2022, când existau procesele inflaționiste normale care deja devenise globale, iar începutul acestui război a produs unele efecte considerabile care nu au fost incluse în acest raport. Banca Națională a evaluat efectele acestui război în baza datelor disponibile în Raportul din </w:t>
      </w:r>
      <w:r w:rsidR="007A5F71" w:rsidRPr="00D21DD8">
        <w:rPr>
          <w:rFonts w:ascii="Times New Roman" w:eastAsia="Times New Roman" w:hAnsi="Times New Roman" w:cs="Times New Roman"/>
          <w:color w:val="000000"/>
          <w:sz w:val="28"/>
          <w:szCs w:val="28"/>
          <w:lang w:eastAsia="ru-RU"/>
        </w:rPr>
        <w:t xml:space="preserve">luna </w:t>
      </w:r>
      <w:r w:rsidRPr="00D21DD8">
        <w:rPr>
          <w:rFonts w:ascii="Times New Roman" w:eastAsia="Times New Roman" w:hAnsi="Times New Roman" w:cs="Times New Roman"/>
          <w:color w:val="000000"/>
          <w:sz w:val="28"/>
          <w:szCs w:val="28"/>
          <w:lang w:eastAsia="ru-RU"/>
        </w:rPr>
        <w:t>mai 2022;</w:t>
      </w:r>
    </w:p>
    <w:p w14:paraId="0D071976"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7. cu referire la Metodologia de calcul a indicatorilor prezentați în Raportul asupra inflației, Banca Națională menționează că calculul acestor indicatori se bazează pe analizele experților profesioniști care au anumite modele ce au la bază expertiză și judecata profesională;</w:t>
      </w:r>
    </w:p>
    <w:p w14:paraId="64686AC1"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8. cu referire la factorii relevanți în elaborarea rapoartelor inflației, acești factori se bazează pe judecată profesională a autorilor Raportului;</w:t>
      </w:r>
    </w:p>
    <w:p w14:paraId="14D4525F"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9. particularitățile și evoluția modelului de prognoză a politicei monetară a Băncii Naționale, nu este formalizat în act normativ, este un model utilizat de Departamentul politică monetară;</w:t>
      </w:r>
    </w:p>
    <w:p w14:paraId="3068BB56"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10. cu privire la sursele de date utilizate de către Banca Națională pentru prognoza inflației, acestea devin deficitare iar furnizarea datelor de către Biroul Național de Statistică devine insuficientă;</w:t>
      </w:r>
    </w:p>
    <w:p w14:paraId="3CE7AE41"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11. cu privire la comunicarea publică a Băncii Naționale despre inflație, comunicarea este la un nivel înalt, Banca Națională prezintă publicului rapoartele asupra inflației și deciziile aprobate în acest sens, răspunde la întrebările publicului și acordă suportul necesar în comunicarea cu publicul;</w:t>
      </w:r>
    </w:p>
    <w:p w14:paraId="1F14CF8D"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12. </w:t>
      </w:r>
      <w:r w:rsidRPr="00D21DD8">
        <w:rPr>
          <w:rFonts w:ascii="Times New Roman" w:eastAsia="Times New Roman" w:hAnsi="Times New Roman" w:cs="Times New Roman"/>
          <w:color w:val="000000"/>
          <w:sz w:val="28"/>
          <w:szCs w:val="28"/>
          <w:u w:val="single"/>
          <w:lang w:eastAsia="ru-RU"/>
        </w:rPr>
        <w:t xml:space="preserve">cu referire la subiectul abordării unui potențial risc de conflict de interese dintre membrii Consiliul de supraveghere și Comitetul executiv ale </w:t>
      </w:r>
      <w:r w:rsidRPr="00D21DD8">
        <w:rPr>
          <w:rFonts w:ascii="Times New Roman" w:eastAsia="Times New Roman" w:hAnsi="Times New Roman" w:cs="Times New Roman"/>
          <w:color w:val="000000"/>
          <w:sz w:val="28"/>
          <w:szCs w:val="28"/>
          <w:u w:val="single"/>
          <w:lang w:eastAsia="ru-RU"/>
        </w:rPr>
        <w:lastRenderedPageBreak/>
        <w:t>Băncii Naționale prin prisma suprapunerii componenței a 3 persoane în ambele organe de conducere</w:t>
      </w:r>
      <w:r w:rsidRPr="00D21DD8">
        <w:rPr>
          <w:rFonts w:ascii="Times New Roman" w:eastAsia="Times New Roman" w:hAnsi="Times New Roman" w:cs="Times New Roman"/>
          <w:color w:val="000000"/>
          <w:sz w:val="28"/>
          <w:szCs w:val="28"/>
          <w:lang w:eastAsia="ru-RU"/>
        </w:rPr>
        <w:t>, dl. Guvernator a menționat că nu consideră că există un potențial risc, având în vedere că funcțiile fiecărei părți sunt specifice și nu se suprapun. Sistemul actual de organizare a băncii centrale fiind coordonat cu Fondul Monetar Internațional;</w:t>
      </w:r>
    </w:p>
    <w:p w14:paraId="7C6B2930"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13. Guvernatorul Băncii Naționale și-a exprimat deschiderea pentru cooperarea deschisă și fructuoasă cu Comisia specială pentru rezultate bune în beneficiu public.</w:t>
      </w:r>
    </w:p>
    <w:p w14:paraId="361815E4"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u w:val="single"/>
          <w:lang w:eastAsia="ru-RU"/>
        </w:rPr>
        <w:t>La ședința din data de 15.06.2022</w:t>
      </w:r>
      <w:r w:rsidRPr="00D21DD8">
        <w:rPr>
          <w:rFonts w:ascii="Times New Roman" w:eastAsia="Times New Roman" w:hAnsi="Times New Roman" w:cs="Times New Roman"/>
          <w:color w:val="000000"/>
          <w:sz w:val="28"/>
          <w:szCs w:val="28"/>
          <w:lang w:eastAsia="ru-RU"/>
        </w:rPr>
        <w:t xml:space="preserve">, Comisia specială a invitat șeful și reprezentanții Departamentului politică monetară a Băncii Naționale. De menționat că la ședință au fost prezenți membrii organelor de conducere ai Băncii Naționale și șeful Departamentului politică monetară, </w:t>
      </w:r>
      <w:proofErr w:type="spellStart"/>
      <w:r w:rsidRPr="00D21DD8">
        <w:rPr>
          <w:rFonts w:ascii="Times New Roman" w:eastAsia="Times New Roman" w:hAnsi="Times New Roman" w:cs="Times New Roman"/>
          <w:color w:val="000000"/>
          <w:sz w:val="28"/>
          <w:szCs w:val="28"/>
          <w:lang w:eastAsia="ru-RU"/>
        </w:rPr>
        <w:t>dl.Radu</w:t>
      </w:r>
      <w:proofErr w:type="spellEnd"/>
      <w:r w:rsidRPr="00D21DD8">
        <w:rPr>
          <w:rFonts w:ascii="Times New Roman" w:eastAsia="Times New Roman" w:hAnsi="Times New Roman" w:cs="Times New Roman"/>
          <w:color w:val="000000"/>
          <w:sz w:val="28"/>
          <w:szCs w:val="28"/>
          <w:lang w:eastAsia="ru-RU"/>
        </w:rPr>
        <w:t xml:space="preserve"> CUHAL (care a menționat că la momentul aflării în ședință se află în concediu).</w:t>
      </w:r>
    </w:p>
    <w:p w14:paraId="550CA49E"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 xml:space="preserve">În cadrul acestei ședințe s-au discutat următoarele: </w:t>
      </w:r>
    </w:p>
    <w:p w14:paraId="6114249A"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1. motivele imposibilității efectuării unei ședințe de lucru dintre Comisia  specială și șeful/personalul Departamentului politică monetară al Băncii Naționale privind atribuțiile și funcțiile Departamentului politică monetară, procesul de elaborare și aprobare a Rapoartelor asupra inflației și audierea informației generale cu privire la analizele, notele informative, rapoartele asupra politicii monetare pe parcursul ultimelor 18 luni;</w:t>
      </w:r>
    </w:p>
    <w:p w14:paraId="5CCD14AA" w14:textId="77777777"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2. aspectele legale privind aplicarea articolul 26 din Legea nr.797/1996 în contextul persoanelor care pot fi invitate la ședințele Comisiei speciale;</w:t>
      </w:r>
    </w:p>
    <w:p w14:paraId="429EAD1A" w14:textId="58BE1495"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3. factorii și faptele care au arătat deficiențe în cooperarea dintre Banca Națională și Comisiei specială pe parcursul mandatului său de activitate.</w:t>
      </w:r>
    </w:p>
    <w:p w14:paraId="5C639523" w14:textId="2B1E9722"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i/>
          <w:color w:val="000000"/>
          <w:sz w:val="28"/>
          <w:szCs w:val="28"/>
          <w:lang w:eastAsia="ru-RU"/>
        </w:rPr>
        <w:t xml:space="preserve">Rezultatul audierilor. </w:t>
      </w:r>
      <w:r w:rsidRPr="00D21DD8">
        <w:rPr>
          <w:rFonts w:ascii="Times New Roman" w:eastAsia="Times New Roman" w:hAnsi="Times New Roman" w:cs="Times New Roman"/>
          <w:color w:val="000000"/>
          <w:sz w:val="28"/>
          <w:szCs w:val="28"/>
          <w:lang w:eastAsia="ru-RU"/>
        </w:rPr>
        <w:t>Urmare a audierilor, Banca Națională a precizat precum că, în conformitate cu prevederile art.8 alin.(3) ale Legii nr.548/1995, în calitate de invitați la Comisie puteau fi Guvernatorul Băncii Naționale, membrii Consiliului de supraveghere sau membrii Comitetului executiv. Membrii Comisiei speciale nu au susținut poziția Băncii Naționale, invocând prevederile art.26 din Regulamentul Parlamentului și precizând  că discuțiile care urmau să aibă loc se bazau pe audierea informației generale cu privire la atribuțiile și funcțiile Departamentului politică monetară, procesul de elaborare și aprobare a Rapoartelor asupra inflației și audierea informației generale cu privire la analizele, notele informative, rapoartele asupra politicii monetare, pe parcursul ultimelor 18 luni, informațiile fiind prezentate în limita neafectării secretului profesional.</w:t>
      </w:r>
    </w:p>
    <w:p w14:paraId="4F98C699" w14:textId="76BDD3EA" w:rsidR="00835F33" w:rsidRPr="00D21DD8" w:rsidRDefault="00835F33"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u w:val="single"/>
          <w:lang w:eastAsia="ru-RU"/>
        </w:rPr>
        <w:t>La ședința din data de 01.07.2022</w:t>
      </w:r>
      <w:r w:rsidRPr="00D21DD8">
        <w:rPr>
          <w:rFonts w:ascii="Times New Roman" w:eastAsia="Times New Roman" w:hAnsi="Times New Roman" w:cs="Times New Roman"/>
          <w:color w:val="000000"/>
          <w:sz w:val="28"/>
          <w:szCs w:val="28"/>
          <w:lang w:eastAsia="ru-RU"/>
        </w:rPr>
        <w:t>, Comisia specială a decis prelungirea mandatului Comisiei speciale cu 30 de zile pentru elaborarea Raportului de examinare a procesului decizional privind controlul inflației și politica monetară pe parcursul ultimelor 18 luni.</w:t>
      </w:r>
    </w:p>
    <w:p w14:paraId="795E622A" w14:textId="41C34E1A" w:rsidR="007D6C90" w:rsidRPr="00D21DD8" w:rsidRDefault="007D6C90" w:rsidP="007D6C9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u w:val="single"/>
          <w:lang w:eastAsia="ru-RU"/>
        </w:rPr>
        <w:t xml:space="preserve">La ședința din data de </w:t>
      </w:r>
      <w:r w:rsidR="00835F33" w:rsidRPr="00D21DD8">
        <w:rPr>
          <w:rFonts w:ascii="Times New Roman" w:eastAsia="Times New Roman" w:hAnsi="Times New Roman" w:cs="Times New Roman"/>
          <w:color w:val="000000"/>
          <w:sz w:val="28"/>
          <w:szCs w:val="28"/>
          <w:u w:val="single"/>
          <w:lang w:eastAsia="ru-RU"/>
        </w:rPr>
        <w:t>27</w:t>
      </w:r>
      <w:r w:rsidRPr="00D21DD8">
        <w:rPr>
          <w:rFonts w:ascii="Times New Roman" w:eastAsia="Times New Roman" w:hAnsi="Times New Roman" w:cs="Times New Roman"/>
          <w:color w:val="000000"/>
          <w:sz w:val="28"/>
          <w:szCs w:val="28"/>
          <w:u w:val="single"/>
          <w:lang w:eastAsia="ru-RU"/>
        </w:rPr>
        <w:t>.0</w:t>
      </w:r>
      <w:r w:rsidR="00835F33" w:rsidRPr="00D21DD8">
        <w:rPr>
          <w:rFonts w:ascii="Times New Roman" w:eastAsia="Times New Roman" w:hAnsi="Times New Roman" w:cs="Times New Roman"/>
          <w:color w:val="000000"/>
          <w:sz w:val="28"/>
          <w:szCs w:val="28"/>
          <w:u w:val="single"/>
          <w:lang w:eastAsia="ru-RU"/>
        </w:rPr>
        <w:t>7</w:t>
      </w:r>
      <w:r w:rsidRPr="00D21DD8">
        <w:rPr>
          <w:rFonts w:ascii="Times New Roman" w:eastAsia="Times New Roman" w:hAnsi="Times New Roman" w:cs="Times New Roman"/>
          <w:color w:val="000000"/>
          <w:sz w:val="28"/>
          <w:szCs w:val="28"/>
          <w:u w:val="single"/>
          <w:lang w:eastAsia="ru-RU"/>
        </w:rPr>
        <w:t>.2022</w:t>
      </w:r>
      <w:r w:rsidRPr="00D21DD8">
        <w:rPr>
          <w:rFonts w:ascii="Times New Roman" w:eastAsia="Times New Roman" w:hAnsi="Times New Roman" w:cs="Times New Roman"/>
          <w:color w:val="000000"/>
          <w:sz w:val="28"/>
          <w:szCs w:val="28"/>
          <w:lang w:eastAsia="ru-RU"/>
        </w:rPr>
        <w:t xml:space="preserve">, </w:t>
      </w:r>
      <w:r w:rsidR="00151B44" w:rsidRPr="00D21DD8">
        <w:rPr>
          <w:rFonts w:ascii="Times New Roman" w:eastAsia="Times New Roman" w:hAnsi="Times New Roman" w:cs="Times New Roman"/>
          <w:color w:val="000000"/>
          <w:sz w:val="28"/>
          <w:szCs w:val="28"/>
          <w:lang w:eastAsia="ru-RU"/>
        </w:rPr>
        <w:t>Comisia specială a trasat concluzii finale din activitatea sa și a aprobat Raportul de examinare a procesului decizional privind controlul inflației și politica monetară pe parcursul ultimelor 18 luni. De asemenea, Comisia specială a decis înaintarea către plenul Parlamentului a proiectului de hotărâre cu privire la aprobarea acestui raport.</w:t>
      </w:r>
    </w:p>
    <w:p w14:paraId="6EAB73C7" w14:textId="401BE8B7" w:rsidR="0080644F" w:rsidRPr="00D21DD8" w:rsidRDefault="0080644F" w:rsidP="0080644F">
      <w:pPr>
        <w:widowControl w:val="0"/>
        <w:spacing w:after="0" w:line="240" w:lineRule="auto"/>
        <w:ind w:firstLine="851"/>
        <w:jc w:val="both"/>
        <w:rPr>
          <w:rFonts w:ascii="Times New Roman" w:eastAsia="Times New Roman" w:hAnsi="Times New Roman" w:cs="Times New Roman"/>
          <w:b/>
          <w:color w:val="000000"/>
          <w:sz w:val="28"/>
          <w:szCs w:val="28"/>
        </w:rPr>
      </w:pPr>
    </w:p>
    <w:p w14:paraId="0BA49AE6" w14:textId="44D71A2F" w:rsidR="00B1635D" w:rsidRPr="00D21DD8" w:rsidRDefault="00B1635D" w:rsidP="0080644F">
      <w:pPr>
        <w:widowControl w:val="0"/>
        <w:spacing w:after="0" w:line="240" w:lineRule="auto"/>
        <w:ind w:firstLine="851"/>
        <w:jc w:val="both"/>
        <w:rPr>
          <w:rFonts w:ascii="Times New Roman" w:eastAsia="Times New Roman" w:hAnsi="Times New Roman" w:cs="Times New Roman"/>
          <w:b/>
          <w:i/>
          <w:color w:val="000000"/>
          <w:sz w:val="28"/>
          <w:szCs w:val="28"/>
        </w:rPr>
      </w:pPr>
    </w:p>
    <w:p w14:paraId="797C6975" w14:textId="720ADC77" w:rsidR="00835F33" w:rsidRPr="00D21DD8" w:rsidRDefault="00835F33" w:rsidP="00835F33">
      <w:pPr>
        <w:widowControl w:val="0"/>
        <w:spacing w:after="0" w:line="240" w:lineRule="auto"/>
        <w:ind w:firstLine="851"/>
        <w:jc w:val="both"/>
        <w:rPr>
          <w:rFonts w:ascii="Times New Roman" w:eastAsia="Times New Roman" w:hAnsi="Times New Roman" w:cs="Times New Roman"/>
          <w:b/>
          <w:i/>
          <w:color w:val="000000"/>
          <w:sz w:val="28"/>
          <w:szCs w:val="28"/>
        </w:rPr>
      </w:pPr>
      <w:r w:rsidRPr="00D21DD8">
        <w:rPr>
          <w:rFonts w:ascii="Times New Roman" w:eastAsia="Times New Roman" w:hAnsi="Times New Roman" w:cs="Times New Roman"/>
          <w:b/>
          <w:i/>
          <w:color w:val="000000"/>
          <w:sz w:val="28"/>
          <w:szCs w:val="28"/>
        </w:rPr>
        <w:t>V .Concluzii și recomandări</w:t>
      </w:r>
    </w:p>
    <w:p w14:paraId="25B8AAA8" w14:textId="77777777" w:rsidR="00151B44" w:rsidRPr="00D21DD8" w:rsidRDefault="00151B44" w:rsidP="00835F33">
      <w:pPr>
        <w:widowControl w:val="0"/>
        <w:spacing w:after="0" w:line="240" w:lineRule="auto"/>
        <w:ind w:firstLine="851"/>
        <w:jc w:val="both"/>
        <w:rPr>
          <w:rFonts w:ascii="Times New Roman" w:eastAsia="Times New Roman" w:hAnsi="Times New Roman" w:cs="Times New Roman"/>
          <w:b/>
          <w:i/>
          <w:color w:val="000000"/>
          <w:sz w:val="28"/>
          <w:szCs w:val="28"/>
        </w:rPr>
      </w:pPr>
    </w:p>
    <w:p w14:paraId="23C2C91C" w14:textId="77777777" w:rsidR="005A4C81" w:rsidRPr="00D21DD8" w:rsidRDefault="005A4C81" w:rsidP="005A4C81">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D21DD8">
        <w:rPr>
          <w:rFonts w:ascii="Times New Roman" w:eastAsia="Times New Roman" w:hAnsi="Times New Roman" w:cs="Times New Roman"/>
          <w:color w:val="000000"/>
          <w:sz w:val="28"/>
          <w:szCs w:val="28"/>
          <w:lang w:eastAsia="ru-RU"/>
        </w:rPr>
        <w:t>În concluzie, pornind de la obiectul de examinare stipulat prin Hotărârea Parlamentului nr.147/2022, Comisia specială a constatat următoarele:</w:t>
      </w:r>
    </w:p>
    <w:p w14:paraId="1143C343" w14:textId="4EA72FAC" w:rsidR="00835F33" w:rsidRPr="00D21DD8" w:rsidRDefault="00835F33" w:rsidP="00835F33">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color w:val="000000"/>
          <w:sz w:val="28"/>
          <w:szCs w:val="28"/>
        </w:rPr>
        <w:t>- în cadrul examinării procesului decizional privind controlul inflației și politica monetară pe parcursul ultimelor 18 luni, s-a depistat o reacție întârziată din partea Băncii Naționale a Moldovei în vederea aprobării unor decizii mai prompte de politică monetară în intervalul perioadei de referință februarie 2022 și mai 2022</w:t>
      </w:r>
      <w:r w:rsidR="0033163B" w:rsidRPr="00D21DD8">
        <w:rPr>
          <w:rFonts w:ascii="Times New Roman" w:eastAsia="Times New Roman" w:hAnsi="Times New Roman" w:cs="Times New Roman"/>
          <w:color w:val="000000"/>
          <w:sz w:val="28"/>
          <w:szCs w:val="28"/>
        </w:rPr>
        <w:t xml:space="preserve">, </w:t>
      </w:r>
      <w:r w:rsidRPr="00D21DD8">
        <w:rPr>
          <w:rFonts w:ascii="Times New Roman" w:eastAsia="Times New Roman" w:hAnsi="Times New Roman" w:cs="Times New Roman"/>
          <w:sz w:val="28"/>
          <w:szCs w:val="28"/>
        </w:rPr>
        <w:t>această concluzie este împărtășită și de experți independenți din societatea civilă</w:t>
      </w:r>
      <w:r w:rsidRPr="00D21DD8">
        <w:rPr>
          <w:rFonts w:ascii="Times New Roman" w:eastAsia="Times New Roman" w:hAnsi="Times New Roman" w:cs="Times New Roman"/>
          <w:sz w:val="28"/>
          <w:szCs w:val="28"/>
          <w:vertAlign w:val="superscript"/>
        </w:rPr>
        <w:footnoteReference w:id="3"/>
      </w:r>
      <w:r w:rsidRPr="00D21DD8">
        <w:rPr>
          <w:rFonts w:ascii="Times New Roman" w:eastAsia="Times New Roman" w:hAnsi="Times New Roman" w:cs="Times New Roman"/>
          <w:sz w:val="28"/>
          <w:szCs w:val="28"/>
        </w:rPr>
        <w:t xml:space="preserve">; </w:t>
      </w:r>
    </w:p>
    <w:p w14:paraId="6FA69ABB" w14:textId="62019509" w:rsidR="00835F33" w:rsidRPr="00D21DD8" w:rsidRDefault="00835F33" w:rsidP="00835F33">
      <w:pPr>
        <w:widowControl w:val="0"/>
        <w:spacing w:after="0" w:line="240" w:lineRule="auto"/>
        <w:ind w:firstLine="851"/>
        <w:jc w:val="both"/>
        <w:rPr>
          <w:rFonts w:ascii="Times New Roman" w:eastAsia="Times New Roman" w:hAnsi="Times New Roman" w:cs="Times New Roman"/>
          <w:color w:val="000000"/>
          <w:sz w:val="28"/>
          <w:szCs w:val="28"/>
        </w:rPr>
      </w:pPr>
      <w:r w:rsidRPr="00D21DD8">
        <w:rPr>
          <w:rFonts w:ascii="Times New Roman" w:eastAsia="Times New Roman" w:hAnsi="Times New Roman" w:cs="Times New Roman"/>
          <w:color w:val="000000"/>
          <w:sz w:val="28"/>
          <w:szCs w:val="28"/>
        </w:rPr>
        <w:t xml:space="preserve">- </w:t>
      </w:r>
      <w:r w:rsidRPr="00D21DD8">
        <w:rPr>
          <w:rFonts w:ascii="Times New Roman" w:eastAsia="Times New Roman" w:hAnsi="Times New Roman" w:cs="Times New Roman"/>
          <w:sz w:val="28"/>
          <w:szCs w:val="28"/>
        </w:rPr>
        <w:t>Comisia specială a identificat</w:t>
      </w:r>
      <w:r w:rsidRPr="00D21DD8">
        <w:rPr>
          <w:rFonts w:ascii="Times New Roman" w:eastAsia="Times New Roman" w:hAnsi="Times New Roman" w:cs="Times New Roman"/>
          <w:color w:val="000000"/>
          <w:sz w:val="28"/>
          <w:szCs w:val="28"/>
        </w:rPr>
        <w:t xml:space="preserve"> un potențial risc de conflict de interese dintre Consiliul de supraveghere și Comitetul executiv prin prisma suprapunerii componenței a 3 persoane în ambele organe de conducere a Băncii Naționale a Moldovei</w:t>
      </w:r>
      <w:r w:rsidRPr="00D21DD8">
        <w:rPr>
          <w:rFonts w:ascii="Times New Roman" w:eastAsia="Times New Roman" w:hAnsi="Times New Roman" w:cs="Times New Roman"/>
          <w:sz w:val="28"/>
          <w:szCs w:val="28"/>
        </w:rPr>
        <w:t xml:space="preserve"> și recomandă înlăturarea acestui conflict de interese. Consiliul de supraveghere</w:t>
      </w:r>
      <w:r w:rsidR="0033163B" w:rsidRPr="00D21DD8">
        <w:rPr>
          <w:rFonts w:ascii="Times New Roman" w:eastAsia="Times New Roman" w:hAnsi="Times New Roman" w:cs="Times New Roman"/>
          <w:sz w:val="28"/>
          <w:szCs w:val="28"/>
        </w:rPr>
        <w:t xml:space="preserve">, monitorizează și </w:t>
      </w:r>
      <w:r w:rsidRPr="00D21DD8">
        <w:rPr>
          <w:rFonts w:ascii="Times New Roman" w:eastAsia="Times New Roman" w:hAnsi="Times New Roman" w:cs="Times New Roman"/>
          <w:sz w:val="28"/>
          <w:szCs w:val="28"/>
        </w:rPr>
        <w:t>supraveghează activitatea Comitetului executiv, lucru ce implică independența și imparțialitatea membrilor Consiliului de supraveghere, în opinia Comisiei</w:t>
      </w:r>
      <w:r w:rsidR="0033163B" w:rsidRPr="00D21DD8">
        <w:rPr>
          <w:rFonts w:ascii="Times New Roman" w:eastAsia="Times New Roman" w:hAnsi="Times New Roman" w:cs="Times New Roman"/>
          <w:sz w:val="28"/>
          <w:szCs w:val="28"/>
        </w:rPr>
        <w:t xml:space="preserve"> speciale; </w:t>
      </w:r>
    </w:p>
    <w:p w14:paraId="658AFD61" w14:textId="6947EEC4" w:rsidR="00835F33" w:rsidRPr="006A78AD" w:rsidRDefault="00835F33" w:rsidP="00835F33">
      <w:pPr>
        <w:widowControl w:val="0"/>
        <w:spacing w:after="0" w:line="240" w:lineRule="auto"/>
        <w:ind w:firstLine="851"/>
        <w:jc w:val="both"/>
        <w:rPr>
          <w:rFonts w:ascii="Times New Roman" w:eastAsia="Times New Roman" w:hAnsi="Times New Roman" w:cs="Times New Roman"/>
          <w:strike/>
          <w:sz w:val="28"/>
          <w:szCs w:val="28"/>
          <w:u w:val="single"/>
        </w:rPr>
      </w:pPr>
      <w:r w:rsidRPr="006A78AD">
        <w:rPr>
          <w:rFonts w:ascii="Times New Roman" w:eastAsia="Times New Roman" w:hAnsi="Times New Roman" w:cs="Times New Roman"/>
          <w:sz w:val="28"/>
          <w:szCs w:val="28"/>
        </w:rPr>
        <w:t xml:space="preserve">- </w:t>
      </w:r>
      <w:r w:rsidR="00E334C2" w:rsidRPr="006A78AD">
        <w:rPr>
          <w:rFonts w:ascii="Times New Roman" w:eastAsia="Times New Roman" w:hAnsi="Times New Roman" w:cs="Times New Roman"/>
          <w:sz w:val="28"/>
          <w:szCs w:val="28"/>
        </w:rPr>
        <w:t>d</w:t>
      </w:r>
      <w:r w:rsidRPr="006A78AD">
        <w:rPr>
          <w:rFonts w:ascii="Times New Roman" w:eastAsia="Times New Roman" w:hAnsi="Times New Roman" w:cs="Times New Roman"/>
          <w:sz w:val="28"/>
          <w:szCs w:val="28"/>
        </w:rPr>
        <w:t>eși B</w:t>
      </w:r>
      <w:r w:rsidR="00E334C2" w:rsidRPr="006A78AD">
        <w:rPr>
          <w:rFonts w:ascii="Times New Roman" w:eastAsia="Times New Roman" w:hAnsi="Times New Roman" w:cs="Times New Roman"/>
          <w:sz w:val="28"/>
          <w:szCs w:val="28"/>
        </w:rPr>
        <w:t>anca Națională a Moldovei</w:t>
      </w:r>
      <w:r w:rsidRPr="006A78AD">
        <w:rPr>
          <w:rFonts w:ascii="Times New Roman" w:eastAsia="Times New Roman" w:hAnsi="Times New Roman" w:cs="Times New Roman"/>
          <w:sz w:val="28"/>
          <w:szCs w:val="28"/>
        </w:rPr>
        <w:t xml:space="preserve"> a invocat că nu există o </w:t>
      </w:r>
      <w:r w:rsidRPr="006A78AD">
        <w:rPr>
          <w:rFonts w:ascii="Times New Roman" w:eastAsia="Times New Roman" w:hAnsi="Times New Roman" w:cs="Times New Roman"/>
          <w:i/>
          <w:sz w:val="28"/>
          <w:szCs w:val="28"/>
        </w:rPr>
        <w:t>platformă formalizată</w:t>
      </w:r>
      <w:r w:rsidRPr="006A78AD">
        <w:rPr>
          <w:rFonts w:ascii="Times New Roman" w:eastAsia="Times New Roman" w:hAnsi="Times New Roman" w:cs="Times New Roman"/>
          <w:sz w:val="28"/>
          <w:szCs w:val="28"/>
        </w:rPr>
        <w:t xml:space="preserve"> de cooperare dintre Banca Națională a Moldovei </w:t>
      </w:r>
      <w:r w:rsidR="00282DF8" w:rsidRPr="006A78AD">
        <w:rPr>
          <w:rFonts w:ascii="Times New Roman" w:eastAsia="Times New Roman" w:hAnsi="Times New Roman" w:cs="Times New Roman"/>
          <w:sz w:val="28"/>
          <w:szCs w:val="28"/>
        </w:rPr>
        <w:t>cu</w:t>
      </w:r>
      <w:r w:rsidRPr="006A78AD">
        <w:rPr>
          <w:rFonts w:ascii="Times New Roman" w:eastAsia="Times New Roman" w:hAnsi="Times New Roman" w:cs="Times New Roman"/>
          <w:sz w:val="28"/>
          <w:szCs w:val="28"/>
        </w:rPr>
        <w:t xml:space="preserve"> Ministerul Finanțelor, Ministerul Economie, și alte ministere și instituții ale statului implicate în procesul elaborării, prognozării și controlului inflației, </w:t>
      </w:r>
      <w:r w:rsidRPr="006A78AD">
        <w:rPr>
          <w:rFonts w:ascii="Times New Roman" w:eastAsia="Times New Roman" w:hAnsi="Times New Roman" w:cs="Times New Roman"/>
          <w:i/>
          <w:sz w:val="28"/>
          <w:szCs w:val="28"/>
        </w:rPr>
        <w:t xml:space="preserve">opinia </w:t>
      </w:r>
      <w:r w:rsidRPr="006A78AD">
        <w:rPr>
          <w:rFonts w:ascii="Times New Roman" w:eastAsia="Times New Roman" w:hAnsi="Times New Roman" w:cs="Times New Roman"/>
          <w:sz w:val="28"/>
          <w:szCs w:val="28"/>
        </w:rPr>
        <w:t xml:space="preserve">Comisiei Speciale este că mandatul legal al Comitetului Național de Stabilitate Financiară permite Comitetului să servească drept o asemenea platformă. Comisia consideră că CNSF, cel puțin în lipsa altor platforme dedicate, </w:t>
      </w:r>
      <w:r w:rsidR="00852256" w:rsidRPr="006A78AD">
        <w:rPr>
          <w:rFonts w:ascii="Times New Roman" w:eastAsia="Times New Roman" w:hAnsi="Times New Roman" w:cs="Times New Roman"/>
          <w:sz w:val="28"/>
          <w:szCs w:val="28"/>
        </w:rPr>
        <w:t>putea</w:t>
      </w:r>
      <w:r w:rsidRPr="006A78AD">
        <w:rPr>
          <w:rFonts w:ascii="Times New Roman" w:eastAsia="Times New Roman" w:hAnsi="Times New Roman" w:cs="Times New Roman"/>
          <w:sz w:val="28"/>
          <w:szCs w:val="28"/>
        </w:rPr>
        <w:t xml:space="preserve"> fi utilizată mai </w:t>
      </w:r>
      <w:proofErr w:type="spellStart"/>
      <w:r w:rsidRPr="006A78AD">
        <w:rPr>
          <w:rFonts w:ascii="Times New Roman" w:eastAsia="Times New Roman" w:hAnsi="Times New Roman" w:cs="Times New Roman"/>
          <w:sz w:val="28"/>
          <w:szCs w:val="28"/>
        </w:rPr>
        <w:t>proactiv</w:t>
      </w:r>
      <w:proofErr w:type="spellEnd"/>
      <w:r w:rsidRPr="006A78AD">
        <w:rPr>
          <w:rFonts w:ascii="Times New Roman" w:eastAsia="Times New Roman" w:hAnsi="Times New Roman" w:cs="Times New Roman"/>
          <w:sz w:val="28"/>
          <w:szCs w:val="28"/>
        </w:rPr>
        <w:t xml:space="preserve"> în ultima perioadă. Or, în ultimele 18 luni subiectul inflației a fost discutat o singură dată în cadrul CNSF. În total, în ultimele 18 luni au avut loc 3 ședințe ale CNSF;</w:t>
      </w:r>
    </w:p>
    <w:p w14:paraId="7CC4C800" w14:textId="6FFC770D" w:rsidR="00320AD7" w:rsidRPr="00D21DD8" w:rsidRDefault="00320AD7" w:rsidP="00320AD7">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bidi="en-US"/>
        </w:rPr>
      </w:pPr>
      <w:r w:rsidRPr="00D21DD8">
        <w:rPr>
          <w:rFonts w:ascii="Times New Roman" w:eastAsia="Times New Roman" w:hAnsi="Times New Roman" w:cs="Times New Roman"/>
          <w:sz w:val="28"/>
          <w:szCs w:val="28"/>
          <w:lang w:bidi="en-US"/>
        </w:rPr>
        <w:t xml:space="preserve">- modelul de calcul a indicatorilor prevăzuți în rapoartele de inflație utilizat de către Banca Națională, necesită a fi îmbunătățit și adaptat la o evoluție mai modernizată a datelor utilizate, de asemenea, Comisia recomandă BNM </w:t>
      </w:r>
      <w:r w:rsidR="00D55945" w:rsidRPr="00D21DD8">
        <w:rPr>
          <w:rFonts w:ascii="Times New Roman" w:eastAsia="Times New Roman" w:hAnsi="Times New Roman" w:cs="Times New Roman"/>
          <w:sz w:val="28"/>
          <w:szCs w:val="28"/>
          <w:lang w:bidi="en-US"/>
        </w:rPr>
        <w:t xml:space="preserve">să </w:t>
      </w:r>
      <w:r w:rsidRPr="00D21DD8">
        <w:rPr>
          <w:rFonts w:ascii="Times New Roman" w:eastAsia="Times New Roman" w:hAnsi="Times New Roman" w:cs="Times New Roman"/>
          <w:sz w:val="28"/>
          <w:szCs w:val="28"/>
          <w:lang w:bidi="en-US"/>
        </w:rPr>
        <w:t>ia în calcul oportunitatea creșterii transparenței și a caracterului public al modelului de calcul, după modelul altor bănci centrale;</w:t>
      </w:r>
    </w:p>
    <w:p w14:paraId="5C0E6334" w14:textId="77777777" w:rsidR="00320AD7" w:rsidRPr="00D21DD8" w:rsidRDefault="00320AD7" w:rsidP="00320AD7">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necesitatea monitorizării continue a situației macroeconomice interne și a celei externe necesită a fi efectuată la timp și la momentul oportun, fără a prejudicia obiectivul său fundamental de asigurare a stabilității preturilor;</w:t>
      </w:r>
    </w:p>
    <w:p w14:paraId="15F540D4" w14:textId="33116712" w:rsidR="00320AD7" w:rsidRPr="00D21DD8" w:rsidRDefault="00320AD7" w:rsidP="00320AD7">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condițiile monetare au susținut cererea internă, favorizând procesul de creditare a consumului;</w:t>
      </w:r>
    </w:p>
    <w:p w14:paraId="07134EE0" w14:textId="77777777" w:rsidR="00320AD7" w:rsidRPr="00D21DD8" w:rsidRDefault="00320AD7" w:rsidP="00320AD7">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bidi="en-US"/>
        </w:rPr>
      </w:pPr>
      <w:r w:rsidRPr="00D21DD8">
        <w:rPr>
          <w:rFonts w:ascii="Times New Roman" w:eastAsia="Times New Roman" w:hAnsi="Times New Roman" w:cs="Times New Roman"/>
          <w:sz w:val="28"/>
          <w:szCs w:val="28"/>
          <w:lang w:bidi="en-US"/>
        </w:rPr>
        <w:t>- nu au fost identificare și evaluate riscurile de abatere a prognozei inflației, în acest fel s-a observat un impact mai pronunțat din partea costurilor și a factorilor de fluctuație;</w:t>
      </w:r>
    </w:p>
    <w:p w14:paraId="3DABE8EB" w14:textId="5837615C" w:rsidR="00320AD7" w:rsidRPr="00D21DD8" w:rsidRDefault="00320AD7" w:rsidP="00320AD7">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bidi="en-US"/>
        </w:rPr>
      </w:pPr>
      <w:r w:rsidRPr="00D21DD8">
        <w:rPr>
          <w:rFonts w:ascii="Times New Roman" w:eastAsia="Times New Roman" w:hAnsi="Times New Roman" w:cs="Times New Roman"/>
          <w:sz w:val="28"/>
          <w:szCs w:val="28"/>
          <w:lang w:bidi="en-US"/>
        </w:rPr>
        <w:t xml:space="preserve">- evaluând situația macroeconomică externă, s-a constat că creșterea </w:t>
      </w:r>
      <w:r w:rsidRPr="00D21DD8">
        <w:rPr>
          <w:rFonts w:ascii="Times New Roman" w:eastAsia="Times New Roman" w:hAnsi="Times New Roman" w:cs="Times New Roman"/>
          <w:sz w:val="28"/>
          <w:szCs w:val="28"/>
          <w:lang w:bidi="en-US"/>
        </w:rPr>
        <w:lastRenderedPageBreak/>
        <w:t>prețurilor rămâne a fi afectată de cotațiile înalte la materii prime, la gazele naturale, petrol, produsele alimentare, prin suprapunere cu costurile de producție și cele de deservire;</w:t>
      </w:r>
    </w:p>
    <w:p w14:paraId="61BCC45E" w14:textId="77777777" w:rsidR="00835F33" w:rsidRPr="00D21DD8" w:rsidRDefault="00835F33" w:rsidP="00835F33">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creditele noi acordate în moneda națională au menținut tendința de creștere fiind un factor al procesului inflaționist; deși inflația actuală a fost determinată în mare parte din exterior, consumul intern a alimentat într-o măsură semnificativă și de creditare (creditele de consum). Responsabilii de la Banca Națională nu au oferit o estimare despre măsura în care creditarea de consum a alimentat inflația finală;</w:t>
      </w:r>
    </w:p>
    <w:p w14:paraId="21C62C4F" w14:textId="61989729" w:rsidR="00835F33" w:rsidRPr="00D21DD8" w:rsidRDefault="00835F33" w:rsidP="00835F33">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xml:space="preserve">- creditarea de consum a fost în creștere constantă (atât pe sistemul bancar, cât și în OCN-uri) în ultimele 18 luni, iar regulatorii au acționat întârziat. Acest fapt a alimentat inflația. Cu alte cuvinte, chiar dacă nu era inflație din extern, </w:t>
      </w:r>
      <w:r w:rsidR="00482531" w:rsidRPr="00D21DD8">
        <w:rPr>
          <w:rFonts w:ascii="Times New Roman" w:eastAsia="Times New Roman" w:hAnsi="Times New Roman" w:cs="Times New Roman"/>
          <w:sz w:val="28"/>
          <w:szCs w:val="28"/>
        </w:rPr>
        <w:t xml:space="preserve">Republica </w:t>
      </w:r>
      <w:r w:rsidRPr="00D21DD8">
        <w:rPr>
          <w:rFonts w:ascii="Times New Roman" w:eastAsia="Times New Roman" w:hAnsi="Times New Roman" w:cs="Times New Roman"/>
          <w:sz w:val="28"/>
          <w:szCs w:val="28"/>
        </w:rPr>
        <w:t>Moldova oricum ar fi avut inflație. Parlamentul a intervenit pentru a introduce la nivel legislativ criterii de creditare responsabilă, inclusiv plafonând dobânzile la credite</w:t>
      </w:r>
      <w:r w:rsidR="00A62FEF" w:rsidRPr="00D21DD8">
        <w:rPr>
          <w:rFonts w:ascii="Times New Roman" w:eastAsia="Times New Roman" w:hAnsi="Times New Roman" w:cs="Times New Roman"/>
          <w:sz w:val="28"/>
          <w:szCs w:val="28"/>
        </w:rPr>
        <w:t>le</w:t>
      </w:r>
      <w:r w:rsidRPr="00D21DD8">
        <w:rPr>
          <w:rFonts w:ascii="Times New Roman" w:eastAsia="Times New Roman" w:hAnsi="Times New Roman" w:cs="Times New Roman"/>
          <w:sz w:val="28"/>
          <w:szCs w:val="28"/>
        </w:rPr>
        <w:t xml:space="preserve"> de consum;</w:t>
      </w:r>
    </w:p>
    <w:p w14:paraId="3EC75E0D" w14:textId="77777777" w:rsidR="00835F33" w:rsidRPr="00D21DD8" w:rsidRDefault="00835F33" w:rsidP="00835F33">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accelerarea prețurilor a fost determinată de creșterea cotațiilor internaționale și regionale la produsele alimentare și la resursele energetice, ceea ce a determinat creșterea prețurilor acestora pe piața internă și ajustarea tarifelor la gazul în rețea și energia termică;</w:t>
      </w:r>
    </w:p>
    <w:p w14:paraId="016FDD36" w14:textId="77777777" w:rsidR="00835F33" w:rsidRPr="00D21DD8" w:rsidRDefault="00835F33" w:rsidP="00835F33">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în scopul atenuării presiunilor inflaționiste persistente și protejării economiilor populației, identificând așteptările inflaționiste, stimulând economisirea în defavoarea consumului, și diminuând presiunile asupra deprecierii monedei naționale, BNM urma să se întrunească mai frecvent în cadrul unor ședințe de cooperare cu alte instituții ale statului privind evoluția inflației și măsurile ce pot fi întreprinse;</w:t>
      </w:r>
    </w:p>
    <w:p w14:paraId="53983A16" w14:textId="725DFB78" w:rsidR="00835F33" w:rsidRPr="006A78AD" w:rsidRDefault="00835F33" w:rsidP="00835F33">
      <w:pPr>
        <w:widowControl w:val="0"/>
        <w:spacing w:after="0" w:line="240" w:lineRule="auto"/>
        <w:ind w:firstLine="851"/>
        <w:jc w:val="both"/>
        <w:rPr>
          <w:rFonts w:ascii="Times New Roman" w:eastAsia="Times New Roman" w:hAnsi="Times New Roman" w:cs="Times New Roman"/>
          <w:sz w:val="28"/>
          <w:szCs w:val="28"/>
        </w:rPr>
      </w:pPr>
      <w:r w:rsidRPr="00D21DD8">
        <w:rPr>
          <w:rFonts w:ascii="Times New Roman" w:eastAsia="Times New Roman" w:hAnsi="Times New Roman" w:cs="Times New Roman"/>
          <w:sz w:val="28"/>
          <w:szCs w:val="28"/>
        </w:rPr>
        <w:t xml:space="preserve">- Starea de spirit a populației, așteptările inflaționiste, sunt unul din factorii determinanți ai unei decizii de politică monetară, de aceea este important ca regulatorul să aibă o impresie despre acestea. BNM nu măsoară în nici un fel așteptările inflaționiste ale populației. Or, majoritatea băncilor centrale o fac, de exemplu, prin intermediul sondajelor sau altor instrumente, lucru ce ghidează regulatorul în politica sa monetară. Comisia recomandă Băncii Naționale să ia în calcul utilizarea instrumentelor de măsurare a așteptărilor inflaționiste ale populației. </w:t>
      </w:r>
    </w:p>
    <w:p w14:paraId="2CBD4B5E" w14:textId="6EE574B6" w:rsidR="00582D63" w:rsidRDefault="000E5E15" w:rsidP="000E5E15">
      <w:pPr>
        <w:widowControl w:val="0"/>
        <w:spacing w:after="0" w:line="240" w:lineRule="auto"/>
        <w:ind w:firstLine="851"/>
        <w:jc w:val="both"/>
        <w:rPr>
          <w:rFonts w:ascii="Times New Roman" w:eastAsia="Times New Roman" w:hAnsi="Times New Roman" w:cs="Times New Roman"/>
          <w:b/>
          <w:i/>
          <w:color w:val="000000"/>
          <w:sz w:val="28"/>
          <w:szCs w:val="28"/>
          <w:lang w:val="ro-MD"/>
        </w:rPr>
      </w:pPr>
      <w:r w:rsidRPr="00D21DD8">
        <w:rPr>
          <w:rFonts w:ascii="Times New Roman" w:eastAsia="Times New Roman" w:hAnsi="Times New Roman" w:cs="Times New Roman"/>
          <w:b/>
          <w:i/>
          <w:color w:val="000000"/>
          <w:sz w:val="28"/>
          <w:szCs w:val="28"/>
          <w:lang w:val="ro-MD"/>
        </w:rPr>
        <w:t>În concluzie, Comisia specială propune următoarele recomandări/acțiuni necesare de</w:t>
      </w:r>
      <w:r w:rsidR="00E670F5" w:rsidRPr="00D21DD8">
        <w:rPr>
          <w:rFonts w:ascii="Times New Roman" w:eastAsia="Times New Roman" w:hAnsi="Times New Roman" w:cs="Times New Roman"/>
          <w:b/>
          <w:i/>
          <w:color w:val="000000"/>
          <w:sz w:val="28"/>
          <w:szCs w:val="28"/>
          <w:lang w:val="ro-MD"/>
        </w:rPr>
        <w:t xml:space="preserve"> </w:t>
      </w:r>
      <w:r w:rsidRPr="00D21DD8">
        <w:rPr>
          <w:rFonts w:ascii="Times New Roman" w:eastAsia="Times New Roman" w:hAnsi="Times New Roman" w:cs="Times New Roman"/>
          <w:b/>
          <w:i/>
          <w:color w:val="000000"/>
          <w:sz w:val="28"/>
          <w:szCs w:val="28"/>
          <w:lang w:val="ro-MD"/>
        </w:rPr>
        <w:t>întreprins:</w:t>
      </w:r>
    </w:p>
    <w:p w14:paraId="73BB6539" w14:textId="77777777" w:rsidR="0089282D" w:rsidRPr="0089282D" w:rsidRDefault="0089282D" w:rsidP="000E5E15">
      <w:pPr>
        <w:widowControl w:val="0"/>
        <w:spacing w:after="0" w:line="240" w:lineRule="auto"/>
        <w:ind w:firstLine="851"/>
        <w:jc w:val="both"/>
        <w:rPr>
          <w:rFonts w:ascii="Times New Roman" w:eastAsia="Times New Roman" w:hAnsi="Times New Roman" w:cs="Times New Roman"/>
          <w:b/>
          <w:i/>
          <w:color w:val="000000"/>
          <w:sz w:val="28"/>
          <w:szCs w:val="28"/>
          <w:lang w:val="ro-MD"/>
        </w:rPr>
      </w:pPr>
    </w:p>
    <w:p w14:paraId="07FCBA29" w14:textId="76B766BD" w:rsidR="000E5E15" w:rsidRDefault="000E5E15" w:rsidP="000E5E15">
      <w:pPr>
        <w:widowControl w:val="0"/>
        <w:spacing w:after="0" w:line="240" w:lineRule="auto"/>
        <w:ind w:firstLine="851"/>
        <w:jc w:val="both"/>
        <w:rPr>
          <w:rFonts w:ascii="Times New Roman" w:eastAsia="Times New Roman" w:hAnsi="Times New Roman" w:cs="Times New Roman"/>
          <w:b/>
          <w:color w:val="000000"/>
          <w:sz w:val="28"/>
          <w:szCs w:val="28"/>
          <w:lang w:val="ro-MD"/>
        </w:rPr>
      </w:pPr>
      <w:r w:rsidRPr="00D21DD8">
        <w:rPr>
          <w:rFonts w:ascii="Times New Roman" w:eastAsia="Times New Roman" w:hAnsi="Times New Roman" w:cs="Times New Roman"/>
          <w:b/>
          <w:color w:val="000000"/>
          <w:sz w:val="28"/>
          <w:szCs w:val="28"/>
          <w:lang w:val="ro-MD"/>
        </w:rPr>
        <w:t>Banca Națională a Moldovei:</w:t>
      </w:r>
    </w:p>
    <w:p w14:paraId="74ED6A3A" w14:textId="7FE89550" w:rsidR="0089282D" w:rsidRPr="0089282D" w:rsidRDefault="0089282D"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r w:rsidRPr="0089282D">
        <w:rPr>
          <w:rFonts w:ascii="Times New Roman" w:eastAsia="Times New Roman" w:hAnsi="Times New Roman" w:cs="Times New Roman"/>
          <w:color w:val="000000"/>
          <w:sz w:val="28"/>
          <w:szCs w:val="28"/>
          <w:lang w:val="ro-MD"/>
        </w:rPr>
        <w:t>– va asigura eficientizarea managementului Comitetului Național de Stabilitate Financiară în vederea asigurării unei cooperări și coordonări mai eficiente în scop de prevenire, reducere sau eliminare a riscurilor care amenință stabilitatea financiară la nivel de sistem, precum și de gestionare a situațiilor de criză financiară sistemică.</w:t>
      </w:r>
    </w:p>
    <w:p w14:paraId="2E80781A" w14:textId="540CC299" w:rsidR="00885209" w:rsidRPr="00D21DD8" w:rsidRDefault="000E5E15"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 xml:space="preserve">–  va asigura îmbunătățirea procesului de </w:t>
      </w:r>
      <w:r w:rsidR="00885209" w:rsidRPr="00D21DD8">
        <w:rPr>
          <w:rFonts w:ascii="Times New Roman" w:eastAsia="Times New Roman" w:hAnsi="Times New Roman" w:cs="Times New Roman"/>
          <w:color w:val="000000"/>
          <w:sz w:val="28"/>
          <w:szCs w:val="28"/>
          <w:lang w:val="ro-MD"/>
        </w:rPr>
        <w:t>adoptare a</w:t>
      </w:r>
      <w:r w:rsidRPr="00D21DD8">
        <w:rPr>
          <w:rFonts w:ascii="Times New Roman" w:eastAsia="Times New Roman" w:hAnsi="Times New Roman" w:cs="Times New Roman"/>
          <w:color w:val="000000"/>
          <w:sz w:val="28"/>
          <w:szCs w:val="28"/>
          <w:lang w:val="ro-MD"/>
        </w:rPr>
        <w:t xml:space="preserve"> deciziilor de politică monetară în </w:t>
      </w:r>
      <w:r w:rsidR="00F97D78" w:rsidRPr="00D21DD8">
        <w:rPr>
          <w:rFonts w:ascii="Times New Roman" w:eastAsia="Times New Roman" w:hAnsi="Times New Roman" w:cs="Times New Roman"/>
          <w:color w:val="000000"/>
          <w:sz w:val="28"/>
          <w:szCs w:val="28"/>
          <w:lang w:val="ro-MD"/>
        </w:rPr>
        <w:t xml:space="preserve">cadrul Băncii </w:t>
      </w:r>
      <w:r w:rsidR="00683B1D" w:rsidRPr="00D21DD8">
        <w:rPr>
          <w:rFonts w:ascii="Times New Roman" w:eastAsia="Times New Roman" w:hAnsi="Times New Roman" w:cs="Times New Roman"/>
          <w:color w:val="000000"/>
          <w:sz w:val="28"/>
          <w:szCs w:val="28"/>
          <w:lang w:val="ro-MD"/>
        </w:rPr>
        <w:t xml:space="preserve">Naționale a Moldovei în vederea aprobării unor decizii corespunzătoare mediului și riscurilor anticipate, fiind necesară tratarea consecințelor urmare a influenței factorilor care determină materializarea </w:t>
      </w:r>
      <w:r w:rsidR="00683B1D" w:rsidRPr="00D21DD8">
        <w:rPr>
          <w:rFonts w:ascii="Times New Roman" w:eastAsia="Times New Roman" w:hAnsi="Times New Roman" w:cs="Times New Roman"/>
          <w:color w:val="000000"/>
          <w:sz w:val="28"/>
          <w:szCs w:val="28"/>
          <w:lang w:val="ro-MD"/>
        </w:rPr>
        <w:lastRenderedPageBreak/>
        <w:t xml:space="preserve">riscurilor; </w:t>
      </w:r>
    </w:p>
    <w:p w14:paraId="286EAA6E" w14:textId="10AD6A05" w:rsidR="00582D63" w:rsidRPr="006A78AD" w:rsidRDefault="000E5E15"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 va asigura efectuarea unei analize privind eliminarea posibilului conflict de interese prin suprapunerea componenței Comitetului Executiv al Băncii Naționale a Moldovei și a Consiliului de Supraveghere al Băncii Naționale a Moldovei;</w:t>
      </w:r>
    </w:p>
    <w:p w14:paraId="7BD4D950" w14:textId="26E0E89B" w:rsidR="000E5E15" w:rsidRPr="006A78AD" w:rsidRDefault="000E5E15" w:rsidP="000E5E15">
      <w:pPr>
        <w:widowControl w:val="0"/>
        <w:spacing w:after="0" w:line="240" w:lineRule="auto"/>
        <w:ind w:firstLine="851"/>
        <w:jc w:val="both"/>
        <w:rPr>
          <w:rFonts w:ascii="Times New Roman" w:eastAsia="Times New Roman" w:hAnsi="Times New Roman" w:cs="Times New Roman"/>
          <w:sz w:val="28"/>
          <w:szCs w:val="28"/>
          <w:lang w:val="ro-MD"/>
        </w:rPr>
      </w:pPr>
      <w:r w:rsidRPr="006A78AD">
        <w:rPr>
          <w:rFonts w:ascii="Times New Roman" w:eastAsia="Times New Roman" w:hAnsi="Times New Roman" w:cs="Times New Roman"/>
          <w:sz w:val="28"/>
          <w:szCs w:val="28"/>
          <w:lang w:val="ro-MD"/>
        </w:rPr>
        <w:t xml:space="preserve">– va </w:t>
      </w:r>
      <w:bookmarkStart w:id="3" w:name="_Hlk109982301"/>
      <w:r w:rsidR="009B420B" w:rsidRPr="006A78AD">
        <w:rPr>
          <w:rFonts w:ascii="Times New Roman" w:eastAsia="Times New Roman" w:hAnsi="Times New Roman" w:cs="Times New Roman"/>
          <w:sz w:val="28"/>
          <w:szCs w:val="28"/>
          <w:lang w:val="ro-MD"/>
        </w:rPr>
        <w:t>analiza posibilitatea îmbunătățirii</w:t>
      </w:r>
      <w:r w:rsidRPr="006A78AD">
        <w:rPr>
          <w:rFonts w:ascii="Times New Roman" w:eastAsia="Times New Roman" w:hAnsi="Times New Roman" w:cs="Times New Roman"/>
          <w:sz w:val="28"/>
          <w:szCs w:val="28"/>
          <w:lang w:val="ro-MD"/>
        </w:rPr>
        <w:t xml:space="preserve"> nivelului de transparență și a caracterului public al modelului de calcul a indicatorilor </w:t>
      </w:r>
      <w:r w:rsidR="009B420B" w:rsidRPr="006A78AD">
        <w:rPr>
          <w:rFonts w:ascii="Times New Roman" w:eastAsia="Times New Roman" w:hAnsi="Times New Roman" w:cs="Times New Roman"/>
          <w:sz w:val="28"/>
          <w:szCs w:val="28"/>
          <w:lang w:val="ro-MD"/>
        </w:rPr>
        <w:t>statistici utilizați</w:t>
      </w:r>
      <w:r w:rsidRPr="006A78AD">
        <w:rPr>
          <w:rFonts w:ascii="Times New Roman" w:eastAsia="Times New Roman" w:hAnsi="Times New Roman" w:cs="Times New Roman"/>
          <w:sz w:val="28"/>
          <w:szCs w:val="28"/>
          <w:lang w:val="ro-MD"/>
        </w:rPr>
        <w:t xml:space="preserve"> în rapoartele </w:t>
      </w:r>
      <w:r w:rsidR="009B420B" w:rsidRPr="006A78AD">
        <w:rPr>
          <w:rFonts w:ascii="Times New Roman" w:eastAsia="Times New Roman" w:hAnsi="Times New Roman" w:cs="Times New Roman"/>
          <w:sz w:val="28"/>
          <w:szCs w:val="28"/>
          <w:lang w:val="ro-MD"/>
        </w:rPr>
        <w:t>asupra</w:t>
      </w:r>
      <w:r w:rsidRPr="006A78AD">
        <w:rPr>
          <w:rFonts w:ascii="Times New Roman" w:eastAsia="Times New Roman" w:hAnsi="Times New Roman" w:cs="Times New Roman"/>
          <w:sz w:val="28"/>
          <w:szCs w:val="28"/>
          <w:lang w:val="ro-MD"/>
        </w:rPr>
        <w:t xml:space="preserve"> inflație utilizat de către Banca Națională, după modelul altor bănci centrale;</w:t>
      </w:r>
      <w:bookmarkEnd w:id="3"/>
    </w:p>
    <w:p w14:paraId="2FA1DDE1" w14:textId="77777777" w:rsidR="000E5E15" w:rsidRPr="00D21DD8" w:rsidRDefault="000E5E15"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 va examina posibilitatea aplicării unor mecanisme/instrumente noi de politică monetară, inclusiv cele diferențiate care ar ținti anumite componente ale creditării (consum, investițional, ipotecar etc), care le-ar putea utiliza Banca Națională a Moldovei în vederea temperării la momentul necesar a procesului inflaționist;</w:t>
      </w:r>
    </w:p>
    <w:p w14:paraId="6FC9D87A" w14:textId="77777777" w:rsidR="000E5E15" w:rsidRPr="00D21DD8" w:rsidRDefault="000E5E15"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 va asigura îmbunătățirea metodelor de comunicare cu publicul privind deciziile monetare și procesele inflaționiste;</w:t>
      </w:r>
    </w:p>
    <w:p w14:paraId="7D64B2CB" w14:textId="1D484286" w:rsidR="00582D63" w:rsidRPr="006A78AD" w:rsidRDefault="000E5E15"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bookmarkStart w:id="4" w:name="_Hlk109982363"/>
      <w:r w:rsidRPr="00D21DD8">
        <w:rPr>
          <w:rFonts w:ascii="Times New Roman" w:eastAsia="Times New Roman" w:hAnsi="Times New Roman" w:cs="Times New Roman"/>
          <w:color w:val="000000"/>
          <w:sz w:val="28"/>
          <w:szCs w:val="28"/>
          <w:lang w:val="ro-MD"/>
        </w:rPr>
        <w:t>– va examina posibilitatea îmbunătățirii metodologiei de calcul a indicatorilor utilizați în Rapoartele trimestriale a Băncii Naționale a Moldovei asupra inflației, inclusiv prin intensificarea cooperării și schimbului de informație cu alte instituții;</w:t>
      </w:r>
    </w:p>
    <w:bookmarkEnd w:id="4"/>
    <w:p w14:paraId="54C429FE" w14:textId="782CDBB4" w:rsidR="00582D63" w:rsidRPr="00D21DD8" w:rsidRDefault="000E5E15"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 va asigura fortificarea monitorizării procesului inflaționist, inclusiv a factorilor, riscurilor și incertitudinilor asociate, în vederea ajustării instrumentelor necesare de politică monetară la momentul oportun;</w:t>
      </w:r>
    </w:p>
    <w:p w14:paraId="738B1A8D" w14:textId="68932EEA" w:rsidR="000E5E15" w:rsidRDefault="000E5E15" w:rsidP="000E5E15">
      <w:pPr>
        <w:widowControl w:val="0"/>
        <w:spacing w:after="0" w:line="240" w:lineRule="auto"/>
        <w:ind w:firstLine="851"/>
        <w:jc w:val="both"/>
        <w:rPr>
          <w:rFonts w:ascii="Times New Roman" w:eastAsia="Times New Roman" w:hAnsi="Times New Roman" w:cs="Times New Roman"/>
          <w:color w:val="000000"/>
          <w:sz w:val="28"/>
          <w:szCs w:val="28"/>
          <w:lang w:val="ro-MD"/>
        </w:rPr>
      </w:pPr>
      <w:r w:rsidRPr="00D21DD8">
        <w:rPr>
          <w:rFonts w:ascii="Times New Roman" w:eastAsia="Times New Roman" w:hAnsi="Times New Roman" w:cs="Times New Roman"/>
          <w:color w:val="000000"/>
          <w:sz w:val="28"/>
          <w:szCs w:val="28"/>
          <w:lang w:val="ro-MD"/>
        </w:rPr>
        <w:t>– va asigura realizarea unor îmbunătățiri în structura și procesul de evaluare a tendințelor principalilor indicatori macroeconomici prin dezvoltarea și furnizarea mai eficientă a informației relevante prognozei inflației</w:t>
      </w:r>
      <w:r w:rsidR="0089282D">
        <w:rPr>
          <w:rFonts w:ascii="Times New Roman" w:eastAsia="Times New Roman" w:hAnsi="Times New Roman" w:cs="Times New Roman"/>
          <w:color w:val="000000"/>
          <w:sz w:val="28"/>
          <w:szCs w:val="28"/>
          <w:lang w:val="ro-MD"/>
        </w:rPr>
        <w:t>;</w:t>
      </w:r>
    </w:p>
    <w:p w14:paraId="6097D8D3" w14:textId="728D2845" w:rsidR="005A4C81" w:rsidRPr="0089282D" w:rsidRDefault="0089282D" w:rsidP="0080644F">
      <w:pPr>
        <w:widowControl w:val="0"/>
        <w:spacing w:after="0" w:line="240" w:lineRule="auto"/>
        <w:ind w:firstLine="851"/>
        <w:jc w:val="both"/>
        <w:rPr>
          <w:rFonts w:ascii="Times New Roman" w:eastAsia="Times New Roman" w:hAnsi="Times New Roman" w:cs="Times New Roman"/>
          <w:color w:val="000000"/>
          <w:sz w:val="28"/>
          <w:szCs w:val="28"/>
        </w:rPr>
      </w:pPr>
      <w:r w:rsidRPr="0089282D">
        <w:rPr>
          <w:rFonts w:ascii="Times New Roman" w:eastAsia="Times New Roman" w:hAnsi="Times New Roman" w:cs="Times New Roman"/>
          <w:color w:val="000000"/>
          <w:sz w:val="28"/>
          <w:szCs w:val="28"/>
        </w:rPr>
        <w:t>– va informa Comisia economie, buget și finanțe asupra îndeplinirii prevederilor prezentei hotărâri.</w:t>
      </w:r>
    </w:p>
    <w:p w14:paraId="332364F9" w14:textId="497B54D5" w:rsidR="0089282D" w:rsidRDefault="0089282D" w:rsidP="0080644F">
      <w:pPr>
        <w:widowControl w:val="0"/>
        <w:spacing w:after="0" w:line="240" w:lineRule="auto"/>
        <w:ind w:firstLine="851"/>
        <w:jc w:val="both"/>
        <w:rPr>
          <w:rFonts w:ascii="Times New Roman" w:eastAsia="Times New Roman" w:hAnsi="Times New Roman" w:cs="Times New Roman"/>
          <w:b/>
          <w:i/>
          <w:color w:val="000000"/>
          <w:sz w:val="28"/>
          <w:szCs w:val="28"/>
        </w:rPr>
      </w:pPr>
    </w:p>
    <w:p w14:paraId="1B723CB5" w14:textId="77777777" w:rsidR="00614BA5" w:rsidRPr="00D21DD8" w:rsidRDefault="00614BA5" w:rsidP="0080644F">
      <w:pPr>
        <w:widowControl w:val="0"/>
        <w:spacing w:after="0" w:line="240" w:lineRule="auto"/>
        <w:ind w:firstLine="851"/>
        <w:jc w:val="both"/>
        <w:rPr>
          <w:rFonts w:ascii="Times New Roman" w:eastAsia="Times New Roman" w:hAnsi="Times New Roman" w:cs="Times New Roman"/>
          <w:b/>
          <w:i/>
          <w:color w:val="000000"/>
          <w:sz w:val="28"/>
          <w:szCs w:val="28"/>
        </w:rPr>
      </w:pPr>
    </w:p>
    <w:p w14:paraId="63E98122" w14:textId="4D8E2C03"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Președintele Comisiei</w:t>
      </w:r>
    </w:p>
    <w:p w14:paraId="623B4AF3" w14:textId="4C0EB1A0"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Dumitru ALAIBA</w:t>
      </w:r>
    </w:p>
    <w:p w14:paraId="6AC11A5E" w14:textId="0D1D80C9"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p>
    <w:p w14:paraId="3FE2636E" w14:textId="5402BF74"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Secretarul Comisiei</w:t>
      </w:r>
    </w:p>
    <w:p w14:paraId="0877A43A" w14:textId="27DF62E1"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BĂLUȚEL Adrian</w:t>
      </w:r>
    </w:p>
    <w:p w14:paraId="3FE1103B" w14:textId="38386DA4"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p>
    <w:p w14:paraId="3CCC49A0" w14:textId="048D7475"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Membrul Comisiei</w:t>
      </w:r>
    </w:p>
    <w:p w14:paraId="7EC0DC12" w14:textId="59942003" w:rsidR="00151B44" w:rsidRPr="00D21DD8"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MIJA Artur</w:t>
      </w:r>
    </w:p>
    <w:p w14:paraId="43F39312" w14:textId="77777777" w:rsidR="006A78AD" w:rsidRDefault="006A78AD" w:rsidP="0080644F">
      <w:pPr>
        <w:widowControl w:val="0"/>
        <w:spacing w:after="0" w:line="240" w:lineRule="auto"/>
        <w:ind w:firstLine="851"/>
        <w:jc w:val="both"/>
        <w:rPr>
          <w:rFonts w:ascii="Times New Roman" w:eastAsia="Times New Roman" w:hAnsi="Times New Roman" w:cs="Times New Roman"/>
          <w:b/>
          <w:color w:val="000000"/>
          <w:sz w:val="28"/>
          <w:szCs w:val="28"/>
        </w:rPr>
      </w:pPr>
    </w:p>
    <w:p w14:paraId="6609BBCA" w14:textId="77777777" w:rsidR="006A78AD"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Membrul Comisiei</w:t>
      </w:r>
    </w:p>
    <w:p w14:paraId="2ECA8F56" w14:textId="36FB6977" w:rsidR="00B1635D" w:rsidRPr="0028677D" w:rsidRDefault="00151B44" w:rsidP="0080644F">
      <w:pPr>
        <w:widowControl w:val="0"/>
        <w:spacing w:after="0" w:line="240" w:lineRule="auto"/>
        <w:ind w:firstLine="851"/>
        <w:jc w:val="both"/>
        <w:rPr>
          <w:rFonts w:ascii="Times New Roman" w:eastAsia="Times New Roman" w:hAnsi="Times New Roman" w:cs="Times New Roman"/>
          <w:b/>
          <w:color w:val="000000"/>
          <w:sz w:val="28"/>
          <w:szCs w:val="28"/>
        </w:rPr>
      </w:pPr>
      <w:r w:rsidRPr="00D21DD8">
        <w:rPr>
          <w:rFonts w:ascii="Times New Roman" w:eastAsia="Times New Roman" w:hAnsi="Times New Roman" w:cs="Times New Roman"/>
          <w:b/>
          <w:color w:val="000000"/>
          <w:sz w:val="28"/>
          <w:szCs w:val="28"/>
        </w:rPr>
        <w:t>MOROZOVA Marina</w:t>
      </w:r>
      <w:bookmarkStart w:id="5" w:name="_GoBack"/>
      <w:bookmarkEnd w:id="5"/>
      <w:permEnd w:id="1977958863"/>
    </w:p>
    <w:sectPr w:rsidR="00B1635D" w:rsidRPr="0028677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2A6ED" w14:textId="77777777" w:rsidR="00481508" w:rsidRPr="00150C8A" w:rsidRDefault="00481508" w:rsidP="002C2767">
      <w:r w:rsidRPr="00150C8A">
        <w:separator/>
      </w:r>
    </w:p>
  </w:endnote>
  <w:endnote w:type="continuationSeparator" w:id="0">
    <w:p w14:paraId="12640C21" w14:textId="77777777" w:rsidR="00481508" w:rsidRPr="00150C8A" w:rsidRDefault="00481508" w:rsidP="002C2767">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7987904"/>
      <w:docPartObj>
        <w:docPartGallery w:val="Page Numbers (Bottom of Page)"/>
        <w:docPartUnique/>
      </w:docPartObj>
    </w:sdtPr>
    <w:sdtEndPr>
      <w:rPr>
        <w:noProof/>
      </w:rPr>
    </w:sdtEndPr>
    <w:sdtContent>
      <w:p w14:paraId="623EEECC" w14:textId="77777777" w:rsidR="005A4ED0" w:rsidRDefault="005A4E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5BE194" w14:textId="77777777" w:rsidR="005A4ED0" w:rsidRDefault="005A4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0847D" w14:textId="77777777" w:rsidR="005A4ED0" w:rsidRPr="00416C17" w:rsidRDefault="005A4ED0"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E9E3AC5" wp14:editId="27417F0B">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9DBE4B"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2678EB8" w14:textId="77777777" w:rsidR="005A4ED0" w:rsidRPr="00416C17" w:rsidRDefault="005A4ED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39DB047B" w14:textId="77777777" w:rsidR="005A4ED0" w:rsidRPr="00416C17" w:rsidRDefault="005A4ED0" w:rsidP="00416C17">
    <w:pPr>
      <w:pStyle w:val="Footer"/>
      <w:tabs>
        <w:tab w:val="clear" w:pos="7027"/>
        <w:tab w:val="clear" w:pos="9689"/>
        <w:tab w:val="right" w:pos="9883"/>
      </w:tabs>
      <w:ind w:left="851"/>
      <w:rPr>
        <w:lang w:val="ro-RO"/>
      </w:rPr>
    </w:pPr>
    <w:r>
      <w:rPr>
        <w:lang w:val="ro-RO"/>
      </w:rPr>
      <w:t>Bd. Ştefan cel Mare şi Sfî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EA8FD" w14:textId="77777777" w:rsidR="00481508" w:rsidRPr="00150C8A" w:rsidRDefault="00481508" w:rsidP="002C2767">
      <w:r w:rsidRPr="00150C8A">
        <w:separator/>
      </w:r>
    </w:p>
  </w:footnote>
  <w:footnote w:type="continuationSeparator" w:id="0">
    <w:p w14:paraId="6FF7C58E" w14:textId="77777777" w:rsidR="00481508" w:rsidRPr="00150C8A" w:rsidRDefault="00481508" w:rsidP="002C2767">
      <w:r w:rsidRPr="00150C8A">
        <w:continuationSeparator/>
      </w:r>
    </w:p>
  </w:footnote>
  <w:footnote w:id="1">
    <w:p w14:paraId="30C6EF6E" w14:textId="77777777" w:rsidR="005A4ED0" w:rsidRDefault="005A4ED0" w:rsidP="001930FA">
      <w:pPr>
        <w:spacing w:after="0" w:line="240" w:lineRule="auto"/>
        <w:rPr>
          <w:sz w:val="20"/>
          <w:szCs w:val="20"/>
        </w:rPr>
      </w:pPr>
      <w:r>
        <w:rPr>
          <w:vertAlign w:val="superscript"/>
        </w:rPr>
        <w:footnoteRef/>
      </w:r>
      <w:r>
        <w:rPr>
          <w:sz w:val="20"/>
          <w:szCs w:val="20"/>
        </w:rPr>
        <w:t xml:space="preserve"> </w:t>
      </w:r>
      <w:hyperlink r:id="rId1">
        <w:r>
          <w:rPr>
            <w:color w:val="1155CC"/>
            <w:sz w:val="20"/>
            <w:szCs w:val="20"/>
            <w:u w:val="single"/>
          </w:rPr>
          <w:t>https://www.bnm.md/ro/content/calendarul-publicarii-rapoartelor-asupra-inflatiei</w:t>
        </w:r>
      </w:hyperlink>
      <w:r>
        <w:rPr>
          <w:sz w:val="20"/>
          <w:szCs w:val="20"/>
        </w:rPr>
        <w:t xml:space="preserve"> </w:t>
      </w:r>
    </w:p>
  </w:footnote>
  <w:footnote w:id="2">
    <w:p w14:paraId="6B917A4F" w14:textId="77777777" w:rsidR="007D6C90" w:rsidRDefault="007D6C90" w:rsidP="007D6C90">
      <w:pPr>
        <w:spacing w:after="0" w:line="240" w:lineRule="auto"/>
        <w:rPr>
          <w:sz w:val="18"/>
          <w:szCs w:val="18"/>
        </w:rPr>
      </w:pPr>
      <w:r>
        <w:rPr>
          <w:vertAlign w:val="superscript"/>
        </w:rPr>
        <w:footnoteRef/>
      </w:r>
      <w:r>
        <w:rPr>
          <w:sz w:val="18"/>
          <w:szCs w:val="18"/>
        </w:rPr>
        <w:t>Articolul 1 (1) din legea CNSF, „</w:t>
      </w:r>
      <w:r>
        <w:rPr>
          <w:color w:val="333333"/>
          <w:sz w:val="18"/>
          <w:szCs w:val="18"/>
          <w:highlight w:val="white"/>
        </w:rPr>
        <w:t xml:space="preserve">reglementează modul de organizare și funcționare a Comitetului Național de Stabilitate Financiară în scop de coordonare a realizării politicii </w:t>
      </w:r>
      <w:proofErr w:type="spellStart"/>
      <w:r>
        <w:rPr>
          <w:color w:val="333333"/>
          <w:sz w:val="18"/>
          <w:szCs w:val="18"/>
          <w:highlight w:val="white"/>
        </w:rPr>
        <w:t>macroprudențiale</w:t>
      </w:r>
      <w:proofErr w:type="spellEnd"/>
      <w:r>
        <w:rPr>
          <w:color w:val="333333"/>
          <w:sz w:val="18"/>
          <w:szCs w:val="18"/>
          <w:highlight w:val="white"/>
        </w:rPr>
        <w:t>, de prevenire, reducere sau eliminare a riscurilor care amenință stabilitatea financiară la nivel de sistem, precum și de gestionare a situațiilor de criză financiară sistemică”</w:t>
      </w:r>
      <w:r>
        <w:rPr>
          <w:sz w:val="18"/>
          <w:szCs w:val="18"/>
        </w:rPr>
        <w:t xml:space="preserve"> </w:t>
      </w:r>
      <w:r>
        <w:rPr>
          <w:sz w:val="18"/>
          <w:szCs w:val="18"/>
        </w:rPr>
        <w:br/>
      </w:r>
      <w:hyperlink r:id="rId2">
        <w:r>
          <w:rPr>
            <w:color w:val="1155CC"/>
            <w:sz w:val="18"/>
            <w:szCs w:val="18"/>
            <w:u w:val="single"/>
          </w:rPr>
          <w:t>https://www.legis.md/cautare/getResults?doc_id=109735&amp;lang=ro</w:t>
        </w:r>
      </w:hyperlink>
      <w:r>
        <w:rPr>
          <w:sz w:val="18"/>
          <w:szCs w:val="18"/>
        </w:rPr>
        <w:t xml:space="preserve">  </w:t>
      </w:r>
    </w:p>
  </w:footnote>
  <w:footnote w:id="3">
    <w:p w14:paraId="5E3D8FAA" w14:textId="77777777" w:rsidR="00835F33" w:rsidRDefault="00835F33" w:rsidP="00835F33">
      <w:pPr>
        <w:spacing w:after="0" w:line="240" w:lineRule="auto"/>
        <w:rPr>
          <w:sz w:val="18"/>
          <w:szCs w:val="18"/>
        </w:rPr>
      </w:pPr>
      <w:r>
        <w:rPr>
          <w:vertAlign w:val="superscript"/>
        </w:rPr>
        <w:footnoteRef/>
      </w:r>
      <w:r>
        <w:rPr>
          <w:sz w:val="18"/>
          <w:szCs w:val="18"/>
        </w:rPr>
        <w:t xml:space="preserve"> </w:t>
      </w:r>
      <w:hyperlink r:id="rId3">
        <w:r>
          <w:rPr>
            <w:color w:val="1155CC"/>
            <w:sz w:val="18"/>
            <w:szCs w:val="18"/>
            <w:u w:val="single"/>
          </w:rPr>
          <w:t>https://anticoruptie.md/ro/stiri/concluzia-expert-grup-bnm-a-intarziat-in-luarea-de-masuri-pentru-franarea-inflatiei-ce-solutii-recomanda-expertii</w:t>
        </w:r>
      </w:hyperlink>
      <w:r>
        <w:rPr>
          <w:color w:val="000000"/>
          <w:sz w:val="18"/>
          <w:szCs w:val="18"/>
        </w:rPr>
        <w:t xml:space="preserve"> </w:t>
      </w:r>
    </w:p>
    <w:p w14:paraId="7ABD5368" w14:textId="77777777" w:rsidR="00835F33" w:rsidRDefault="00835F33" w:rsidP="00835F33">
      <w:pPr>
        <w:spacing w:after="0" w:line="240" w:lineRule="auto"/>
        <w:rPr>
          <w:sz w:val="20"/>
          <w:szCs w:val="20"/>
        </w:rPr>
      </w:pP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8C283" w14:textId="77777777" w:rsidR="005A4ED0" w:rsidRPr="002C2767" w:rsidRDefault="005A4ED0" w:rsidP="002C2767">
    <w:pPr>
      <w:pStyle w:val="Header"/>
    </w:pPr>
    <w:r>
      <w:rPr>
        <w:noProof/>
        <w:lang w:val="ro-RO" w:eastAsia="ro-RO"/>
      </w:rPr>
      <w:drawing>
        <wp:anchor distT="0" distB="0" distL="114300" distR="114300" simplePos="0" relativeHeight="251671552" behindDoc="0" locked="0" layoutInCell="1" allowOverlap="1" wp14:anchorId="4AF185E2" wp14:editId="2EAA196D">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05C43"/>
    <w:multiLevelType w:val="multilevel"/>
    <w:tmpl w:val="7C66B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482A45"/>
    <w:multiLevelType w:val="hybridMultilevel"/>
    <w:tmpl w:val="68AE72FE"/>
    <w:lvl w:ilvl="0" w:tplc="09AA2DF4">
      <w:start w:val="1"/>
      <w:numFmt w:val="bullet"/>
      <w:lvlText w:val="-"/>
      <w:lvlJc w:val="left"/>
      <w:pPr>
        <w:ind w:left="2149" w:hanging="360"/>
      </w:pPr>
      <w:rPr>
        <w:rFonts w:ascii="Times New Roman" w:eastAsiaTheme="minorHAnsi" w:hAnsi="Times New Roman" w:cs="Times New Roman" w:hint="default"/>
      </w:rPr>
    </w:lvl>
    <w:lvl w:ilvl="1" w:tplc="04180003">
      <w:start w:val="1"/>
      <w:numFmt w:val="bullet"/>
      <w:lvlText w:val="o"/>
      <w:lvlJc w:val="left"/>
      <w:pPr>
        <w:ind w:left="2869" w:hanging="360"/>
      </w:pPr>
      <w:rPr>
        <w:rFonts w:ascii="Courier New" w:hAnsi="Courier New" w:cs="Courier New" w:hint="default"/>
      </w:rPr>
    </w:lvl>
    <w:lvl w:ilvl="2" w:tplc="04180005">
      <w:start w:val="1"/>
      <w:numFmt w:val="bullet"/>
      <w:lvlText w:val=""/>
      <w:lvlJc w:val="left"/>
      <w:pPr>
        <w:ind w:left="3589" w:hanging="360"/>
      </w:pPr>
      <w:rPr>
        <w:rFonts w:ascii="Wingdings" w:hAnsi="Wingdings" w:hint="default"/>
      </w:rPr>
    </w:lvl>
    <w:lvl w:ilvl="3" w:tplc="04180001">
      <w:start w:val="1"/>
      <w:numFmt w:val="bullet"/>
      <w:lvlText w:val=""/>
      <w:lvlJc w:val="left"/>
      <w:pPr>
        <w:ind w:left="4309" w:hanging="360"/>
      </w:pPr>
      <w:rPr>
        <w:rFonts w:ascii="Symbol" w:hAnsi="Symbol" w:hint="default"/>
      </w:rPr>
    </w:lvl>
    <w:lvl w:ilvl="4" w:tplc="04180003">
      <w:start w:val="1"/>
      <w:numFmt w:val="bullet"/>
      <w:lvlText w:val="o"/>
      <w:lvlJc w:val="left"/>
      <w:pPr>
        <w:ind w:left="5029" w:hanging="360"/>
      </w:pPr>
      <w:rPr>
        <w:rFonts w:ascii="Courier New" w:hAnsi="Courier New" w:cs="Courier New" w:hint="default"/>
      </w:rPr>
    </w:lvl>
    <w:lvl w:ilvl="5" w:tplc="04180005">
      <w:start w:val="1"/>
      <w:numFmt w:val="bullet"/>
      <w:lvlText w:val=""/>
      <w:lvlJc w:val="left"/>
      <w:pPr>
        <w:ind w:left="5749" w:hanging="360"/>
      </w:pPr>
      <w:rPr>
        <w:rFonts w:ascii="Wingdings" w:hAnsi="Wingdings" w:hint="default"/>
      </w:rPr>
    </w:lvl>
    <w:lvl w:ilvl="6" w:tplc="04180001">
      <w:start w:val="1"/>
      <w:numFmt w:val="bullet"/>
      <w:lvlText w:val=""/>
      <w:lvlJc w:val="left"/>
      <w:pPr>
        <w:ind w:left="6469" w:hanging="360"/>
      </w:pPr>
      <w:rPr>
        <w:rFonts w:ascii="Symbol" w:hAnsi="Symbol" w:hint="default"/>
      </w:rPr>
    </w:lvl>
    <w:lvl w:ilvl="7" w:tplc="04180003">
      <w:start w:val="1"/>
      <w:numFmt w:val="bullet"/>
      <w:lvlText w:val="o"/>
      <w:lvlJc w:val="left"/>
      <w:pPr>
        <w:ind w:left="7189" w:hanging="360"/>
      </w:pPr>
      <w:rPr>
        <w:rFonts w:ascii="Courier New" w:hAnsi="Courier New" w:cs="Courier New" w:hint="default"/>
      </w:rPr>
    </w:lvl>
    <w:lvl w:ilvl="8" w:tplc="04180005">
      <w:start w:val="1"/>
      <w:numFmt w:val="bullet"/>
      <w:lvlText w:val=""/>
      <w:lvlJc w:val="left"/>
      <w:pPr>
        <w:ind w:left="7909" w:hanging="360"/>
      </w:pPr>
      <w:rPr>
        <w:rFonts w:ascii="Wingdings" w:hAnsi="Wingdings" w:hint="default"/>
      </w:rPr>
    </w:lvl>
  </w:abstractNum>
  <w:abstractNum w:abstractNumId="2" w15:restartNumberingAfterBreak="0">
    <w:nsid w:val="4E3A577B"/>
    <w:multiLevelType w:val="multilevel"/>
    <w:tmpl w:val="833E583A"/>
    <w:lvl w:ilvl="0">
      <w:start w:val="1"/>
      <w:numFmt w:val="decimal"/>
      <w:lvlText w:val="%1."/>
      <w:lvlJc w:val="left"/>
      <w:pPr>
        <w:ind w:left="1460" w:hanging="360"/>
      </w:pPr>
    </w:lvl>
    <w:lvl w:ilvl="1">
      <w:start w:val="1"/>
      <w:numFmt w:val="lowerRoman"/>
      <w:lvlText w:val="%2)"/>
      <w:lvlJc w:val="left"/>
      <w:pPr>
        <w:ind w:left="2540" w:hanging="72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3" w15:restartNumberingAfterBreak="0">
    <w:nsid w:val="52C05156"/>
    <w:multiLevelType w:val="hybridMultilevel"/>
    <w:tmpl w:val="819EF03C"/>
    <w:lvl w:ilvl="0" w:tplc="329E52E4">
      <w:start w:val="1"/>
      <w:numFmt w:val="lowerLetter"/>
      <w:lvlText w:val="%1)"/>
      <w:lvlJc w:val="left"/>
      <w:pPr>
        <w:ind w:left="1789" w:hanging="360"/>
      </w:pPr>
    </w:lvl>
    <w:lvl w:ilvl="1" w:tplc="08180019">
      <w:start w:val="1"/>
      <w:numFmt w:val="lowerLetter"/>
      <w:lvlText w:val="%2."/>
      <w:lvlJc w:val="left"/>
      <w:pPr>
        <w:ind w:left="2509" w:hanging="360"/>
      </w:pPr>
    </w:lvl>
    <w:lvl w:ilvl="2" w:tplc="0818001B">
      <w:start w:val="1"/>
      <w:numFmt w:val="lowerRoman"/>
      <w:lvlText w:val="%3."/>
      <w:lvlJc w:val="right"/>
      <w:pPr>
        <w:ind w:left="3229" w:hanging="180"/>
      </w:pPr>
    </w:lvl>
    <w:lvl w:ilvl="3" w:tplc="0818000F">
      <w:start w:val="1"/>
      <w:numFmt w:val="decimal"/>
      <w:lvlText w:val="%4."/>
      <w:lvlJc w:val="left"/>
      <w:pPr>
        <w:ind w:left="3949" w:hanging="360"/>
      </w:pPr>
    </w:lvl>
    <w:lvl w:ilvl="4" w:tplc="08180019">
      <w:start w:val="1"/>
      <w:numFmt w:val="lowerLetter"/>
      <w:lvlText w:val="%5."/>
      <w:lvlJc w:val="left"/>
      <w:pPr>
        <w:ind w:left="4669" w:hanging="360"/>
      </w:pPr>
    </w:lvl>
    <w:lvl w:ilvl="5" w:tplc="0818001B">
      <w:start w:val="1"/>
      <w:numFmt w:val="lowerRoman"/>
      <w:lvlText w:val="%6."/>
      <w:lvlJc w:val="right"/>
      <w:pPr>
        <w:ind w:left="5389" w:hanging="180"/>
      </w:pPr>
    </w:lvl>
    <w:lvl w:ilvl="6" w:tplc="0818000F">
      <w:start w:val="1"/>
      <w:numFmt w:val="decimal"/>
      <w:lvlText w:val="%7."/>
      <w:lvlJc w:val="left"/>
      <w:pPr>
        <w:ind w:left="6109" w:hanging="360"/>
      </w:pPr>
    </w:lvl>
    <w:lvl w:ilvl="7" w:tplc="08180019">
      <w:start w:val="1"/>
      <w:numFmt w:val="lowerLetter"/>
      <w:lvlText w:val="%8."/>
      <w:lvlJc w:val="left"/>
      <w:pPr>
        <w:ind w:left="6829" w:hanging="360"/>
      </w:pPr>
    </w:lvl>
    <w:lvl w:ilvl="8" w:tplc="0818001B">
      <w:start w:val="1"/>
      <w:numFmt w:val="lowerRoman"/>
      <w:lvlText w:val="%9."/>
      <w:lvlJc w:val="right"/>
      <w:pPr>
        <w:ind w:left="7549" w:hanging="18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m01irEna5v+i5pnIcnN/54LSBofq3C4Ec4KlDi25sBQFc/eDpU14xooUQnESgsJ12cIZ8Ae/XRnhL9NOrBAjAA==" w:salt="LT6aLmSfq3Cy1Nl8H4CCUg=="/>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023A7"/>
    <w:rsid w:val="00003BCF"/>
    <w:rsid w:val="000265DE"/>
    <w:rsid w:val="000805BB"/>
    <w:rsid w:val="00095966"/>
    <w:rsid w:val="000D3D87"/>
    <w:rsid w:val="000D4ACD"/>
    <w:rsid w:val="000E5E15"/>
    <w:rsid w:val="000F1809"/>
    <w:rsid w:val="000F2819"/>
    <w:rsid w:val="00115CD6"/>
    <w:rsid w:val="00117A96"/>
    <w:rsid w:val="001317BC"/>
    <w:rsid w:val="00133F08"/>
    <w:rsid w:val="00136EBA"/>
    <w:rsid w:val="00150C8A"/>
    <w:rsid w:val="00151B44"/>
    <w:rsid w:val="0015566A"/>
    <w:rsid w:val="00170471"/>
    <w:rsid w:val="0019068D"/>
    <w:rsid w:val="001930FA"/>
    <w:rsid w:val="001B45EE"/>
    <w:rsid w:val="001C7107"/>
    <w:rsid w:val="001D19A3"/>
    <w:rsid w:val="001D22B6"/>
    <w:rsid w:val="001D6894"/>
    <w:rsid w:val="001F1B20"/>
    <w:rsid w:val="001F6367"/>
    <w:rsid w:val="001F6D9C"/>
    <w:rsid w:val="00222D3B"/>
    <w:rsid w:val="00282DF8"/>
    <w:rsid w:val="0028677D"/>
    <w:rsid w:val="002C2767"/>
    <w:rsid w:val="002C68A5"/>
    <w:rsid w:val="0030625D"/>
    <w:rsid w:val="003144D4"/>
    <w:rsid w:val="00320AD7"/>
    <w:rsid w:val="00322B4B"/>
    <w:rsid w:val="00327F9B"/>
    <w:rsid w:val="0033163B"/>
    <w:rsid w:val="003341D8"/>
    <w:rsid w:val="00397F6E"/>
    <w:rsid w:val="003B33E0"/>
    <w:rsid w:val="003C2091"/>
    <w:rsid w:val="003F6102"/>
    <w:rsid w:val="00400697"/>
    <w:rsid w:val="00402A12"/>
    <w:rsid w:val="004035F5"/>
    <w:rsid w:val="00416C17"/>
    <w:rsid w:val="00420B15"/>
    <w:rsid w:val="00446E6C"/>
    <w:rsid w:val="004641A6"/>
    <w:rsid w:val="00475CD7"/>
    <w:rsid w:val="00481508"/>
    <w:rsid w:val="00482531"/>
    <w:rsid w:val="00485D43"/>
    <w:rsid w:val="004B6EA9"/>
    <w:rsid w:val="0050384D"/>
    <w:rsid w:val="00521F95"/>
    <w:rsid w:val="00540416"/>
    <w:rsid w:val="00582D63"/>
    <w:rsid w:val="00591813"/>
    <w:rsid w:val="005A4C81"/>
    <w:rsid w:val="005A4ED0"/>
    <w:rsid w:val="005B30B5"/>
    <w:rsid w:val="005D6997"/>
    <w:rsid w:val="00604D4A"/>
    <w:rsid w:val="0060542C"/>
    <w:rsid w:val="00614BA5"/>
    <w:rsid w:val="006445E6"/>
    <w:rsid w:val="006559FE"/>
    <w:rsid w:val="0066558D"/>
    <w:rsid w:val="00683B1D"/>
    <w:rsid w:val="0068447D"/>
    <w:rsid w:val="00686C24"/>
    <w:rsid w:val="00690126"/>
    <w:rsid w:val="006A78AD"/>
    <w:rsid w:val="006F034C"/>
    <w:rsid w:val="006F70DF"/>
    <w:rsid w:val="0071143D"/>
    <w:rsid w:val="007131B7"/>
    <w:rsid w:val="0072477C"/>
    <w:rsid w:val="0074052A"/>
    <w:rsid w:val="0076676E"/>
    <w:rsid w:val="007932E6"/>
    <w:rsid w:val="007A5F71"/>
    <w:rsid w:val="007A73C5"/>
    <w:rsid w:val="007C7A42"/>
    <w:rsid w:val="007D1097"/>
    <w:rsid w:val="007D6C90"/>
    <w:rsid w:val="007F19EC"/>
    <w:rsid w:val="007F2A05"/>
    <w:rsid w:val="0080031B"/>
    <w:rsid w:val="0080644F"/>
    <w:rsid w:val="008123BE"/>
    <w:rsid w:val="00835F33"/>
    <w:rsid w:val="00852256"/>
    <w:rsid w:val="00885209"/>
    <w:rsid w:val="00887FB9"/>
    <w:rsid w:val="0089282D"/>
    <w:rsid w:val="009072B4"/>
    <w:rsid w:val="00912678"/>
    <w:rsid w:val="0091418E"/>
    <w:rsid w:val="0094700C"/>
    <w:rsid w:val="009845B0"/>
    <w:rsid w:val="009A0925"/>
    <w:rsid w:val="009A621E"/>
    <w:rsid w:val="009B420B"/>
    <w:rsid w:val="00A13FF5"/>
    <w:rsid w:val="00A30D2E"/>
    <w:rsid w:val="00A36D72"/>
    <w:rsid w:val="00A62FEF"/>
    <w:rsid w:val="00A804FA"/>
    <w:rsid w:val="00A87368"/>
    <w:rsid w:val="00A929B1"/>
    <w:rsid w:val="00A9382C"/>
    <w:rsid w:val="00A9642A"/>
    <w:rsid w:val="00A97F94"/>
    <w:rsid w:val="00AB140A"/>
    <w:rsid w:val="00AB4D6A"/>
    <w:rsid w:val="00AC5B3E"/>
    <w:rsid w:val="00AD5A32"/>
    <w:rsid w:val="00AD5BC5"/>
    <w:rsid w:val="00AF15F2"/>
    <w:rsid w:val="00B02E8A"/>
    <w:rsid w:val="00B1635D"/>
    <w:rsid w:val="00B26597"/>
    <w:rsid w:val="00B4091E"/>
    <w:rsid w:val="00B82575"/>
    <w:rsid w:val="00B876B0"/>
    <w:rsid w:val="00B93F97"/>
    <w:rsid w:val="00BC41FF"/>
    <w:rsid w:val="00BC4228"/>
    <w:rsid w:val="00BD1836"/>
    <w:rsid w:val="00BE0744"/>
    <w:rsid w:val="00BE6C45"/>
    <w:rsid w:val="00BF2ED1"/>
    <w:rsid w:val="00C14D92"/>
    <w:rsid w:val="00C4049B"/>
    <w:rsid w:val="00C544A9"/>
    <w:rsid w:val="00C87FCC"/>
    <w:rsid w:val="00CB7539"/>
    <w:rsid w:val="00CC76F6"/>
    <w:rsid w:val="00CE5A80"/>
    <w:rsid w:val="00CF4BA5"/>
    <w:rsid w:val="00D21DD8"/>
    <w:rsid w:val="00D25A6D"/>
    <w:rsid w:val="00D25FED"/>
    <w:rsid w:val="00D341A9"/>
    <w:rsid w:val="00D37588"/>
    <w:rsid w:val="00D55945"/>
    <w:rsid w:val="00D716C5"/>
    <w:rsid w:val="00D76E2D"/>
    <w:rsid w:val="00D85442"/>
    <w:rsid w:val="00D872E8"/>
    <w:rsid w:val="00DA33C8"/>
    <w:rsid w:val="00DC3494"/>
    <w:rsid w:val="00DE1F3A"/>
    <w:rsid w:val="00DF4021"/>
    <w:rsid w:val="00E10E73"/>
    <w:rsid w:val="00E24F15"/>
    <w:rsid w:val="00E334C2"/>
    <w:rsid w:val="00E670F5"/>
    <w:rsid w:val="00E67414"/>
    <w:rsid w:val="00E72FD5"/>
    <w:rsid w:val="00E96739"/>
    <w:rsid w:val="00EB2985"/>
    <w:rsid w:val="00EE7413"/>
    <w:rsid w:val="00F00B91"/>
    <w:rsid w:val="00F24FAB"/>
    <w:rsid w:val="00F26B54"/>
    <w:rsid w:val="00F33F1F"/>
    <w:rsid w:val="00F35E58"/>
    <w:rsid w:val="00F404FA"/>
    <w:rsid w:val="00F941C9"/>
    <w:rsid w:val="00F97D78"/>
    <w:rsid w:val="00FA7177"/>
    <w:rsid w:val="00FB1234"/>
    <w:rsid w:val="00FB5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8ECD5"/>
  <w15:docId w15:val="{0C09A5CF-8746-41A7-85A8-3B3AC69E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2C2767"/>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CB7539"/>
    <w:pPr>
      <w:spacing w:after="0" w:line="240" w:lineRule="auto"/>
      <w:ind w:left="851"/>
    </w:pPr>
    <w:rPr>
      <w:rFonts w:ascii="Georgia" w:hAnsi="Georgia"/>
      <w:sz w:val="24"/>
      <w:szCs w:val="24"/>
      <w:lang w:val="ro-RO"/>
    </w:rPr>
  </w:style>
  <w:style w:type="paragraph" w:styleId="BalloonText">
    <w:name w:val="Balloon Text"/>
    <w:basedOn w:val="Normal"/>
    <w:link w:val="BalloonTextChar"/>
    <w:uiPriority w:val="99"/>
    <w:semiHidden/>
    <w:unhideWhenUsed/>
    <w:locked/>
    <w:rsid w:val="00B93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F97"/>
    <w:rPr>
      <w:rFonts w:ascii="Segoe UI" w:hAnsi="Segoe UI" w:cs="Segoe UI"/>
      <w:sz w:val="18"/>
      <w:szCs w:val="18"/>
      <w:lang w:val="ro-RO"/>
    </w:rPr>
  </w:style>
  <w:style w:type="character" w:styleId="CommentReference">
    <w:name w:val="annotation reference"/>
    <w:basedOn w:val="DefaultParagraphFont"/>
    <w:uiPriority w:val="99"/>
    <w:semiHidden/>
    <w:unhideWhenUsed/>
    <w:locked/>
    <w:rsid w:val="007D6C90"/>
    <w:rPr>
      <w:sz w:val="16"/>
      <w:szCs w:val="16"/>
    </w:rPr>
  </w:style>
  <w:style w:type="paragraph" w:styleId="CommentText">
    <w:name w:val="annotation text"/>
    <w:basedOn w:val="Normal"/>
    <w:link w:val="CommentTextChar"/>
    <w:uiPriority w:val="99"/>
    <w:semiHidden/>
    <w:unhideWhenUsed/>
    <w:locked/>
    <w:rsid w:val="007D6C90"/>
    <w:pPr>
      <w:spacing w:after="160" w:line="240" w:lineRule="auto"/>
      <w:ind w:left="0"/>
    </w:pPr>
    <w:rPr>
      <w:rFonts w:asciiTheme="minorHAnsi" w:hAnsiTheme="minorHAnsi"/>
      <w:sz w:val="20"/>
      <w:szCs w:val="20"/>
      <w:lang w:val="ro-MD"/>
    </w:rPr>
  </w:style>
  <w:style w:type="character" w:customStyle="1" w:styleId="CommentTextChar">
    <w:name w:val="Comment Text Char"/>
    <w:basedOn w:val="DefaultParagraphFont"/>
    <w:link w:val="CommentText"/>
    <w:uiPriority w:val="99"/>
    <w:semiHidden/>
    <w:rsid w:val="007D6C90"/>
    <w:rPr>
      <w:sz w:val="20"/>
      <w:szCs w:val="20"/>
      <w:lang w:val="ro-MD"/>
    </w:rPr>
  </w:style>
  <w:style w:type="paragraph" w:styleId="CommentSubject">
    <w:name w:val="annotation subject"/>
    <w:basedOn w:val="CommentText"/>
    <w:next w:val="CommentText"/>
    <w:link w:val="CommentSubjectChar"/>
    <w:uiPriority w:val="99"/>
    <w:semiHidden/>
    <w:unhideWhenUsed/>
    <w:locked/>
    <w:rsid w:val="00FB5A18"/>
    <w:pPr>
      <w:spacing w:after="120"/>
      <w:ind w:left="851"/>
    </w:pPr>
    <w:rPr>
      <w:rFonts w:ascii="Georgia" w:hAnsi="Georgia"/>
      <w:b/>
      <w:bCs/>
      <w:lang w:val="ro-RO"/>
    </w:rPr>
  </w:style>
  <w:style w:type="character" w:customStyle="1" w:styleId="CommentSubjectChar">
    <w:name w:val="Comment Subject Char"/>
    <w:basedOn w:val="CommentTextChar"/>
    <w:link w:val="CommentSubject"/>
    <w:uiPriority w:val="99"/>
    <w:semiHidden/>
    <w:rsid w:val="00FB5A18"/>
    <w:rPr>
      <w:rFonts w:ascii="Georgia" w:hAnsi="Georgia"/>
      <w:b/>
      <w:bCs/>
      <w:sz w:val="20"/>
      <w:szCs w:val="20"/>
      <w:lang w:val="ro-RO"/>
    </w:rPr>
  </w:style>
  <w:style w:type="character" w:styleId="FootnoteReference">
    <w:name w:val="footnote reference"/>
    <w:basedOn w:val="DefaultParagraphFont"/>
    <w:uiPriority w:val="99"/>
    <w:semiHidden/>
    <w:unhideWhenUsed/>
    <w:locked/>
    <w:rsid w:val="00582D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997111">
      <w:bodyDiv w:val="1"/>
      <w:marLeft w:val="0"/>
      <w:marRight w:val="0"/>
      <w:marTop w:val="0"/>
      <w:marBottom w:val="0"/>
      <w:divBdr>
        <w:top w:val="none" w:sz="0" w:space="0" w:color="auto"/>
        <w:left w:val="none" w:sz="0" w:space="0" w:color="auto"/>
        <w:bottom w:val="none" w:sz="0" w:space="0" w:color="auto"/>
        <w:right w:val="none" w:sz="0" w:space="0" w:color="auto"/>
      </w:divBdr>
    </w:div>
    <w:div w:id="114369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anticoruptie.md/ro/stiri/concluzia-expert-grup-bnm-a-intarziat-in-luarea-de-masuri-pentru-franarea-inflatiei-ce-solutii-recomanda-expertii?fbclid=IwAR1sTnHroYeAnDEIKc88OWaUECFH0pk12sveJAro8QAQY9aFh8SP9P5Jesk" TargetMode="External"/><Relationship Id="rId2" Type="http://schemas.openxmlformats.org/officeDocument/2006/relationships/hyperlink" Target="https://www.legis.md/cautare/getResults?doc_id=109735&amp;lang=ro" TargetMode="External"/><Relationship Id="rId1" Type="http://schemas.openxmlformats.org/officeDocument/2006/relationships/hyperlink" Target="https://www.bnm.md/ro/content/calendarul-publicarii-rapoartelor-asupra-inflatie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ln>
                  <a:solidFill>
                    <a:schemeClr val="accent1"/>
                  </a:solidFill>
                </a:ln>
                <a:solidFill>
                  <a:schemeClr val="tx1">
                    <a:lumMod val="65000"/>
                    <a:lumOff val="35000"/>
                  </a:schemeClr>
                </a:solidFill>
                <a:latin typeface="+mn-lt"/>
                <a:ea typeface="+mn-ea"/>
                <a:cs typeface="+mn-cs"/>
              </a:defRPr>
            </a:pPr>
            <a:r>
              <a:rPr lang="en-US" sz="1200">
                <a:ln>
                  <a:solidFill>
                    <a:schemeClr val="accent1"/>
                  </a:solidFill>
                </a:ln>
              </a:rPr>
              <a:t>Rata anuală a inflației</a:t>
            </a:r>
            <a:r>
              <a:rPr lang="ro-MD" sz="1200">
                <a:ln>
                  <a:solidFill>
                    <a:schemeClr val="accent1"/>
                  </a:solidFill>
                </a:ln>
              </a:rPr>
              <a:t> (%)</a:t>
            </a:r>
            <a:endParaRPr lang="en-US" sz="1200">
              <a:ln>
                <a:solidFill>
                  <a:schemeClr val="accent1"/>
                </a:solidFill>
              </a:ln>
            </a:endParaRPr>
          </a:p>
        </c:rich>
      </c:tx>
      <c:overlay val="0"/>
      <c:spPr>
        <a:noFill/>
        <a:ln>
          <a:noFill/>
        </a:ln>
        <a:effectLst/>
      </c:spPr>
      <c:txPr>
        <a:bodyPr rot="0" spcFirstLastPara="1" vertOverflow="ellipsis" vert="horz" wrap="square" anchor="ctr" anchorCtr="1"/>
        <a:lstStyle/>
        <a:p>
          <a:pPr>
            <a:defRPr sz="1200" b="0" i="0" u="none" strike="noStrike" kern="1200" spc="0" baseline="0">
              <a:ln>
                <a:solidFill>
                  <a:schemeClr val="accent1"/>
                </a:solidFill>
              </a:ln>
              <a:solidFill>
                <a:schemeClr val="tx1">
                  <a:lumMod val="65000"/>
                  <a:lumOff val="35000"/>
                </a:schemeClr>
              </a:solidFill>
              <a:latin typeface="+mn-lt"/>
              <a:ea typeface="+mn-ea"/>
              <a:cs typeface="+mn-cs"/>
            </a:defRPr>
          </a:pPr>
          <a:endParaRPr lang="ro-MD"/>
        </a:p>
      </c:txPr>
    </c:title>
    <c:autoTitleDeleted val="0"/>
    <c:plotArea>
      <c:layout/>
      <c:lineChart>
        <c:grouping val="standard"/>
        <c:varyColors val="0"/>
        <c:ser>
          <c:idx val="0"/>
          <c:order val="0"/>
          <c:tx>
            <c:strRef>
              <c:f>Sheet1!$B$1</c:f>
              <c:strCache>
                <c:ptCount val="1"/>
                <c:pt idx="0">
                  <c:v>Rata anuală a inflației (noi.2020-mai 2022)</c:v>
                </c:pt>
              </c:strCache>
            </c:strRef>
          </c:tx>
          <c:spPr>
            <a:ln w="28575" cap="rnd">
              <a:solidFill>
                <a:schemeClr val="accent1"/>
              </a:solidFill>
              <a:round/>
            </a:ln>
            <a:effectLst/>
          </c:spPr>
          <c:marker>
            <c:symbol val="none"/>
          </c:marker>
          <c:dLbls>
            <c:dLbl>
              <c:idx val="19"/>
              <c:layout>
                <c:manualLayout>
                  <c:x val="-1.5719718368744943E-16"/>
                  <c:y val="-5.59910414333706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A03-4206-8C98-266B6D416DEA}"/>
                </c:ext>
              </c:extLst>
            </c:dLbl>
            <c:spPr>
              <a:noFill/>
              <a:ln>
                <a:solidFill>
                  <a:schemeClr val="accent1"/>
                </a:solid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ro-M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mmm\-yy</c:formatCode>
                <c:ptCount val="20"/>
                <c:pt idx="0">
                  <c:v>44136</c:v>
                </c:pt>
                <c:pt idx="1">
                  <c:v>44166</c:v>
                </c:pt>
                <c:pt idx="2">
                  <c:v>44197</c:v>
                </c:pt>
                <c:pt idx="3">
                  <c:v>44228</c:v>
                </c:pt>
                <c:pt idx="4">
                  <c:v>44256</c:v>
                </c:pt>
                <c:pt idx="5">
                  <c:v>44287</c:v>
                </c:pt>
                <c:pt idx="6">
                  <c:v>44317</c:v>
                </c:pt>
                <c:pt idx="7">
                  <c:v>44348</c:v>
                </c:pt>
                <c:pt idx="8">
                  <c:v>44378</c:v>
                </c:pt>
                <c:pt idx="9">
                  <c:v>44409</c:v>
                </c:pt>
                <c:pt idx="10">
                  <c:v>44440</c:v>
                </c:pt>
                <c:pt idx="11">
                  <c:v>44470</c:v>
                </c:pt>
                <c:pt idx="12">
                  <c:v>44501</c:v>
                </c:pt>
                <c:pt idx="13">
                  <c:v>44531</c:v>
                </c:pt>
                <c:pt idx="14">
                  <c:v>44562</c:v>
                </c:pt>
                <c:pt idx="15">
                  <c:v>44593</c:v>
                </c:pt>
                <c:pt idx="16">
                  <c:v>44621</c:v>
                </c:pt>
                <c:pt idx="17">
                  <c:v>44652</c:v>
                </c:pt>
                <c:pt idx="18">
                  <c:v>44682</c:v>
                </c:pt>
                <c:pt idx="19">
                  <c:v>44713</c:v>
                </c:pt>
              </c:numCache>
            </c:numRef>
          </c:cat>
          <c:val>
            <c:numRef>
              <c:f>Sheet1!$B$2:$B$21</c:f>
              <c:numCache>
                <c:formatCode>General</c:formatCode>
                <c:ptCount val="20"/>
                <c:pt idx="0">
                  <c:v>0.9</c:v>
                </c:pt>
                <c:pt idx="1">
                  <c:v>0.4</c:v>
                </c:pt>
                <c:pt idx="2">
                  <c:v>0.2</c:v>
                </c:pt>
                <c:pt idx="3">
                  <c:v>0.6</c:v>
                </c:pt>
                <c:pt idx="4">
                  <c:v>1.5</c:v>
                </c:pt>
                <c:pt idx="5">
                  <c:v>2.8</c:v>
                </c:pt>
                <c:pt idx="6">
                  <c:v>3.1</c:v>
                </c:pt>
                <c:pt idx="7">
                  <c:v>3.2</c:v>
                </c:pt>
                <c:pt idx="8">
                  <c:v>3.5</c:v>
                </c:pt>
                <c:pt idx="9">
                  <c:v>4.5999999999999996</c:v>
                </c:pt>
                <c:pt idx="10">
                  <c:v>6.7</c:v>
                </c:pt>
                <c:pt idx="11">
                  <c:v>8.8000000000000007</c:v>
                </c:pt>
                <c:pt idx="12">
                  <c:v>12.4</c:v>
                </c:pt>
                <c:pt idx="13">
                  <c:v>13.9</c:v>
                </c:pt>
                <c:pt idx="14">
                  <c:v>16.600000000000001</c:v>
                </c:pt>
                <c:pt idx="15">
                  <c:v>18.5</c:v>
                </c:pt>
                <c:pt idx="16">
                  <c:v>22.2</c:v>
                </c:pt>
                <c:pt idx="17">
                  <c:v>27.1</c:v>
                </c:pt>
                <c:pt idx="18">
                  <c:v>29.1</c:v>
                </c:pt>
                <c:pt idx="19">
                  <c:v>31.8</c:v>
                </c:pt>
              </c:numCache>
            </c:numRef>
          </c:val>
          <c:smooth val="0"/>
          <c:extLst>
            <c:ext xmlns:c16="http://schemas.microsoft.com/office/drawing/2014/chart" uri="{C3380CC4-5D6E-409C-BE32-E72D297353CC}">
              <c16:uniqueId val="{00000000-FA03-4206-8C98-266B6D416DEA}"/>
            </c:ext>
          </c:extLst>
        </c:ser>
        <c:dLbls>
          <c:showLegendKey val="0"/>
          <c:showVal val="0"/>
          <c:showCatName val="0"/>
          <c:showSerName val="0"/>
          <c:showPercent val="0"/>
          <c:showBubbleSize val="0"/>
        </c:dLbls>
        <c:smooth val="0"/>
        <c:axId val="311538408"/>
        <c:axId val="311681432"/>
      </c:lineChart>
      <c:dateAx>
        <c:axId val="311538408"/>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MD"/>
          </a:p>
        </c:txPr>
        <c:crossAx val="311681432"/>
        <c:crosses val="autoZero"/>
        <c:auto val="1"/>
        <c:lblOffset val="100"/>
        <c:baseTimeUnit val="months"/>
      </c:dateAx>
      <c:valAx>
        <c:axId val="311681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MD"/>
          </a:p>
        </c:txPr>
        <c:crossAx val="3115384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c:spPr>
  <c:txPr>
    <a:bodyPr/>
    <a:lstStyle/>
    <a:p>
      <a:pPr>
        <a:defRPr/>
      </a:pPr>
      <a:endParaRPr lang="ro-MD"/>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Rata anuală a inflației(%)</c:v>
                </c:pt>
              </c:strCache>
            </c:strRef>
          </c:tx>
          <c:spPr>
            <a:solidFill>
              <a:schemeClr val="accent1"/>
            </a:solidFill>
            <a:ln>
              <a:noFill/>
            </a:ln>
            <a:effectLst/>
          </c:spPr>
          <c:invertIfNegative val="0"/>
          <c:dLbls>
            <c:spPr>
              <a:noFill/>
              <a:ln>
                <a:gradFill>
                  <a:gsLst>
                    <a:gs pos="86000">
                      <a:srgbClr val="4472C4">
                        <a:lumMod val="5000"/>
                        <a:lumOff val="95000"/>
                      </a:srgbClr>
                    </a:gs>
                    <a:gs pos="74000">
                      <a:srgbClr val="4472C4">
                        <a:lumMod val="45000"/>
                        <a:lumOff val="55000"/>
                      </a:srgbClr>
                    </a:gs>
                    <a:gs pos="83000">
                      <a:srgbClr val="4472C4">
                        <a:lumMod val="45000"/>
                        <a:lumOff val="55000"/>
                      </a:srgbClr>
                    </a:gs>
                    <a:gs pos="100000">
                      <a:srgbClr val="4472C4">
                        <a:lumMod val="30000"/>
                        <a:lumOff val="70000"/>
                      </a:srgbClr>
                    </a:gs>
                  </a:gsLst>
                  <a:lin ang="5400000" scaled="1"/>
                </a:grad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ro-M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Sheet1!$A$2:$A$15</c:f>
              <c:strCache>
                <c:ptCount val="14"/>
                <c:pt idx="0">
                  <c:v>IV/20</c:v>
                </c:pt>
                <c:pt idx="1">
                  <c:v>I/21</c:v>
                </c:pt>
                <c:pt idx="2">
                  <c:v>II/21</c:v>
                </c:pt>
                <c:pt idx="3">
                  <c:v>III/21</c:v>
                </c:pt>
                <c:pt idx="4">
                  <c:v>IV/21</c:v>
                </c:pt>
                <c:pt idx="5">
                  <c:v>I/22</c:v>
                </c:pt>
                <c:pt idx="6">
                  <c:v>II/22</c:v>
                </c:pt>
                <c:pt idx="7">
                  <c:v>III/22</c:v>
                </c:pt>
                <c:pt idx="8">
                  <c:v>IV/22</c:v>
                </c:pt>
                <c:pt idx="9">
                  <c:v>I/23</c:v>
                </c:pt>
                <c:pt idx="10">
                  <c:v>II/23</c:v>
                </c:pt>
                <c:pt idx="11">
                  <c:v>III/23</c:v>
                </c:pt>
                <c:pt idx="12">
                  <c:v>IV/23</c:v>
                </c:pt>
                <c:pt idx="13">
                  <c:v>I/24</c:v>
                </c:pt>
              </c:strCache>
            </c:strRef>
          </c:cat>
          <c:val>
            <c:numRef>
              <c:f>Sheet1!$B$2:$B$15</c:f>
              <c:numCache>
                <c:formatCode>General</c:formatCode>
                <c:ptCount val="14"/>
                <c:pt idx="0">
                  <c:v>1</c:v>
                </c:pt>
                <c:pt idx="1">
                  <c:v>0.8</c:v>
                </c:pt>
                <c:pt idx="2">
                  <c:v>3</c:v>
                </c:pt>
                <c:pt idx="3">
                  <c:v>4.9000000000000004</c:v>
                </c:pt>
                <c:pt idx="4">
                  <c:v>11.7</c:v>
                </c:pt>
                <c:pt idx="5">
                  <c:v>19.100000000000001</c:v>
                </c:pt>
                <c:pt idx="6">
                  <c:v>29.8</c:v>
                </c:pt>
                <c:pt idx="7">
                  <c:v>31</c:v>
                </c:pt>
                <c:pt idx="8">
                  <c:v>28.8</c:v>
                </c:pt>
                <c:pt idx="9">
                  <c:v>25.5</c:v>
                </c:pt>
                <c:pt idx="10">
                  <c:v>18.3</c:v>
                </c:pt>
                <c:pt idx="11">
                  <c:v>13.9</c:v>
                </c:pt>
                <c:pt idx="12">
                  <c:v>9.6999999999999993</c:v>
                </c:pt>
                <c:pt idx="13">
                  <c:v>6.5</c:v>
                </c:pt>
              </c:numCache>
            </c:numRef>
          </c:val>
          <c:extLst>
            <c:ext xmlns:c16="http://schemas.microsoft.com/office/drawing/2014/chart" uri="{C3380CC4-5D6E-409C-BE32-E72D297353CC}">
              <c16:uniqueId val="{00000000-059A-40D4-B53B-F3EF86615C13}"/>
            </c:ext>
          </c:extLst>
        </c:ser>
        <c:dLbls>
          <c:showLegendKey val="0"/>
          <c:showVal val="1"/>
          <c:showCatName val="0"/>
          <c:showSerName val="0"/>
          <c:showPercent val="0"/>
          <c:showBubbleSize val="0"/>
        </c:dLbls>
        <c:gapWidth val="75"/>
        <c:axId val="290461352"/>
        <c:axId val="311893752"/>
      </c:barChart>
      <c:catAx>
        <c:axId val="290461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MD"/>
          </a:p>
        </c:txPr>
        <c:crossAx val="311893752"/>
        <c:crosses val="autoZero"/>
        <c:auto val="1"/>
        <c:lblAlgn val="ctr"/>
        <c:lblOffset val="100"/>
        <c:noMultiLvlLbl val="0"/>
      </c:catAx>
      <c:valAx>
        <c:axId val="3118937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MD"/>
          </a:p>
        </c:txPr>
        <c:crossAx val="290461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ro-MD"/>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c:spPr>
  <c:txPr>
    <a:bodyPr/>
    <a:lstStyle/>
    <a:p>
      <a:pPr>
        <a:defRPr/>
      </a:pPr>
      <a:endParaRPr lang="ro-MD"/>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67E47-ABBD-4FBF-803A-3EEE12963188}"/>
</file>

<file path=customXml/itemProps2.xml><?xml version="1.0" encoding="utf-8"?>
<ds:datastoreItem xmlns:ds="http://schemas.openxmlformats.org/officeDocument/2006/customXml" ds:itemID="{B9C8DF17-5FCE-4736-90AC-59801978E183}"/>
</file>

<file path=customXml/itemProps3.xml><?xml version="1.0" encoding="utf-8"?>
<ds:datastoreItem xmlns:ds="http://schemas.openxmlformats.org/officeDocument/2006/customXml" ds:itemID="{1699D949-24D5-41A7-A39C-D1D479EB9447}"/>
</file>

<file path=customXml/itemProps4.xml><?xml version="1.0" encoding="utf-8"?>
<ds:datastoreItem xmlns:ds="http://schemas.openxmlformats.org/officeDocument/2006/customXml" ds:itemID="{9F6F330D-A87B-4CC4-BF31-85F59B6A37BE}"/>
</file>

<file path=docProps/app.xml><?xml version="1.0" encoding="utf-8"?>
<Properties xmlns="http://schemas.openxmlformats.org/officeDocument/2006/extended-properties" xmlns:vt="http://schemas.openxmlformats.org/officeDocument/2006/docPropsVTypes">
  <Template>Normal</Template>
  <TotalTime>821</TotalTime>
  <Pages>17</Pages>
  <Words>6913</Words>
  <Characters>40097</Characters>
  <Application>Microsoft Office Word</Application>
  <DocSecurity>8</DocSecurity>
  <Lines>334</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332.2022.Raport</dc:title>
  <dc:subject/>
  <dc:creator>Sorin</dc:creator>
  <cp:keywords/>
  <dc:description/>
  <cp:revision>92</cp:revision>
  <cp:lastPrinted>2022-06-07T10:06:00Z</cp:lastPrinted>
  <dcterms:created xsi:type="dcterms:W3CDTF">2017-12-05T05:19:00Z</dcterms:created>
  <dcterms:modified xsi:type="dcterms:W3CDTF">2022-07-29T07:20:00Z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