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560" w:before="0" w:line="252.00000000000003" w:lineRule="auto"/>
        <w:ind w:left="851" w:right="0" w:firstLine="0"/>
        <w:jc w:val="left"/>
        <w:rPr>
          <w:rFonts w:ascii="Georgia" w:cs="Georgia" w:eastAsia="Georgia" w:hAnsi="Georgia"/>
          <w:b w:val="1"/>
          <w:i w:val="0"/>
          <w:smallCaps w:val="0"/>
          <w:strike w:val="0"/>
          <w:color w:val="303741"/>
          <w:sz w:val="30"/>
          <w:szCs w:val="30"/>
          <w:u w:val="none"/>
          <w:shd w:fill="auto" w:val="clear"/>
          <w:vertAlign w:val="baseline"/>
        </w:rPr>
        <w:sectPr>
          <w:headerReference r:id="rId7" w:type="first"/>
          <w:footerReference r:id="rId8" w:type="default"/>
          <w:footerReference r:id="rId9" w:type="first"/>
          <w:pgSz w:h="16838" w:w="11906" w:orient="portrait"/>
          <w:pgMar w:bottom="851" w:top="2041" w:left="851" w:right="1021" w:header="851" w:footer="482"/>
          <w:pgNumType w:start="1"/>
          <w:titlePg w:val="1"/>
        </w:sectPr>
      </w:pPr>
      <w:r w:rsidDel="00000000" w:rsidR="00000000" w:rsidRPr="00000000">
        <w:rPr>
          <w:rFonts w:ascii="Times New Roman" w:cs="Times New Roman" w:eastAsia="Times New Roman" w:hAnsi="Times New Roman"/>
          <w:b w:val="1"/>
          <w:i w:val="0"/>
          <w:smallCaps w:val="0"/>
          <w:strike w:val="0"/>
          <w:color w:val="303741"/>
          <w:sz w:val="30"/>
          <w:szCs w:val="30"/>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4788218</wp:posOffset>
                </wp:positionH>
                <wp:positionV relativeFrom="page">
                  <wp:posOffset>221242</wp:posOffset>
                </wp:positionV>
                <wp:extent cx="2084070" cy="938530"/>
                <wp:effectExtent b="0" l="0" r="0" t="0"/>
                <wp:wrapNone/>
                <wp:docPr id="78" name=""/>
                <a:graphic>
                  <a:graphicData uri="http://schemas.microsoft.com/office/word/2010/wordprocessingShape">
                    <wps:wsp>
                      <wps:cNvSpPr/>
                      <wps:cNvPr id="4" name="Shape 4"/>
                      <wps:spPr>
                        <a:xfrm>
                          <a:off x="4308728" y="3315498"/>
                          <a:ext cx="2074545" cy="929005"/>
                        </a:xfrm>
                        <a:prstGeom prst="rect">
                          <a:avLst/>
                        </a:prstGeom>
                        <a:noFill/>
                        <a:ln>
                          <a:noFill/>
                        </a:ln>
                      </wps:spPr>
                      <wps:txbx>
                        <w:txbxContent>
                          <w:p w:rsidR="00000000" w:rsidDel="00000000" w:rsidP="00000000" w:rsidRDefault="00000000" w:rsidRPr="00000000">
                            <w:pPr>
                              <w:spacing w:after="160" w:before="0" w:line="251.9999885559082"/>
                              <w:ind w:left="0" w:right="0" w:firstLine="0"/>
                              <w:jc w:val="right"/>
                              <w:textDirection w:val="btLr"/>
                            </w:pPr>
                            <w:r w:rsidDel="00000000" w:rsidR="00000000" w:rsidRPr="00000000">
                              <w:rPr>
                                <w:rFonts w:ascii="Georgia" w:cs="Georgia" w:eastAsia="Georgia" w:hAnsi="Georgia"/>
                                <w:b w:val="0"/>
                                <w:i w:val="0"/>
                                <w:smallCaps w:val="0"/>
                                <w:strike w:val="0"/>
                                <w:color w:val="303741"/>
                                <w:sz w:val="24"/>
                                <w:vertAlign w:val="baseline"/>
                              </w:rPr>
                              <w:t xml:space="preserve">VG nr. _________ </w:t>
                            </w:r>
                          </w:p>
                          <w:p w:rsidR="00000000" w:rsidDel="00000000" w:rsidP="00000000" w:rsidRDefault="00000000" w:rsidRPr="00000000">
                            <w:pPr>
                              <w:spacing w:after="400" w:before="0" w:line="251.9999885559082"/>
                              <w:ind w:left="0" w:right="0" w:firstLine="0"/>
                              <w:jc w:val="right"/>
                              <w:textDirection w:val="btLr"/>
                            </w:pPr>
                            <w:r w:rsidDel="00000000" w:rsidR="00000000" w:rsidRPr="00000000">
                              <w:rPr>
                                <w:rFonts w:ascii="Georgia" w:cs="Georgia" w:eastAsia="Georgia" w:hAnsi="Georgia"/>
                                <w:b w:val="0"/>
                                <w:i w:val="0"/>
                                <w:smallCaps w:val="0"/>
                                <w:strike w:val="0"/>
                                <w:color w:val="303741"/>
                                <w:sz w:val="24"/>
                                <w:vertAlign w:val="baseline"/>
                              </w:rPr>
                            </w:r>
                            <w:r w:rsidDel="00000000" w:rsidR="00000000" w:rsidRPr="00000000">
                              <w:rPr>
                                <w:rFonts w:ascii="Georgia" w:cs="Georgia" w:eastAsia="Georgia" w:hAnsi="Georgia"/>
                                <w:b w:val="0"/>
                                <w:i w:val="0"/>
                                <w:smallCaps w:val="0"/>
                                <w:strike w:val="0"/>
                                <w:color w:val="303741"/>
                                <w:sz w:val="24"/>
                                <w:vertAlign w:val="baseline"/>
                              </w:rPr>
                              <w:t xml:space="preserve"> _________ </w:t>
                            </w:r>
                          </w:p>
                        </w:txbxContent>
                      </wps:txbx>
                      <wps:bodyPr anchorCtr="0" anchor="b"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4788218</wp:posOffset>
                </wp:positionH>
                <wp:positionV relativeFrom="page">
                  <wp:posOffset>221242</wp:posOffset>
                </wp:positionV>
                <wp:extent cx="2084070" cy="938530"/>
                <wp:effectExtent b="0" l="0" r="0" t="0"/>
                <wp:wrapNone/>
                <wp:docPr id="78"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2084070" cy="938530"/>
                        </a:xfrm>
                        <a:prstGeom prst="rect"/>
                        <a:ln/>
                      </pic:spPr>
                    </pic:pic>
                  </a:graphicData>
                </a:graphic>
              </wp:anchor>
            </w:drawing>
          </mc:Fallback>
        </mc:AlternateContent>
      </w:r>
      <w:r w:rsidDel="00000000" w:rsidR="00000000" w:rsidRPr="00000000">
        <w:rPr>
          <w:rFonts w:ascii="Georgia" w:cs="Georgia" w:eastAsia="Georgia" w:hAnsi="Georgia"/>
          <w:b w:val="1"/>
          <w:i w:val="0"/>
          <w:smallCaps w:val="0"/>
          <w:strike w:val="0"/>
          <w:color w:val="303741"/>
          <w:sz w:val="30"/>
          <w:szCs w:val="30"/>
          <w:u w:val="none"/>
          <w:shd w:fill="auto" w:val="clear"/>
          <w:vertAlign w:val="baseline"/>
          <w:rtl w:val="0"/>
        </w:rPr>
        <w:t xml:space="preserve">Deputat în Parlamentul</w:t>
        <w:br w:type="textWrapping"/>
        <w:t xml:space="preserve">Republicii Moldova</w:t>
      </w:r>
    </w:p>
    <w:p w:rsidR="00000000" w:rsidDel="00000000" w:rsidP="00000000" w:rsidRDefault="00000000" w:rsidRPr="00000000" w14:paraId="00000002">
      <w:pPr>
        <w:ind w:left="0" w:firstLine="709"/>
        <w:jc w:val="both"/>
        <w:rPr>
          <w:b w:val="1"/>
          <w:sz w:val="28"/>
          <w:szCs w:val="28"/>
        </w:rPr>
      </w:pPr>
      <w:r w:rsidDel="00000000" w:rsidR="00000000" w:rsidRPr="00000000">
        <w:rPr>
          <w:b w:val="1"/>
          <w:sz w:val="28"/>
          <w:szCs w:val="28"/>
          <w:rtl w:val="0"/>
        </w:rPr>
        <w:t xml:space="preserve">PARLAMENTULUI REPUBLICII MOLDOVA</w:t>
      </w:r>
    </w:p>
    <w:p w:rsidR="00000000" w:rsidDel="00000000" w:rsidP="00000000" w:rsidRDefault="00000000" w:rsidRPr="00000000" w14:paraId="00000003">
      <w:pPr>
        <w:ind w:left="0" w:firstLine="709"/>
        <w:jc w:val="both"/>
        <w:rPr>
          <w:b w:val="1"/>
          <w:sz w:val="28"/>
          <w:szCs w:val="28"/>
        </w:rPr>
      </w:pPr>
      <w:r w:rsidDel="00000000" w:rsidR="00000000" w:rsidRPr="00000000">
        <w:rPr>
          <w:rtl w:val="0"/>
        </w:rPr>
      </w:r>
    </w:p>
    <w:p w:rsidR="00000000" w:rsidDel="00000000" w:rsidP="00000000" w:rsidRDefault="00000000" w:rsidRPr="00000000" w14:paraId="00000004">
      <w:pPr>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ab/>
      </w:r>
      <w:r w:rsidDel="00000000" w:rsidR="00000000" w:rsidRPr="00000000">
        <w:rPr>
          <w:rFonts w:ascii="Times New Roman" w:cs="Times New Roman" w:eastAsia="Times New Roman" w:hAnsi="Times New Roman"/>
          <w:sz w:val="28"/>
          <w:szCs w:val="28"/>
          <w:rtl w:val="0"/>
        </w:rPr>
        <w:t xml:space="preserve">În conformitate cu prevederile art.73 din Constituția Republicii Moldova și art.47 din Regulamentul Parlamentului adoptat prin Legea nr.797/1996, se înaintează cu titlu de inițiativă legislativă, proiectul de modificare a unor acte normative (</w:t>
      </w:r>
      <w:r w:rsidDel="00000000" w:rsidR="00000000" w:rsidRPr="00000000">
        <w:rPr>
          <w:rFonts w:ascii="Times New Roman" w:cs="Times New Roman" w:eastAsia="Times New Roman" w:hAnsi="Times New Roman"/>
          <w:color w:val="000000"/>
          <w:sz w:val="28"/>
          <w:szCs w:val="28"/>
          <w:rtl w:val="0"/>
        </w:rPr>
        <w:t xml:space="preserve">Legea nr. 192/1998 privind Comisia Națională a Pieței Financiare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republicată în Monitorul Oficial al Republicii Moldova, 2007, nr. 117–126 BIS</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Legea nr. 92/2022 privind activitatea de asigurare sau de reasigurare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publicată în Monitorul Oficial al Republicii Moldova, 2022, nr. 129–133 art. 229</w:t>
      </w:r>
      <w:r w:rsidDel="00000000" w:rsidR="00000000" w:rsidRPr="00000000">
        <w:rPr>
          <w:rFonts w:ascii="Times New Roman" w:cs="Times New Roman" w:eastAsia="Times New Roman" w:hAnsi="Times New Roman"/>
          <w:sz w:val="28"/>
          <w:szCs w:val="28"/>
          <w:rtl w:val="0"/>
        </w:rPr>
        <w:t xml:space="preserve">; Codul administrativ al Republicii Moldova nr.116/2018, publicat în Monitorul Oficial al Republicii Moldova, 2018, nr.309–320, art.466;)</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05">
      <w:pPr>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Anexă: </w:t>
      </w:r>
    </w:p>
    <w:p w:rsidR="00000000" w:rsidDel="00000000" w:rsidP="00000000" w:rsidRDefault="00000000" w:rsidRPr="00000000" w14:paraId="00000006">
      <w:pPr>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t xml:space="preserve">Proiectul de lege –  3 file;</w:t>
      </w:r>
    </w:p>
    <w:p w:rsidR="00000000" w:rsidDel="00000000" w:rsidP="00000000" w:rsidRDefault="00000000" w:rsidRPr="00000000" w14:paraId="00000007">
      <w:pPr>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tab/>
        <w:t xml:space="preserve">Nota informativă – 3 file.</w:t>
      </w:r>
    </w:p>
    <w:p w:rsidR="00000000" w:rsidDel="00000000" w:rsidP="00000000" w:rsidRDefault="00000000" w:rsidRPr="00000000" w14:paraId="00000008">
      <w:pPr>
        <w:ind w:left="0" w:firstLine="709"/>
        <w:jc w:val="both"/>
        <w:rPr>
          <w:sz w:val="28"/>
          <w:szCs w:val="28"/>
        </w:rPr>
      </w:pPr>
      <w:r w:rsidDel="00000000" w:rsidR="00000000" w:rsidRPr="00000000">
        <w:rPr>
          <w:rtl w:val="0"/>
        </w:rPr>
      </w:r>
    </w:p>
    <w:p w:rsidR="00000000" w:rsidDel="00000000" w:rsidP="00000000" w:rsidRDefault="00000000" w:rsidRPr="00000000" w14:paraId="00000009">
      <w:pPr>
        <w:ind w:left="0" w:firstLine="709"/>
        <w:jc w:val="both"/>
        <w:rPr>
          <w:sz w:val="28"/>
          <w:szCs w:val="28"/>
        </w:rPr>
      </w:pPr>
      <w:sdt>
        <w:sdtPr>
          <w:tag w:val="goog_rdk_0"/>
        </w:sdtPr>
        <w:sdtContent>
          <w:r w:rsidDel="00000000" w:rsidR="00000000" w:rsidRPr="00000000">
            <w:rPr>
              <w:rFonts w:ascii="Times New Roman" w:cs="Times New Roman" w:eastAsia="Times New Roman" w:hAnsi="Times New Roman"/>
              <w:sz w:val="28"/>
              <w:szCs w:val="28"/>
              <w:rtl w:val="0"/>
            </w:rPr>
            <w:t xml:space="preserve">Deputați în Parlament</w:t>
          </w:r>
        </w:sdtContent>
      </w:sdt>
    </w:p>
    <w:p w:rsidR="00000000" w:rsidDel="00000000" w:rsidP="00000000" w:rsidRDefault="00000000" w:rsidRPr="00000000" w14:paraId="0000000A">
      <w:pPr>
        <w:ind w:left="0" w:firstLine="709"/>
        <w:jc w:val="both"/>
        <w:rPr>
          <w:sz w:val="28"/>
          <w:szCs w:val="28"/>
        </w:rPr>
      </w:pPr>
      <w:r w:rsidDel="00000000" w:rsidR="00000000" w:rsidRPr="00000000">
        <w:rPr>
          <w:rtl w:val="0"/>
        </w:rPr>
      </w:r>
    </w:p>
    <w:p w:rsidR="00000000" w:rsidDel="00000000" w:rsidP="00000000" w:rsidRDefault="00000000" w:rsidRPr="00000000" w14:paraId="0000000B">
      <w:pPr>
        <w:ind w:left="0" w:firstLine="709"/>
        <w:jc w:val="both"/>
        <w:rPr>
          <w:sz w:val="28"/>
          <w:szCs w:val="28"/>
        </w:rPr>
      </w:pPr>
      <w:r w:rsidDel="00000000" w:rsidR="00000000" w:rsidRPr="00000000">
        <w:rPr>
          <w:rtl w:val="0"/>
        </w:rPr>
      </w:r>
    </w:p>
    <w:p w:rsidR="00000000" w:rsidDel="00000000" w:rsidP="00000000" w:rsidRDefault="00000000" w:rsidRPr="00000000" w14:paraId="0000000C">
      <w:pPr>
        <w:ind w:left="0" w:firstLine="709"/>
        <w:jc w:val="both"/>
        <w:rPr>
          <w:sz w:val="28"/>
          <w:szCs w:val="28"/>
        </w:rPr>
      </w:pPr>
      <w:r w:rsidDel="00000000" w:rsidR="00000000" w:rsidRPr="00000000">
        <w:rPr>
          <w:rtl w:val="0"/>
        </w:rPr>
      </w:r>
    </w:p>
    <w:p w:rsidR="00000000" w:rsidDel="00000000" w:rsidP="00000000" w:rsidRDefault="00000000" w:rsidRPr="00000000" w14:paraId="0000000D">
      <w:pPr>
        <w:ind w:left="0" w:firstLine="709"/>
        <w:jc w:val="both"/>
        <w:rPr>
          <w:sz w:val="28"/>
          <w:szCs w:val="28"/>
        </w:rPr>
      </w:pPr>
      <w:r w:rsidDel="00000000" w:rsidR="00000000" w:rsidRPr="00000000">
        <w:rPr>
          <w:rtl w:val="0"/>
        </w:rPr>
      </w:r>
    </w:p>
    <w:p w:rsidR="00000000" w:rsidDel="00000000" w:rsidP="00000000" w:rsidRDefault="00000000" w:rsidRPr="00000000" w14:paraId="0000000E">
      <w:pPr>
        <w:ind w:left="0" w:firstLine="709"/>
        <w:jc w:val="both"/>
        <w:rPr>
          <w:sz w:val="28"/>
          <w:szCs w:val="28"/>
        </w:rPr>
      </w:pPr>
      <w:r w:rsidDel="00000000" w:rsidR="00000000" w:rsidRPr="00000000">
        <w:rPr>
          <w:rtl w:val="0"/>
        </w:rPr>
      </w:r>
    </w:p>
    <w:p w:rsidR="00000000" w:rsidDel="00000000" w:rsidP="00000000" w:rsidRDefault="00000000" w:rsidRPr="00000000" w14:paraId="0000000F">
      <w:pPr>
        <w:ind w:left="0" w:firstLine="709"/>
        <w:jc w:val="both"/>
        <w:rPr>
          <w:sz w:val="28"/>
          <w:szCs w:val="28"/>
        </w:rPr>
      </w:pPr>
      <w:r w:rsidDel="00000000" w:rsidR="00000000" w:rsidRPr="00000000">
        <w:rPr>
          <w:rtl w:val="0"/>
        </w:rPr>
      </w:r>
    </w:p>
    <w:p w:rsidR="00000000" w:rsidDel="00000000" w:rsidP="00000000" w:rsidRDefault="00000000" w:rsidRPr="00000000" w14:paraId="00000010">
      <w:pPr>
        <w:ind w:left="0" w:firstLine="709"/>
        <w:jc w:val="both"/>
        <w:rPr>
          <w:sz w:val="28"/>
          <w:szCs w:val="28"/>
        </w:rPr>
      </w:pPr>
      <w:r w:rsidDel="00000000" w:rsidR="00000000" w:rsidRPr="00000000">
        <w:rPr>
          <w:rtl w:val="0"/>
        </w:rPr>
      </w:r>
    </w:p>
    <w:p w:rsidR="00000000" w:rsidDel="00000000" w:rsidP="00000000" w:rsidRDefault="00000000" w:rsidRPr="00000000" w14:paraId="00000011">
      <w:pPr>
        <w:ind w:left="0" w:firstLine="709"/>
        <w:jc w:val="both"/>
        <w:rPr>
          <w:sz w:val="28"/>
          <w:szCs w:val="28"/>
        </w:rPr>
      </w:pPr>
      <w:r w:rsidDel="00000000" w:rsidR="00000000" w:rsidRPr="00000000">
        <w:rPr>
          <w:rtl w:val="0"/>
        </w:rPr>
      </w:r>
    </w:p>
    <w:p w:rsidR="00000000" w:rsidDel="00000000" w:rsidP="00000000" w:rsidRDefault="00000000" w:rsidRPr="00000000" w14:paraId="00000012">
      <w:pPr>
        <w:ind w:left="0" w:firstLine="0"/>
        <w:jc w:val="both"/>
        <w:rPr>
          <w:sz w:val="28"/>
          <w:szCs w:val="28"/>
        </w:rPr>
      </w:pPr>
      <w:r w:rsidDel="00000000" w:rsidR="00000000" w:rsidRPr="00000000">
        <w:rPr>
          <w:rtl w:val="0"/>
        </w:rPr>
      </w:r>
    </w:p>
    <w:p w:rsidR="00000000" w:rsidDel="00000000" w:rsidP="00000000" w:rsidRDefault="00000000" w:rsidRPr="00000000" w14:paraId="00000013">
      <w:pPr>
        <w:ind w:left="0" w:firstLine="709"/>
        <w:jc w:val="right"/>
        <w:rPr>
          <w:sz w:val="28"/>
          <w:szCs w:val="28"/>
        </w:rPr>
      </w:pPr>
      <w:r w:rsidDel="00000000" w:rsidR="00000000" w:rsidRPr="00000000">
        <w:rPr>
          <w:sz w:val="28"/>
          <w:szCs w:val="28"/>
          <w:rtl w:val="0"/>
        </w:rPr>
        <w:t xml:space="preserve">Proiect</w:t>
      </w:r>
    </w:p>
    <w:p w:rsidR="00000000" w:rsidDel="00000000" w:rsidP="00000000" w:rsidRDefault="00000000" w:rsidRPr="00000000" w14:paraId="00000014">
      <w:pPr>
        <w:ind w:left="0" w:firstLine="709"/>
        <w:jc w:val="both"/>
        <w:rPr>
          <w:sz w:val="28"/>
          <w:szCs w:val="28"/>
        </w:rPr>
      </w:pPr>
      <w:r w:rsidDel="00000000" w:rsidR="00000000" w:rsidRPr="00000000">
        <w:rPr>
          <w:rtl w:val="0"/>
        </w:rPr>
      </w:r>
    </w:p>
    <w:p w:rsidR="00000000" w:rsidDel="00000000" w:rsidP="00000000" w:rsidRDefault="00000000" w:rsidRPr="00000000" w14:paraId="00000015">
      <w:pPr>
        <w:spacing w:after="0" w:line="240" w:lineRule="auto"/>
        <w:ind w:left="567" w:right="1985"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LEGE</w:t>
      </w:r>
    </w:p>
    <w:p w:rsidR="00000000" w:rsidDel="00000000" w:rsidP="00000000" w:rsidRDefault="00000000" w:rsidRPr="00000000" w14:paraId="00000016">
      <w:pPr>
        <w:spacing w:after="0" w:line="240" w:lineRule="auto"/>
        <w:ind w:left="567" w:right="1985"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7">
      <w:pPr>
        <w:spacing w:after="0" w:line="240" w:lineRule="auto"/>
        <w:ind w:left="567" w:right="1985"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pentru modificarea unor acte normative</w:t>
      </w:r>
    </w:p>
    <w:p w:rsidR="00000000" w:rsidDel="00000000" w:rsidP="00000000" w:rsidRDefault="00000000" w:rsidRPr="00000000" w14:paraId="00000018">
      <w:pPr>
        <w:spacing w:after="0" w:line="240" w:lineRule="auto"/>
        <w:ind w:left="567" w:right="1985" w:firstLine="0"/>
        <w:jc w:val="center"/>
        <w:rPr>
          <w:rFonts w:ascii="Times New Roman" w:cs="Times New Roman" w:eastAsia="Times New Roman" w:hAnsi="Times New Roman"/>
          <w:b w:val="1"/>
          <w:sz w:val="28"/>
          <w:szCs w:val="28"/>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774700</wp:posOffset>
                </wp:positionH>
                <wp:positionV relativeFrom="paragraph">
                  <wp:posOffset>12700</wp:posOffset>
                </wp:positionV>
                <wp:extent cx="0" cy="12700"/>
                <wp:effectExtent b="0" l="0" r="0" t="0"/>
                <wp:wrapNone/>
                <wp:docPr id="77" name=""/>
                <a:graphic>
                  <a:graphicData uri="http://schemas.microsoft.com/office/word/2010/wordprocessingShape">
                    <wps:wsp>
                      <wps:cNvCnPr/>
                      <wps:spPr>
                        <a:xfrm>
                          <a:off x="3601325" y="3780000"/>
                          <a:ext cx="3489350" cy="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774700</wp:posOffset>
                </wp:positionH>
                <wp:positionV relativeFrom="paragraph">
                  <wp:posOffset>12700</wp:posOffset>
                </wp:positionV>
                <wp:extent cx="0" cy="12700"/>
                <wp:effectExtent b="0" l="0" r="0" t="0"/>
                <wp:wrapNone/>
                <wp:docPr id="77"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19">
      <w:pPr>
        <w:spacing w:after="0"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A">
      <w:pPr>
        <w:spacing w:after="0" w:line="240" w:lineRule="auto"/>
        <w:ind w:firstLine="70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Parlamentul adoptă prezenta lege organică.</w:t>
      </w:r>
    </w:p>
    <w:p w:rsidR="00000000" w:rsidDel="00000000" w:rsidP="00000000" w:rsidRDefault="00000000" w:rsidRPr="00000000" w14:paraId="0000001B">
      <w:pPr>
        <w:spacing w:after="0" w:line="240" w:lineRule="auto"/>
        <w:ind w:firstLine="709"/>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000000"/>
          <w:sz w:val="28"/>
          <w:szCs w:val="28"/>
          <w:rtl w:val="0"/>
        </w:rPr>
        <w:t xml:space="preserve">Art. I</w:t>
      </w:r>
      <w:r w:rsidDel="00000000" w:rsidR="00000000" w:rsidRPr="00000000">
        <w:rPr>
          <w:rFonts w:ascii="Times New Roman" w:cs="Times New Roman" w:eastAsia="Times New Roman" w:hAnsi="Times New Roman"/>
          <w:color w:val="000000"/>
          <w:sz w:val="28"/>
          <w:szCs w:val="28"/>
          <w:rtl w:val="0"/>
        </w:rPr>
        <w:t xml:space="preserve"> – Legea nr. 192/1998 privind Comisia Națională a Pieței Financiare (republicată în Monitorul Oficial al Republicii Moldova, 2007, nr. 117–126 BIS), cu modificările ulterioare, se modifică după cum urmează:</w:t>
      </w:r>
      <w:r w:rsidDel="00000000" w:rsidR="00000000" w:rsidRPr="00000000">
        <w:rPr>
          <w:rtl w:val="0"/>
        </w:rPr>
      </w:r>
    </w:p>
    <w:p w:rsidR="00000000" w:rsidDel="00000000" w:rsidP="00000000" w:rsidRDefault="00000000" w:rsidRPr="00000000" w14:paraId="0000001D">
      <w:pPr>
        <w:spacing w:after="0" w:line="240" w:lineRule="auto"/>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Articolul 9 alineatul (1) se completează cu literele c</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și c</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cu următorul cuprins:</w:t>
      </w:r>
    </w:p>
    <w:p w:rsidR="00000000" w:rsidDel="00000000" w:rsidP="00000000" w:rsidRDefault="00000000" w:rsidRPr="00000000" w14:paraId="0000001F">
      <w:pPr>
        <w:ind w:firstLine="851"/>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“c</w:t>
      </w:r>
      <w:r w:rsidDel="00000000" w:rsidR="00000000" w:rsidRPr="00000000">
        <w:rPr>
          <w:rFonts w:ascii="Times New Roman" w:cs="Times New Roman" w:eastAsia="Times New Roman" w:hAnsi="Times New Roman"/>
          <w:i w:val="1"/>
          <w:sz w:val="28"/>
          <w:szCs w:val="28"/>
          <w:vertAlign w:val="superscript"/>
          <w:rtl w:val="0"/>
        </w:rPr>
        <w:t xml:space="preserve">1</w:t>
      </w:r>
      <w:r w:rsidDel="00000000" w:rsidR="00000000" w:rsidRPr="00000000">
        <w:rPr>
          <w:rFonts w:ascii="Times New Roman" w:cs="Times New Roman" w:eastAsia="Times New Roman" w:hAnsi="Times New Roman"/>
          <w:i w:val="1"/>
          <w:sz w:val="28"/>
          <w:szCs w:val="28"/>
          <w:rtl w:val="0"/>
        </w:rPr>
        <w:t xml:space="preserve">) să aplice amendă persoanei cu funcție de răspundere a entităților care au deținut anterior calitatea de participant profesionist și nu au finalizat onorarea obligațiilor ce derivă din activitatea respectivă, de la 1 la 50  de salarii medii lunare pe economie prognozate. Este interzisă achitarea amenzii de către entitatea a cărei persoană cu funcție de răspundere este sancționată sau de alte persoane fizice și juridice.</w:t>
      </w:r>
    </w:p>
    <w:p w:rsidR="00000000" w:rsidDel="00000000" w:rsidP="00000000" w:rsidRDefault="00000000" w:rsidRPr="00000000" w14:paraId="00000020">
      <w:pPr>
        <w:spacing w:after="0" w:line="240" w:lineRule="auto"/>
        <w:ind w:firstLine="851"/>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c</w:t>
      </w:r>
      <w:r w:rsidDel="00000000" w:rsidR="00000000" w:rsidRPr="00000000">
        <w:rPr>
          <w:rFonts w:ascii="Times New Roman" w:cs="Times New Roman" w:eastAsia="Times New Roman" w:hAnsi="Times New Roman"/>
          <w:i w:val="1"/>
          <w:sz w:val="28"/>
          <w:szCs w:val="28"/>
          <w:vertAlign w:val="superscript"/>
          <w:rtl w:val="0"/>
        </w:rPr>
        <w:t xml:space="preserve">2</w:t>
      </w:r>
      <w:r w:rsidDel="00000000" w:rsidR="00000000" w:rsidRPr="00000000">
        <w:rPr>
          <w:rFonts w:ascii="Times New Roman" w:cs="Times New Roman" w:eastAsia="Times New Roman" w:hAnsi="Times New Roman"/>
          <w:i w:val="1"/>
          <w:sz w:val="28"/>
          <w:szCs w:val="28"/>
          <w:rtl w:val="0"/>
        </w:rPr>
        <w:t xml:space="preserve">) să aplice interdicții (sechestru) asupra bunurilor imobile, valorilor mobiliare aflate în proprietatea entităților care au deținut anterior calitatea de participant profesionist și nu au finalizat onorarea obligațiilor ce derivă din activitatea respectivă. Decizia Comisiei Naționale cu privire la aplicarea interdicției este obligatorie pentru efectuarea înscrierilor corespunzătoare în registrele publice și, respectiv, în registrul deținătorilor de valori mobiliare.”</w:t>
      </w:r>
    </w:p>
    <w:p w:rsidR="00000000" w:rsidDel="00000000" w:rsidP="00000000" w:rsidRDefault="00000000" w:rsidRPr="00000000" w14:paraId="00000021">
      <w:pPr>
        <w:spacing w:after="0" w:line="240" w:lineRule="auto"/>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993"/>
        </w:tabs>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Articolul  27:</w:t>
      </w:r>
    </w:p>
    <w:p w:rsidR="00000000" w:rsidDel="00000000" w:rsidP="00000000" w:rsidRDefault="00000000" w:rsidRPr="00000000" w14:paraId="00000023">
      <w:pPr>
        <w:tabs>
          <w:tab w:val="left" w:pos="993"/>
        </w:tabs>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alineatul (1) se completează cu literele c) și d):</w:t>
      </w:r>
    </w:p>
    <w:p w:rsidR="00000000" w:rsidDel="00000000" w:rsidP="00000000" w:rsidRDefault="00000000" w:rsidRPr="00000000" w14:paraId="00000024">
      <w:pPr>
        <w:tabs>
          <w:tab w:val="left" w:pos="993"/>
        </w:tabs>
        <w:spacing w:after="0" w:line="240" w:lineRule="auto"/>
        <w:ind w:firstLine="851"/>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”c) să nu primească de la persoane fizice și juridice cu scop lucrativ daruri, remunerații, împrumuturi, servicii, mijloace financiare pentru plata odihnei, a distracțiilor, a cheltuielilor de transport, precum și alte recompense legate de exercitarea obligațiilor de serviciu;</w:t>
      </w:r>
    </w:p>
    <w:p w:rsidR="00000000" w:rsidDel="00000000" w:rsidP="00000000" w:rsidRDefault="00000000" w:rsidRPr="00000000" w14:paraId="00000025">
      <w:pPr>
        <w:tabs>
          <w:tab w:val="left" w:pos="993"/>
        </w:tabs>
        <w:spacing w:after="0" w:line="240" w:lineRule="auto"/>
        <w:ind w:firstLine="851"/>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d) să nu facă uz de serviciu în interesul unor partide politice sau persoane juridice cu scop lucrativ”;</w:t>
      </w:r>
    </w:p>
    <w:p w:rsidR="00000000" w:rsidDel="00000000" w:rsidP="00000000" w:rsidRDefault="00000000" w:rsidRPr="00000000" w14:paraId="00000026">
      <w:pPr>
        <w:tabs>
          <w:tab w:val="left" w:pos="993"/>
        </w:tabs>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 alineatul (3) litera b) se abrogă;</w:t>
      </w:r>
    </w:p>
    <w:p w:rsidR="00000000" w:rsidDel="00000000" w:rsidP="00000000" w:rsidRDefault="00000000" w:rsidRPr="00000000" w14:paraId="00000027">
      <w:pPr>
        <w:tabs>
          <w:tab w:val="left" w:pos="993"/>
        </w:tabs>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 completează cu alineatele (5) – (6) cu următorul cuprins:</w:t>
      </w:r>
    </w:p>
    <w:p w:rsidR="00000000" w:rsidDel="00000000" w:rsidP="00000000" w:rsidRDefault="00000000" w:rsidRPr="00000000" w14:paraId="00000028">
      <w:pPr>
        <w:tabs>
          <w:tab w:val="left" w:pos="993"/>
        </w:tabs>
        <w:spacing w:after="0" w:line="240" w:lineRule="auto"/>
        <w:ind w:firstLine="851"/>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”(5) Nu poate avea calitatea de membru al Consiliului de administrație/angajat al Comisiei Naționale şi nu se poate afla în exercițiul funcțiunii persoana:</w:t>
      </w:r>
    </w:p>
    <w:p w:rsidR="00000000" w:rsidDel="00000000" w:rsidP="00000000" w:rsidRDefault="00000000" w:rsidRPr="00000000" w14:paraId="00000029">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a) care a fost anterior revocată/concediată din funcție pentru fapte ilicite ce au discreditat statutul de membru al Consiliului de administrație/angajat al Comisiei Naționale;</w:t>
      </w:r>
    </w:p>
    <w:p w:rsidR="00000000" w:rsidDel="00000000" w:rsidP="00000000" w:rsidRDefault="00000000" w:rsidRPr="00000000" w14:paraId="0000002A">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b) care are antecedente penale nestinse;</w:t>
      </w:r>
    </w:p>
    <w:p w:rsidR="00000000" w:rsidDel="00000000" w:rsidP="00000000" w:rsidRDefault="00000000" w:rsidRPr="00000000" w14:paraId="0000002B">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c) în privința căreia a fost instituită o măsură de ocrotire judiciară;</w:t>
      </w:r>
    </w:p>
    <w:p w:rsidR="00000000" w:rsidDel="00000000" w:rsidP="00000000" w:rsidRDefault="00000000" w:rsidRPr="00000000" w14:paraId="0000002C">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d) care are soțul/soția, ruda ori afinul de gradul I sau II al unei persoane fizice afiliate unei persoane juridice – participant profesionist la piața financiară nebancară.</w:t>
      </w:r>
    </w:p>
    <w:p w:rsidR="00000000" w:rsidDel="00000000" w:rsidP="00000000" w:rsidRDefault="00000000" w:rsidRPr="00000000" w14:paraId="0000002D">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Persoană fizică se consideră afiliată persoanei juridice în următoarele cazuri:</w:t>
      </w:r>
    </w:p>
    <w:p w:rsidR="00000000" w:rsidDel="00000000" w:rsidP="00000000" w:rsidRDefault="00000000" w:rsidRPr="00000000" w14:paraId="0000002E">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1) organul executiv unipersonal, fondator, membru al organului executiv colegial şi persoană cu funcție de răspundere în cadrul organului executiv al persoanei juridice respective;</w:t>
      </w:r>
    </w:p>
    <w:p w:rsidR="00000000" w:rsidDel="00000000" w:rsidP="00000000" w:rsidRDefault="00000000" w:rsidRPr="00000000" w14:paraId="0000002F">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2) membru al consiliului de observatori, al consiliului de directori sau membru al comisiei de cenzori a persoanei juridice respective;</w:t>
      </w:r>
    </w:p>
    <w:p w:rsidR="00000000" w:rsidDel="00000000" w:rsidP="00000000" w:rsidRDefault="00000000" w:rsidRPr="00000000" w14:paraId="00000030">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3) persoana care, în mod individual sau împreună cu alte persoane, deţine o poziţie de control al capitalului persoanei juridice respective;</w:t>
      </w:r>
    </w:p>
    <w:p w:rsidR="00000000" w:rsidDel="00000000" w:rsidP="00000000" w:rsidRDefault="00000000" w:rsidRPr="00000000" w14:paraId="00000031">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4) persoana care acţionează în numele şi pe seama persoanei juridice respective;</w:t>
      </w:r>
    </w:p>
    <w:p w:rsidR="00000000" w:rsidDel="00000000" w:rsidP="00000000" w:rsidRDefault="00000000" w:rsidRPr="00000000" w14:paraId="00000032">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5) persoana în numele şi pe seama căreia acţionează persoana juridică respectivă;</w:t>
      </w:r>
    </w:p>
    <w:p w:rsidR="00000000" w:rsidDel="00000000" w:rsidP="00000000" w:rsidRDefault="00000000" w:rsidRPr="00000000" w14:paraId="00000033">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6) persoana care, împreună cu persoana juridică respectivă, se află sub controlul unei terţe persoane;</w:t>
      </w:r>
    </w:p>
    <w:p w:rsidR="00000000" w:rsidDel="00000000" w:rsidP="00000000" w:rsidRDefault="00000000" w:rsidRPr="00000000" w14:paraId="00000034">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7) persoana a cărei afiliere este demonstrată de Comisia Națională;</w:t>
      </w:r>
    </w:p>
    <w:p w:rsidR="00000000" w:rsidDel="00000000" w:rsidP="00000000" w:rsidRDefault="00000000" w:rsidRPr="00000000" w14:paraId="00000035">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e) care are soţul/soţia, ruda ori afinul de gradul I sau II al unui fondator/asociat sau al unui conducător din cadrul persoanei juridice – participant profesionist la piața financiară nebancară;</w:t>
      </w:r>
    </w:p>
    <w:p w:rsidR="00000000" w:rsidDel="00000000" w:rsidP="00000000" w:rsidRDefault="00000000" w:rsidRPr="00000000" w14:paraId="00000036">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f) care, la angajare, a tăinuit informaţii ce împiedică aflarea ei în calitatea de angajat al Comisiei Naționale.</w:t>
      </w:r>
    </w:p>
    <w:p w:rsidR="00000000" w:rsidDel="00000000" w:rsidP="00000000" w:rsidRDefault="00000000" w:rsidRPr="00000000" w14:paraId="00000037">
      <w:pPr>
        <w:tabs>
          <w:tab w:val="left" w:pos="993"/>
        </w:tabs>
        <w:spacing w:after="0"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(6)  Membrul Consiliului de administrație/angajatul Comisiei Naționale aflat în una dintre situațiile prevăzute la alin. (3) lit. e), alin. (4) lit. c) și alin. (5) lit. d) și lit. e), în termen de 30 de zile, trebuie să le înlăture, în caz contrar acesta urmînd a fi revocat/concediat din funcţie.”</w:t>
      </w:r>
    </w:p>
    <w:p w:rsidR="00000000" w:rsidDel="00000000" w:rsidP="00000000" w:rsidRDefault="00000000" w:rsidRPr="00000000" w14:paraId="00000038">
      <w:pPr>
        <w:tabs>
          <w:tab w:val="left" w:pos="993"/>
        </w:tabs>
        <w:spacing w:after="0" w:line="240" w:lineRule="auto"/>
        <w:ind w:firstLine="72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9">
      <w:pPr>
        <w:spacing w:after="0" w:line="240" w:lineRule="auto"/>
        <w:ind w:firstLine="851"/>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Art. II</w:t>
      </w:r>
      <w:r w:rsidDel="00000000" w:rsidR="00000000" w:rsidRPr="00000000">
        <w:rPr>
          <w:rFonts w:ascii="Times New Roman" w:cs="Times New Roman" w:eastAsia="Times New Roman" w:hAnsi="Times New Roman"/>
          <w:color w:val="000000"/>
          <w:sz w:val="28"/>
          <w:szCs w:val="28"/>
          <w:rtl w:val="0"/>
        </w:rPr>
        <w:t xml:space="preserve"> – Legea nr. 92/2022 privind activitatea de asigurare sau de reasigurare (publicată în Monitorul Oficial al Republicii Moldova, 2022, nr. 129–133 art. 229),  se completează după cum urmează:</w:t>
      </w:r>
    </w:p>
    <w:p w:rsidR="00000000" w:rsidDel="00000000" w:rsidP="00000000" w:rsidRDefault="00000000" w:rsidRPr="00000000" w14:paraId="0000003A">
      <w:pPr>
        <w:spacing w:after="0" w:line="252.00000000000003" w:lineRule="auto"/>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2.00000000000003"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Articolul 35 se completează cu alineatul (5</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cu următorul cuprins:</w:t>
      </w:r>
    </w:p>
    <w:p w:rsidR="00000000" w:rsidDel="00000000" w:rsidP="00000000" w:rsidRDefault="00000000" w:rsidRPr="00000000" w14:paraId="0000003C">
      <w:pPr>
        <w:spacing w:after="0" w:line="252.00000000000003" w:lineRule="auto"/>
        <w:ind w:firstLine="851"/>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”(5</w:t>
      </w:r>
      <w:r w:rsidDel="00000000" w:rsidR="00000000" w:rsidRPr="00000000">
        <w:rPr>
          <w:rFonts w:ascii="Times New Roman" w:cs="Times New Roman" w:eastAsia="Times New Roman" w:hAnsi="Times New Roman"/>
          <w:i w:val="1"/>
          <w:sz w:val="28"/>
          <w:szCs w:val="28"/>
          <w:vertAlign w:val="superscript"/>
          <w:rtl w:val="0"/>
        </w:rPr>
        <w:t xml:space="preserve">1</w:t>
      </w:r>
      <w:r w:rsidDel="00000000" w:rsidR="00000000" w:rsidRPr="00000000">
        <w:rPr>
          <w:rFonts w:ascii="Times New Roman" w:cs="Times New Roman" w:eastAsia="Times New Roman" w:hAnsi="Times New Roman"/>
          <w:i w:val="1"/>
          <w:sz w:val="28"/>
          <w:szCs w:val="28"/>
          <w:rtl w:val="0"/>
        </w:rPr>
        <w:t xml:space="preserve">) În cazul desemnării de instanța de judecată a persoanei cu funcții de conducere, persoana respectivă poate începe să își exercite atribuțiile doar după ce a fost aprobată de autoritatea de supraveghere. În cazul în care persoana desemnată de instanța de judecată nu a obținut aprobarea autorității de supraveghere, instanța de judecată va desemna o altă persoană.”</w:t>
      </w:r>
    </w:p>
    <w:p w:rsidR="00000000" w:rsidDel="00000000" w:rsidP="00000000" w:rsidRDefault="00000000" w:rsidRPr="00000000" w14:paraId="0000003D">
      <w:pPr>
        <w:spacing w:after="0" w:line="252.00000000000003" w:lineRule="auto"/>
        <w:ind w:firstLine="851"/>
        <w:jc w:val="both"/>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2.00000000000003"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Articolul 50  se completează cu alineatul (7</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cu următorul cuprins:</w:t>
      </w:r>
    </w:p>
    <w:p w:rsidR="00000000" w:rsidDel="00000000" w:rsidP="00000000" w:rsidRDefault="00000000" w:rsidRPr="00000000" w14:paraId="0000003F">
      <w:pPr>
        <w:ind w:firstLine="851"/>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”(7</w:t>
      </w:r>
      <w:r w:rsidDel="00000000" w:rsidR="00000000" w:rsidRPr="00000000">
        <w:rPr>
          <w:rFonts w:ascii="Times New Roman" w:cs="Times New Roman" w:eastAsia="Times New Roman" w:hAnsi="Times New Roman"/>
          <w:i w:val="1"/>
          <w:sz w:val="28"/>
          <w:szCs w:val="28"/>
          <w:vertAlign w:val="superscript"/>
          <w:rtl w:val="0"/>
        </w:rPr>
        <w:t xml:space="preserve">1</w:t>
      </w:r>
      <w:r w:rsidDel="00000000" w:rsidR="00000000" w:rsidRPr="00000000">
        <w:rPr>
          <w:rFonts w:ascii="Times New Roman" w:cs="Times New Roman" w:eastAsia="Times New Roman" w:hAnsi="Times New Roman"/>
          <w:i w:val="1"/>
          <w:sz w:val="28"/>
          <w:szCs w:val="28"/>
          <w:rtl w:val="0"/>
        </w:rPr>
        <w:t xml:space="preserve">) Societățile de asigurare sau de reasigurare trebuie să dezvăluie pe pagina web oficială a lor,  informația privind beneficiarii efectivi ai participațiilor calificate, în termenul stabilit la alin. (7), precum și în cazul în care după o tranzacție se modifică beneficiarul efectiv al participației calificate, nu mai târziu de 7 zile lucrătoare de la data tranzacției. La dezvăluirea informației</w:t>
      </w:r>
      <w:r w:rsidDel="00000000" w:rsidR="00000000" w:rsidRPr="00000000">
        <w:rPr>
          <w:rtl w:val="0"/>
        </w:rPr>
        <w:t xml:space="preserve"> </w:t>
      </w:r>
      <w:r w:rsidDel="00000000" w:rsidR="00000000" w:rsidRPr="00000000">
        <w:rPr>
          <w:rFonts w:ascii="Times New Roman" w:cs="Times New Roman" w:eastAsia="Times New Roman" w:hAnsi="Times New Roman"/>
          <w:i w:val="1"/>
          <w:sz w:val="28"/>
          <w:szCs w:val="28"/>
          <w:rtl w:val="0"/>
        </w:rPr>
        <w:t xml:space="preserve">privind beneficiarii efectivi ai participațiilor calificate, societățile de asigurare sau de reasigurare vor respecta prevederile legislației privind protecția datelor cu caracter personal.” </w:t>
      </w:r>
    </w:p>
    <w:p w:rsidR="00000000" w:rsidDel="00000000" w:rsidP="00000000" w:rsidRDefault="00000000" w:rsidRPr="00000000" w14:paraId="00000040">
      <w:pPr>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Art. III</w:t>
      </w:r>
      <w:r w:rsidDel="00000000" w:rsidR="00000000" w:rsidRPr="00000000">
        <w:rPr>
          <w:rFonts w:ascii="Times New Roman" w:cs="Times New Roman" w:eastAsia="Times New Roman" w:hAnsi="Times New Roman"/>
          <w:sz w:val="28"/>
          <w:szCs w:val="28"/>
          <w:rtl w:val="0"/>
        </w:rPr>
        <w:t xml:space="preserve"> – La articolul 191 alineatul (3) din Codul administrativ al Republicii Moldova nr.116/2018 (Monitorul Oficial al Republicii Moldova, 2018, nr.309–320, art.466), cu modificările ulterioare, după textul “Banca Națională a Moldovei” se completează cu textul “Comisia Națională a Pieței Financiare”.</w:t>
      </w:r>
    </w:p>
    <w:p w:rsidR="00000000" w:rsidDel="00000000" w:rsidP="00000000" w:rsidRDefault="00000000" w:rsidRPr="00000000" w14:paraId="00000041">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2">
      <w:pPr>
        <w:ind w:firstLine="851"/>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Deputați în Parlament:</w:t>
      </w:r>
    </w:p>
    <w:p w:rsidR="00000000" w:rsidDel="00000000" w:rsidP="00000000" w:rsidRDefault="00000000" w:rsidRPr="00000000" w14:paraId="00000043">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4">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6">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7">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8">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A">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B">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C">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D">
      <w:pPr>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E">
      <w:pPr>
        <w:spacing w:after="200" w:line="276" w:lineRule="auto"/>
        <w:ind w:firstLine="851"/>
        <w:rPr>
          <w:rFonts w:ascii="Times New Roman" w:cs="Times New Roman" w:eastAsia="Times New Roman" w:hAnsi="Times New Roman"/>
          <w:sz w:val="28"/>
          <w:szCs w:val="28"/>
        </w:rPr>
      </w:pP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blHeader w:val="0"/>
        </w:trPr>
        <w:tc>
          <w:tcPr/>
          <w:p w:rsidR="00000000" w:rsidDel="00000000" w:rsidP="00000000" w:rsidRDefault="00000000" w:rsidRPr="00000000" w14:paraId="0000004F">
            <w:pPr>
              <w:spacing w:after="0" w:line="240" w:lineRule="auto"/>
              <w:ind w:left="1128"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NOTA  INFORMATIVĂ</w:t>
            </w:r>
          </w:p>
          <w:p w:rsidR="00000000" w:rsidDel="00000000" w:rsidP="00000000" w:rsidRDefault="00000000" w:rsidRPr="00000000" w14:paraId="00000050">
            <w:pPr>
              <w:spacing w:after="0" w:line="240" w:lineRule="auto"/>
              <w:ind w:firstLine="851"/>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la proiectul de lege cu privire la modificarea </w:t>
            </w:r>
          </w:p>
          <w:p w:rsidR="00000000" w:rsidDel="00000000" w:rsidP="00000000" w:rsidRDefault="00000000" w:rsidRPr="00000000" w14:paraId="00000051">
            <w:pPr>
              <w:spacing w:after="0" w:line="240" w:lineRule="auto"/>
              <w:ind w:firstLine="851"/>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unor acte normative</w:t>
            </w:r>
          </w:p>
          <w:p w:rsidR="00000000" w:rsidDel="00000000" w:rsidP="00000000" w:rsidRDefault="00000000" w:rsidRPr="00000000" w14:paraId="00000052">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53">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4">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Denumirea autorului</w:t>
            </w:r>
          </w:p>
        </w:tc>
      </w:tr>
      <w:tr>
        <w:trPr>
          <w:cantSplit w:val="0"/>
          <w:tblHeader w:val="0"/>
        </w:trPr>
        <w:tc>
          <w:tcPr/>
          <w:p w:rsidR="00000000" w:rsidDel="00000000" w:rsidP="00000000" w:rsidRDefault="00000000" w:rsidRPr="00000000" w14:paraId="00000055">
            <w:pPr>
              <w:spacing w:after="0" w:line="240" w:lineRule="auto"/>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6">
            <w:pPr>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Proiectul de lege cu privire la modificarea unor acte normative a fost elaborat de către un grup de deputați din Parlamentul Republicii Moldova.</w:t>
            </w:r>
          </w:p>
        </w:tc>
      </w:tr>
      <w:tr>
        <w:trPr>
          <w:cantSplit w:val="0"/>
          <w:tblHeader w:val="0"/>
        </w:trPr>
        <w:tc>
          <w:tcPr>
            <w:shd w:fill="bfbfbf" w:val="clear"/>
          </w:tcPr>
          <w:p w:rsidR="00000000" w:rsidDel="00000000" w:rsidP="00000000" w:rsidRDefault="00000000" w:rsidRPr="00000000" w14:paraId="00000057">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8">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Condițiile ce au impus elaborarea proiectului actului normativ și finalitățile urmărite</w:t>
            </w:r>
          </w:p>
        </w:tc>
      </w:tr>
      <w:tr>
        <w:trPr>
          <w:cantSplit w:val="0"/>
          <w:tblHeader w:val="0"/>
        </w:trPr>
        <w:tc>
          <w:tcPr>
            <w:shd w:fill="ffffff" w:val="clear"/>
          </w:tcPr>
          <w:p w:rsidR="00000000" w:rsidDel="00000000" w:rsidP="00000000" w:rsidRDefault="00000000" w:rsidRPr="00000000" w14:paraId="00000059">
            <w:pPr>
              <w:spacing w:after="0" w:line="240" w:lineRule="auto"/>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A">
            <w:pPr>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Proiectul de lege cu privire la modificarea unor acte normative vine drept o reacție la recomandările experților în cadrul  Raportului Comitetului Consultativ Independent Anticorupție „Republica Offshore” </w:t>
            </w:r>
            <w:r w:rsidDel="00000000" w:rsidR="00000000" w:rsidRPr="00000000">
              <w:rPr>
                <w:rFonts w:ascii="Times New Roman" w:cs="Times New Roman" w:eastAsia="Times New Roman" w:hAnsi="Times New Roman"/>
                <w:i w:val="1"/>
                <w:sz w:val="28"/>
                <w:szCs w:val="28"/>
                <w:rtl w:val="0"/>
              </w:rPr>
              <w:t xml:space="preserve">Analiza factorilor care au contribuit la frauda sistemică și spălarea banilor în sectorul bancar, de asigurări și financiar din Moldova.</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5B">
            <w:pPr>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Completările la Legea nr. 192/1998 privind Comisia Națională a Pieței Financiare în partea ce vizează dreptul autorității de a aplica sancțiuni persoanelor cu funcții de răspundere ale foștilor participanți profesioniști la piața financiară nebancară au drept obiectiv consolidarea capacităților de supraveghere a autorității, astfel încât se responsabilizează entitățile cu onorarea tuturor obligațiilor ce derivă din angajamentele asumate în perioada când dețineau calitatea de persoane licențiate/autorizate.</w:t>
            </w:r>
          </w:p>
          <w:p w:rsidR="00000000" w:rsidDel="00000000" w:rsidP="00000000" w:rsidRDefault="00000000" w:rsidRPr="00000000" w14:paraId="0000005C">
            <w:pPr>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În contextul excluderii oricăror conflicte de interese, implicit în cazul membrilor Consiliului de administrației/angajaților CNPF se propun modificări relevante privind interdicția relațiilor de afiliere cu participanții profesioniști la piața financiară nebancară și măsurile ce urmează a fi întreprinse în cazul constatării nerespectării restricțiilor/incompatibilității. De facto, respectivele propuneri sunt în unison cu etica profesională și principiile de integritate, nici într-un caz, nu fac ingerință în viața privată a salariaților CNPF.</w:t>
            </w:r>
          </w:p>
          <w:p w:rsidR="00000000" w:rsidDel="00000000" w:rsidP="00000000" w:rsidRDefault="00000000" w:rsidRPr="00000000" w14:paraId="0000005D">
            <w:pPr>
              <w:spacing w:after="0" w:line="240" w:lineRule="auto"/>
              <w:ind w:firstLine="851"/>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Cu referire la amendamentele propuse la</w:t>
            </w:r>
            <w:r w:rsidDel="00000000" w:rsidR="00000000" w:rsidRPr="00000000">
              <w:rPr>
                <w:rFonts w:ascii="Times New Roman" w:cs="Times New Roman" w:eastAsia="Times New Roman" w:hAnsi="Times New Roman"/>
                <w:color w:val="000000"/>
                <w:sz w:val="28"/>
                <w:szCs w:val="28"/>
                <w:rtl w:val="0"/>
              </w:rPr>
              <w:t xml:space="preserve"> Legea nr. 92/2022 privind activitatea de asigurare sau de reasigurare, urmează a se remarca că situații similare celor de desemnare de instanța de judecată a persoanelor cu funcții de răspundere pentru asigurători, fără o aprobare prealabilă a autorității de supraveghere, nu au fost întâlnite în practicile altor state.</w:t>
            </w:r>
          </w:p>
          <w:p w:rsidR="00000000" w:rsidDel="00000000" w:rsidP="00000000" w:rsidRDefault="00000000" w:rsidRPr="00000000" w14:paraId="0000005E">
            <w:pPr>
              <w:spacing w:after="0" w:line="240" w:lineRule="auto"/>
              <w:ind w:firstLine="851"/>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F">
            <w:pPr>
              <w:spacing w:after="0" w:line="240" w:lineRule="auto"/>
              <w:ind w:firstLine="851"/>
              <w:jc w:val="both"/>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60">
            <w:pPr>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Corespunzător sunt necesare reglementările de rigoare specifice situației din Republica Moldova, pentru a stabili exhaustiv că persoanele  cu</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funcții de conducere încep să își exercite atribuțiile doar după aprobarea autorității de supraveghere.</w:t>
            </w:r>
          </w:p>
          <w:p w:rsidR="00000000" w:rsidDel="00000000" w:rsidP="00000000" w:rsidRDefault="00000000" w:rsidRPr="00000000" w14:paraId="00000061">
            <w:pPr>
              <w:spacing w:after="0" w:line="240" w:lineRule="auto"/>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spacing w:after="0" w:line="240" w:lineRule="auto"/>
              <w:ind w:firstLine="851"/>
              <w:jc w:val="both"/>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63">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4">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Principalele prevederi ale proiectului și evidențierea elementelor noi</w:t>
            </w:r>
          </w:p>
        </w:tc>
      </w:tr>
      <w:tr>
        <w:trPr>
          <w:cantSplit w:val="0"/>
          <w:tblHeader w:val="0"/>
        </w:trPr>
        <w:tc>
          <w:tcPr/>
          <w:p w:rsidR="00000000" w:rsidDel="00000000" w:rsidP="00000000" w:rsidRDefault="00000000" w:rsidRPr="00000000" w14:paraId="00000065">
            <w:pPr>
              <w:spacing w:after="0" w:line="240" w:lineRule="auto"/>
              <w:ind w:firstLine="851"/>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66">
            <w:pPr>
              <w:spacing w:after="0" w:line="240" w:lineRule="auto"/>
              <w:ind w:firstLine="851"/>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color w:val="000000"/>
                <w:sz w:val="28"/>
                <w:szCs w:val="28"/>
                <w:u w:val="single"/>
                <w:rtl w:val="0"/>
              </w:rPr>
              <w:t xml:space="preserve">Completările la Legea nr. 192/1998 privind Comisia Națională a Pieței Financiare </w:t>
            </w:r>
            <w:r w:rsidDel="00000000" w:rsidR="00000000" w:rsidRPr="00000000">
              <w:rPr>
                <w:rtl w:val="0"/>
              </w:rPr>
            </w:r>
          </w:p>
          <w:p w:rsidR="00000000" w:rsidDel="00000000" w:rsidP="00000000" w:rsidRDefault="00000000" w:rsidRPr="00000000" w14:paraId="00000067">
            <w:pPr>
              <w:spacing w:after="0" w:line="240" w:lineRule="auto"/>
              <w:ind w:firstLine="2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În contrast cu instrumentele disponibile a fi aplicabile în raport cu participanții profesioniști autorizați/ licențiați la piața financiară nebancară, incluziv vizavi de persoanele cu funcții de răspundere, cadrul normativ în vigoare nu oferă Comisiei Naționale a Pieței Financiare instrumente legale coercitive  în raport cu participanți profesioniști la piața financiară nebancară care nu au finalizat onorarea obligațiilor ce derivă din activitatea respective, atestându-se fenomene de neîndeplinire a prescripțiilor autorității de supraveghere. Amendamentele prevăd suplimentar oferirea dreptului CNPF de a aplica interdicții (sechestru) asupra bunurilor imobile și valorilor mobiliare aflate în proprietatea entităților care au deținut anterior calitatea de participant profesionist și nu au finalizat onorarea obligațiilor ce derivă din activitatea respective în scopul respectării drepturilor consumatorilor și asigurarea îndeplinirii tuturor obligațiilor asumate de entitate după retragerea sau depunerea benevolă a licenței/autorizației.</w:t>
            </w:r>
          </w:p>
          <w:p w:rsidR="00000000" w:rsidDel="00000000" w:rsidP="00000000" w:rsidRDefault="00000000" w:rsidRPr="00000000" w14:paraId="00000068">
            <w:pPr>
              <w:spacing w:after="0" w:line="240" w:lineRule="auto"/>
              <w:ind w:firstLine="2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Pentru a asigura o supraveghere sănătoasă a întregului sector financiar non-bancar este necesar ca autoritatea de supraveghere să dispună nu doar de un personal calificat, dar și integru, fiind excluse relațiile de afiliere. </w:t>
            </w:r>
          </w:p>
          <w:p w:rsidR="00000000" w:rsidDel="00000000" w:rsidP="00000000" w:rsidRDefault="00000000" w:rsidRPr="00000000" w14:paraId="00000069">
            <w:pPr>
              <w:spacing w:after="0" w:line="240" w:lineRule="auto"/>
              <w:ind w:firstLine="2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6A">
            <w:pPr>
              <w:spacing w:after="0" w:line="240" w:lineRule="auto"/>
              <w:ind w:firstLine="851"/>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color w:val="000000"/>
                <w:sz w:val="28"/>
                <w:szCs w:val="28"/>
                <w:u w:val="single"/>
                <w:rtl w:val="0"/>
              </w:rPr>
              <w:t xml:space="preserve">Completările la Legea nr. 92/2022 privind activitatea de asigurare sau de reasigurare</w:t>
            </w:r>
            <w:r w:rsidDel="00000000" w:rsidR="00000000" w:rsidRPr="00000000">
              <w:rPr>
                <w:rtl w:val="0"/>
              </w:rPr>
            </w:r>
          </w:p>
          <w:p w:rsidR="00000000" w:rsidDel="00000000" w:rsidP="00000000" w:rsidRDefault="00000000" w:rsidRPr="00000000" w14:paraId="0000006B">
            <w:pPr>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Așa precum am oferit argumente mai sus, proiectul completează aspectele ce vizează persoanele cu funcții de conducere desemnate de instanța de judecată. Și anume, acestea pot să își inițieze exercitarea atribuțiilor doar după avizul pozitiv al autorității de supraveghere. </w:t>
            </w:r>
          </w:p>
          <w:p w:rsidR="00000000" w:rsidDel="00000000" w:rsidP="00000000" w:rsidRDefault="00000000" w:rsidRPr="00000000" w14:paraId="0000006C">
            <w:pPr>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Completări importante sunt la prevederile privind dezvăluirea informației privind beneficiarii efectivi ai participațiilor calificate a companiilor de asigurări, fiind stabilite cerințe de transparență pentru categoria respectivă de informații.</w:t>
            </w:r>
          </w:p>
          <w:p w:rsidR="00000000" w:rsidDel="00000000" w:rsidP="00000000" w:rsidRDefault="00000000" w:rsidRPr="00000000" w14:paraId="0000006D">
            <w:pPr>
              <w:spacing w:after="0" w:line="240" w:lineRule="auto"/>
              <w:ind w:firstLine="851"/>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E">
            <w:pPr>
              <w:spacing w:after="0" w:line="240" w:lineRule="auto"/>
              <w:ind w:firstLine="851"/>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Propunerea de completare a Codului administrativ</w:t>
            </w:r>
          </w:p>
          <w:p w:rsidR="00000000" w:rsidDel="00000000" w:rsidP="00000000" w:rsidRDefault="00000000" w:rsidRPr="00000000" w14:paraId="0000006F">
            <w:pPr>
              <w:ind w:firstLine="851"/>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rtl w:val="0"/>
              </w:rPr>
              <w:t xml:space="preserve">Este imperios necesar de a pune în cadrul aceleiași jurisdicții pentru acțiunea de contencios administrativ la Curtea de apel Chişinău și a deciziilor Comisiei Naționale a Pieței Financiare, de rând cu  contestarea hotărârile Consiliului Superior al Magistraturii, ale Consiliului Superior al Procurorilor, actelor emise de Banca Naţională a Moldovei.</w:t>
            </w: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70">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1">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Fundamentarea economico - financiară</w:t>
            </w:r>
          </w:p>
        </w:tc>
      </w:tr>
      <w:tr>
        <w:trPr>
          <w:cantSplit w:val="0"/>
          <w:tblHeader w:val="0"/>
        </w:trPr>
        <w:tc>
          <w:tcPr/>
          <w:p w:rsidR="00000000" w:rsidDel="00000000" w:rsidP="00000000" w:rsidRDefault="00000000" w:rsidRPr="00000000" w14:paraId="00000072">
            <w:pPr>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Implementarea proiectului nu implică cheltuieli financiare și alocarea de mijloace financiare suplimentare din contul bugetului de stat.</w:t>
            </w:r>
          </w:p>
        </w:tc>
      </w:tr>
      <w:tr>
        <w:trPr>
          <w:cantSplit w:val="0"/>
          <w:tblHeader w:val="0"/>
        </w:trPr>
        <w:tc>
          <w:tcPr>
            <w:shd w:fill="bfbfbf" w:val="clear"/>
          </w:tcPr>
          <w:p w:rsidR="00000000" w:rsidDel="00000000" w:rsidP="00000000" w:rsidRDefault="00000000" w:rsidRPr="00000000" w14:paraId="00000073">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4">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 de încorporare a actului în cadrul normativ în vigoare</w:t>
            </w:r>
          </w:p>
        </w:tc>
      </w:tr>
      <w:tr>
        <w:trPr>
          <w:cantSplit w:val="0"/>
          <w:tblHeader w:val="0"/>
        </w:trPr>
        <w:tc>
          <w:tcPr>
            <w:shd w:fill="ffffff" w:val="clear"/>
          </w:tcPr>
          <w:p w:rsidR="00000000" w:rsidDel="00000000" w:rsidP="00000000" w:rsidRDefault="00000000" w:rsidRPr="00000000" w14:paraId="00000075">
            <w:pPr>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Modificările propuse nu afectează concepția generală ori caracterul unitar al actelor normative amendate.</w:t>
            </w:r>
          </w:p>
        </w:tc>
      </w:tr>
      <w:tr>
        <w:trPr>
          <w:cantSplit w:val="0"/>
          <w:tblHeader w:val="0"/>
        </w:trPr>
        <w:tc>
          <w:tcPr>
            <w:shd w:fill="bfbfbf" w:val="clear"/>
          </w:tcPr>
          <w:p w:rsidR="00000000" w:rsidDel="00000000" w:rsidP="00000000" w:rsidRDefault="00000000" w:rsidRPr="00000000" w14:paraId="00000076">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7">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Avizarea şi consultarea publică a proiectului</w:t>
            </w:r>
          </w:p>
        </w:tc>
      </w:tr>
      <w:tr>
        <w:trPr>
          <w:cantSplit w:val="0"/>
          <w:tblHeader w:val="0"/>
        </w:trPr>
        <w:tc>
          <w:tcPr>
            <w:shd w:fill="ffffff" w:val="clear"/>
          </w:tcPr>
          <w:p w:rsidR="00000000" w:rsidDel="00000000" w:rsidP="00000000" w:rsidRDefault="00000000" w:rsidRPr="00000000" w14:paraId="00000078">
            <w:pPr>
              <w:tabs>
                <w:tab w:val="left" w:pos="825"/>
              </w:tabs>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Potrivit Legii cu privire la actele normative (nr. 100/2017) și Legii privind transparența în procesul decizional (nr. 239/2008)</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proiectul va fi supus consultărilor publice în conformitate cu prevederile legale cu părțile interesate și publicul larg prin intermediul consultărilor publice pe platforma Parlamentului Republicii Moldova. </w:t>
            </w:r>
          </w:p>
        </w:tc>
      </w:tr>
      <w:tr>
        <w:trPr>
          <w:cantSplit w:val="0"/>
          <w:tblHeader w:val="0"/>
        </w:trPr>
        <w:tc>
          <w:tcPr>
            <w:shd w:fill="bfbfbf" w:val="clear"/>
          </w:tcPr>
          <w:p w:rsidR="00000000" w:rsidDel="00000000" w:rsidP="00000000" w:rsidRDefault="00000000" w:rsidRPr="00000000" w14:paraId="00000079">
            <w:pPr>
              <w:tabs>
                <w:tab w:val="left" w:pos="3243"/>
              </w:tabs>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p>
          <w:p w:rsidR="00000000" w:rsidDel="00000000" w:rsidP="00000000" w:rsidRDefault="00000000" w:rsidRPr="00000000" w14:paraId="0000007A">
            <w:pPr>
              <w:tabs>
                <w:tab w:val="left" w:pos="3243"/>
              </w:tabs>
              <w:spacing w:after="0" w:line="240" w:lineRule="auto"/>
              <w:ind w:firstLine="851"/>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Constatările expertizei anticorupție</w:t>
            </w:r>
          </w:p>
        </w:tc>
      </w:tr>
      <w:tr>
        <w:trPr>
          <w:cantSplit w:val="0"/>
          <w:tblHeader w:val="0"/>
        </w:trPr>
        <w:tc>
          <w:tcPr>
            <w:shd w:fill="ffffff" w:val="clear"/>
          </w:tcPr>
          <w:p w:rsidR="00000000" w:rsidDel="00000000" w:rsidP="00000000" w:rsidRDefault="00000000" w:rsidRPr="00000000" w14:paraId="0000007B">
            <w:pPr>
              <w:spacing w:after="0" w:line="240" w:lineRule="auto"/>
              <w:ind w:firstLine="85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Proiectul se va remite Centrului National Anticorupție pentru a fi supus expertizei anticorupție.</w:t>
            </w:r>
          </w:p>
        </w:tc>
      </w:tr>
    </w:tbl>
    <w:p w:rsidR="00000000" w:rsidDel="00000000" w:rsidP="00000000" w:rsidRDefault="00000000" w:rsidRPr="00000000" w14:paraId="0000007C">
      <w:pPr>
        <w:spacing w:after="0" w:line="240" w:lineRule="auto"/>
        <w:ind w:firstLine="851"/>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D">
      <w:pPr>
        <w:spacing w:after="0" w:line="240" w:lineRule="auto"/>
        <w:ind w:firstLine="851"/>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E">
      <w:pPr>
        <w:spacing w:after="0" w:line="240" w:lineRule="auto"/>
        <w:ind w:firstLine="851"/>
        <w:rPr>
          <w:rFonts w:ascii="Times New Roman" w:cs="Times New Roman" w:eastAsia="Times New Roman" w:hAnsi="Times New Roman"/>
          <w:b w:val="1"/>
          <w:color w:val="1f4e79"/>
          <w:sz w:val="28"/>
          <w:szCs w:val="28"/>
        </w:rPr>
      </w:pPr>
      <w:r w:rsidDel="00000000" w:rsidR="00000000" w:rsidRPr="00000000">
        <w:rPr>
          <w:rtl w:val="0"/>
        </w:rPr>
      </w:r>
    </w:p>
    <w:p w:rsidR="00000000" w:rsidDel="00000000" w:rsidP="00000000" w:rsidRDefault="00000000" w:rsidRPr="00000000" w14:paraId="0000007F">
      <w:pPr>
        <w:spacing w:after="0" w:line="240" w:lineRule="auto"/>
        <w:ind w:firstLine="851"/>
        <w:rPr>
          <w:rFonts w:ascii="Times New Roman" w:cs="Times New Roman" w:eastAsia="Times New Roman" w:hAnsi="Times New Roman"/>
          <w:b w:val="1"/>
          <w:color w:val="1f4e79"/>
          <w:sz w:val="28"/>
          <w:szCs w:val="28"/>
        </w:rPr>
      </w:pPr>
      <w:r w:rsidDel="00000000" w:rsidR="00000000" w:rsidRPr="00000000">
        <w:rPr>
          <w:rtl w:val="0"/>
        </w:rPr>
      </w:r>
    </w:p>
    <w:p w:rsidR="00000000" w:rsidDel="00000000" w:rsidP="00000000" w:rsidRDefault="00000000" w:rsidRPr="00000000" w14:paraId="00000080">
      <w:pPr>
        <w:spacing w:after="0" w:line="240" w:lineRule="auto"/>
        <w:ind w:firstLine="851"/>
        <w:rPr>
          <w:rFonts w:ascii="Times New Roman" w:cs="Times New Roman" w:eastAsia="Times New Roman" w:hAnsi="Times New Roman"/>
          <w:b w:val="1"/>
          <w:color w:val="1f4e79"/>
          <w:sz w:val="28"/>
          <w:szCs w:val="28"/>
        </w:rPr>
      </w:pPr>
      <w:r w:rsidDel="00000000" w:rsidR="00000000" w:rsidRPr="00000000">
        <w:rPr>
          <w:rtl w:val="0"/>
        </w:rPr>
      </w:r>
    </w:p>
    <w:p w:rsidR="00000000" w:rsidDel="00000000" w:rsidP="00000000" w:rsidRDefault="00000000" w:rsidRPr="00000000" w14:paraId="00000081">
      <w:pPr>
        <w:ind w:left="0" w:firstLine="709"/>
        <w:jc w:val="center"/>
        <w:rPr>
          <w:b w:val="1"/>
          <w:sz w:val="28"/>
          <w:szCs w:val="28"/>
        </w:rPr>
      </w:pPr>
      <w:r w:rsidDel="00000000" w:rsidR="00000000" w:rsidRPr="00000000">
        <w:rPr>
          <w:rtl w:val="0"/>
        </w:rPr>
      </w:r>
    </w:p>
    <w:p w:rsidR="00000000" w:rsidDel="00000000" w:rsidP="00000000" w:rsidRDefault="00000000" w:rsidRPr="00000000" w14:paraId="00000082">
      <w:pPr>
        <w:ind w:left="0" w:firstLine="709"/>
        <w:rPr>
          <w:b w:val="1"/>
          <w:sz w:val="28"/>
          <w:szCs w:val="28"/>
        </w:rPr>
      </w:pPr>
      <w:sdt>
        <w:sdtPr>
          <w:tag w:val="goog_rdk_1"/>
        </w:sdtPr>
        <w:sdtContent>
          <w:r w:rsidDel="00000000" w:rsidR="00000000" w:rsidRPr="00000000">
            <w:rPr>
              <w:rFonts w:ascii="Times New Roman" w:cs="Times New Roman" w:eastAsia="Times New Roman" w:hAnsi="Times New Roman"/>
              <w:b w:val="1"/>
              <w:sz w:val="28"/>
              <w:szCs w:val="28"/>
              <w:rtl w:val="0"/>
            </w:rPr>
            <w:t xml:space="preserve">Deputați în Parlament:</w:t>
          </w:r>
        </w:sdtContent>
      </w:sdt>
    </w:p>
    <w:sectPr>
      <w:type w:val="continuous"/>
      <w:pgSz w:h="16838" w:w="11906" w:orient="portrait"/>
      <w:pgMar w:bottom="851" w:top="851" w:left="993" w:right="991" w:header="851" w:footer="455"/>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righ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457200</wp:posOffset>
              </wp:positionH>
              <wp:positionV relativeFrom="paragraph">
                <wp:posOffset>9956800</wp:posOffset>
              </wp:positionV>
              <wp:extent cx="0" cy="12700"/>
              <wp:effectExtent b="0" l="0" r="0" t="0"/>
              <wp:wrapNone/>
              <wp:docPr id="76" name=""/>
              <a:graphic>
                <a:graphicData uri="http://schemas.microsoft.com/office/word/2010/wordprocessingShape">
                  <wps:wsp>
                    <wps:cNvCnPr/>
                    <wps:spPr>
                      <a:xfrm>
                        <a:off x="2483738" y="3780000"/>
                        <a:ext cx="5724525" cy="0"/>
                      </a:xfrm>
                      <a:prstGeom prst="straightConnector1">
                        <a:avLst/>
                      </a:prstGeom>
                      <a:noFill/>
                      <a:ln cap="flat" cmpd="sng" w="9525">
                        <a:solidFill>
                          <a:srgbClr val="7F7F7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457200</wp:posOffset>
              </wp:positionH>
              <wp:positionV relativeFrom="paragraph">
                <wp:posOffset>9956800</wp:posOffset>
              </wp:positionV>
              <wp:extent cx="0" cy="12700"/>
              <wp:effectExtent b="0" l="0" r="0" t="0"/>
              <wp:wrapNone/>
              <wp:docPr id="76"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Republica Moldova, MD-2004, Chişinău</w:t>
      <w:tab/>
      <w:t xml:space="preserve">info@parlament.md</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Bd. Ştefan cel Mare şi Sfânt 105</w:t>
      <w:tab/>
      <w:t xml:space="preserve">www.parlament.md</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page">
            <wp:posOffset>452119</wp:posOffset>
          </wp:positionH>
          <wp:positionV relativeFrom="page">
            <wp:posOffset>532420</wp:posOffset>
          </wp:positionV>
          <wp:extent cx="1785999" cy="567981"/>
          <wp:effectExtent b="0" l="0" r="0" t="0"/>
          <wp:wrapNone/>
          <wp:docPr id="7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785999" cy="56798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pPr>
    <w:rPr>
      <w:rFonts w:ascii="Georgia" w:cs="Georgia" w:eastAsia="Georgia" w:hAnsi="Georgia"/>
      <w:b w:val="0"/>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59" w:lineRule="auto"/>
      <w:ind w:left="0" w:right="0" w:firstLine="0"/>
      <w:jc w:val="left"/>
    </w:pPr>
    <w:rPr>
      <w:rFonts w:ascii="Calibri" w:cs="Calibri" w:eastAsia="Calibri" w:hAnsi="Calibri"/>
      <w:b w:val="0"/>
      <w:i w:val="0"/>
      <w:smallCaps w:val="0"/>
      <w:strike w:val="0"/>
      <w:color w:val="2e75b5"/>
      <w:sz w:val="26"/>
      <w:szCs w:val="26"/>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val="1"/>
    <w:locked w:val="1"/>
    <w:rsid w:val="005B30B5"/>
    <w:pPr>
      <w:outlineLvl w:val="0"/>
    </w:pPr>
    <w:rPr>
      <w:rFonts w:ascii="Georgia" w:hAnsi="Georgia"/>
      <w:sz w:val="24"/>
      <w:szCs w:val="24"/>
      <w:lang w:val="ro-RO"/>
    </w:rPr>
  </w:style>
  <w:style w:type="paragraph" w:styleId="2">
    <w:name w:val="heading 2"/>
    <w:next w:val="a"/>
    <w:link w:val="20"/>
    <w:uiPriority w:val="9"/>
    <w:semiHidden w:val="1"/>
    <w:unhideWhenUsed w:val="1"/>
    <w:qFormat w:val="1"/>
    <w:locked w:val="1"/>
    <w:rsid w:val="005B30B5"/>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0" w:customStyle="1">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val="1"/>
    <w:locked w:val="1"/>
    <w:rsid w:val="005B30B5"/>
    <w:pPr>
      <w:tabs>
        <w:tab w:val="left" w:pos="7027"/>
        <w:tab w:val="right" w:pos="9689"/>
      </w:tabs>
      <w:spacing w:after="0" w:line="276" w:lineRule="auto"/>
      <w:ind w:left="1036"/>
    </w:pPr>
    <w:rPr>
      <w:rFonts w:ascii="Georgia" w:hAnsi="Georgia"/>
      <w:sz w:val="18"/>
      <w:szCs w:val="18"/>
    </w:rPr>
  </w:style>
  <w:style w:type="character" w:styleId="a4" w:customStyle="1">
    <w:name w:val="Нижний колонтитул Знак"/>
    <w:basedOn w:val="a0"/>
    <w:link w:val="a3"/>
    <w:uiPriority w:val="99"/>
    <w:rsid w:val="005B30B5"/>
    <w:rPr>
      <w:rFonts w:ascii="Georgia" w:hAnsi="Georgia"/>
      <w:sz w:val="18"/>
      <w:szCs w:val="18"/>
    </w:rPr>
  </w:style>
  <w:style w:type="paragraph" w:styleId="Titlustinga" w:customStyle="1">
    <w:name w:val="Titlu stinga"/>
    <w:qFormat w:val="1"/>
    <w:rsid w:val="0068447D"/>
    <w:pPr>
      <w:spacing w:after="560" w:line="252" w:lineRule="auto"/>
      <w:ind w:left="851"/>
    </w:pPr>
    <w:rPr>
      <w:rFonts w:ascii="Georgia" w:hAnsi="Georgia"/>
      <w:b w:val="1"/>
      <w:color w:val="303741"/>
      <w:sz w:val="30"/>
      <w:szCs w:val="30"/>
      <w:lang w:val="ro-RO"/>
    </w:rPr>
  </w:style>
  <w:style w:type="paragraph" w:styleId="Subtitlu1" w:customStyle="1">
    <w:name w:val="Subtitlu1"/>
    <w:qFormat w:val="1"/>
    <w:locked w:val="1"/>
    <w:rsid w:val="005B30B5"/>
    <w:pPr>
      <w:tabs>
        <w:tab w:val="right" w:pos="9072"/>
      </w:tabs>
      <w:spacing w:after="1360" w:line="252" w:lineRule="auto"/>
      <w:ind w:left="1038"/>
      <w:jc w:val="both"/>
    </w:pPr>
    <w:rPr>
      <w:rFonts w:ascii="Georgia" w:hAnsi="Georgia"/>
      <w:b w:val="1"/>
      <w:color w:val="303741"/>
      <w:sz w:val="32"/>
      <w:szCs w:val="32"/>
      <w:lang w:val="ro-RO"/>
    </w:rPr>
  </w:style>
  <w:style w:type="paragraph" w:styleId="body" w:customStyle="1">
    <w:name w:val="body"/>
    <w:basedOn w:val="a"/>
    <w:rsid w:val="009845B0"/>
  </w:style>
  <w:style w:type="paragraph" w:styleId="nr" w:customStyle="1">
    <w:name w:val="nr."/>
    <w:qFormat w:val="1"/>
    <w:rsid w:val="005B30B5"/>
    <w:pPr>
      <w:tabs>
        <w:tab w:val="right" w:pos="9072"/>
      </w:tabs>
      <w:spacing w:after="400" w:line="252" w:lineRule="auto"/>
      <w:jc w:val="right"/>
    </w:pPr>
    <w:rPr>
      <w:rFonts w:ascii="Georgia" w:hAnsi="Georgia"/>
      <w:color w:val="303741"/>
      <w:sz w:val="24"/>
      <w:szCs w:val="24"/>
      <w:lang w:val="ro-RO"/>
    </w:rPr>
  </w:style>
  <w:style w:type="character" w:styleId="linie" w:customStyle="1">
    <w:name w:val="linie"/>
    <w:basedOn w:val="a0"/>
    <w:uiPriority w:val="1"/>
    <w:qFormat w:val="1"/>
    <w:locked w:val="1"/>
    <w:rsid w:val="002C68A5"/>
    <w:rPr>
      <w:sz w:val="16"/>
    </w:rPr>
  </w:style>
  <w:style w:type="paragraph" w:styleId="a5">
    <w:name w:val="header"/>
    <w:link w:val="a6"/>
    <w:uiPriority w:val="99"/>
    <w:unhideWhenUsed w:val="1"/>
    <w:rsid w:val="005B30B5"/>
    <w:pPr>
      <w:tabs>
        <w:tab w:val="center" w:pos="4844"/>
        <w:tab w:val="right" w:pos="9689"/>
      </w:tabs>
      <w:spacing w:after="0" w:line="240" w:lineRule="auto"/>
    </w:pPr>
  </w:style>
  <w:style w:type="character" w:styleId="a6" w:customStyle="1">
    <w:name w:val="Верхний колонтитул Знак"/>
    <w:basedOn w:val="a0"/>
    <w:link w:val="a5"/>
    <w:uiPriority w:val="99"/>
    <w:rsid w:val="005B30B5"/>
  </w:style>
  <w:style w:type="paragraph" w:styleId="Titlucentru" w:customStyle="1">
    <w:name w:val="Titlu centru"/>
    <w:next w:val="body"/>
    <w:rsid w:val="0068447D"/>
    <w:pPr>
      <w:spacing w:after="240"/>
      <w:jc w:val="center"/>
    </w:pPr>
    <w:rPr>
      <w:rFonts w:ascii="Georgia" w:hAnsi="Georgia"/>
      <w:b w:val="1"/>
      <w:color w:val="303741"/>
      <w:sz w:val="30"/>
      <w:szCs w:val="30"/>
      <w:lang w:val="ro-RO"/>
    </w:rPr>
  </w:style>
  <w:style w:type="character" w:styleId="20" w:customStyle="1">
    <w:name w:val="Заголовок 2 Знак"/>
    <w:basedOn w:val="a0"/>
    <w:link w:val="2"/>
    <w:uiPriority w:val="9"/>
    <w:semiHidden w:val="1"/>
    <w:rsid w:val="005B30B5"/>
    <w:rPr>
      <w:rFonts w:asciiTheme="majorHAnsi" w:cstheme="majorBidi" w:eastAsiaTheme="majorEastAsia" w:hAnsiTheme="majorHAnsi"/>
      <w:color w:val="2e74b5" w:themeColor="accent1" w:themeShade="0000BF"/>
      <w:sz w:val="26"/>
      <w:szCs w:val="26"/>
    </w:rPr>
  </w:style>
  <w:style w:type="paragraph" w:styleId="a7">
    <w:name w:val="List Paragraph"/>
    <w:basedOn w:val="a"/>
    <w:uiPriority w:val="34"/>
    <w:qFormat w:val="1"/>
    <w:locked w:val="1"/>
    <w:rsid w:val="008123BE"/>
    <w:pPr>
      <w:ind w:left="720"/>
      <w:contextualSpacing w:val="1"/>
    </w:pPr>
  </w:style>
  <w:style w:type="character" w:styleId="a8">
    <w:name w:val="annotation reference"/>
    <w:basedOn w:val="a0"/>
    <w:uiPriority w:val="99"/>
    <w:semiHidden w:val="1"/>
    <w:unhideWhenUsed w:val="1"/>
    <w:locked w:val="1"/>
    <w:rsid w:val="008A1479"/>
    <w:rPr>
      <w:sz w:val="16"/>
      <w:szCs w:val="16"/>
    </w:rPr>
  </w:style>
  <w:style w:type="paragraph" w:styleId="a9">
    <w:name w:val="annotation text"/>
    <w:basedOn w:val="a"/>
    <w:link w:val="aa"/>
    <w:uiPriority w:val="99"/>
    <w:semiHidden w:val="1"/>
    <w:unhideWhenUsed w:val="1"/>
    <w:locked w:val="1"/>
    <w:rsid w:val="008A1479"/>
    <w:pPr>
      <w:spacing w:line="240" w:lineRule="auto"/>
    </w:pPr>
    <w:rPr>
      <w:sz w:val="20"/>
      <w:szCs w:val="20"/>
    </w:rPr>
  </w:style>
  <w:style w:type="character" w:styleId="aa" w:customStyle="1">
    <w:name w:val="Текст примечания Знак"/>
    <w:basedOn w:val="a0"/>
    <w:link w:val="a9"/>
    <w:uiPriority w:val="99"/>
    <w:semiHidden w:val="1"/>
    <w:rsid w:val="008A1479"/>
    <w:rPr>
      <w:rFonts w:ascii="Georgia" w:hAnsi="Georgia"/>
      <w:sz w:val="20"/>
      <w:szCs w:val="20"/>
      <w:lang w:val="ro-RO"/>
    </w:rPr>
  </w:style>
  <w:style w:type="paragraph" w:styleId="ab">
    <w:name w:val="annotation subject"/>
    <w:basedOn w:val="a9"/>
    <w:next w:val="a9"/>
    <w:link w:val="ac"/>
    <w:uiPriority w:val="99"/>
    <w:semiHidden w:val="1"/>
    <w:unhideWhenUsed w:val="1"/>
    <w:locked w:val="1"/>
    <w:rsid w:val="008A1479"/>
    <w:rPr>
      <w:b w:val="1"/>
      <w:bCs w:val="1"/>
    </w:rPr>
  </w:style>
  <w:style w:type="character" w:styleId="ac" w:customStyle="1">
    <w:name w:val="Тема примечания Знак"/>
    <w:basedOn w:val="aa"/>
    <w:link w:val="ab"/>
    <w:uiPriority w:val="99"/>
    <w:semiHidden w:val="1"/>
    <w:rsid w:val="008A1479"/>
    <w:rPr>
      <w:rFonts w:ascii="Georgia" w:hAnsi="Georgia"/>
      <w:b w:val="1"/>
      <w:bCs w:val="1"/>
      <w:sz w:val="20"/>
      <w:szCs w:val="20"/>
      <w:lang w:val="ro-RO"/>
    </w:rPr>
  </w:style>
  <w:style w:type="paragraph" w:styleId="ad">
    <w:name w:val="Balloon Text"/>
    <w:basedOn w:val="a"/>
    <w:link w:val="ae"/>
    <w:uiPriority w:val="99"/>
    <w:semiHidden w:val="1"/>
    <w:unhideWhenUsed w:val="1"/>
    <w:locked w:val="1"/>
    <w:rsid w:val="005C4F63"/>
    <w:pPr>
      <w:spacing w:after="0" w:line="240" w:lineRule="auto"/>
    </w:pPr>
    <w:rPr>
      <w:rFonts w:ascii="Segoe UI" w:cs="Segoe UI" w:hAnsi="Segoe UI"/>
      <w:sz w:val="18"/>
      <w:szCs w:val="18"/>
    </w:rPr>
  </w:style>
  <w:style w:type="character" w:styleId="ae" w:customStyle="1">
    <w:name w:val="Текст выноски Знак"/>
    <w:basedOn w:val="a0"/>
    <w:link w:val="ad"/>
    <w:uiPriority w:val="99"/>
    <w:semiHidden w:val="1"/>
    <w:rsid w:val="005C4F63"/>
    <w:rPr>
      <w:rFonts w:ascii="Segoe UI" w:cs="Segoe UI" w:hAnsi="Segoe UI"/>
      <w:sz w:val="18"/>
      <w:szCs w:val="18"/>
      <w:lang w:val="ro-RO"/>
    </w:rPr>
  </w:style>
  <w:style w:type="paragraph" w:styleId="af">
    <w:name w:val="Normal (Web)"/>
    <w:basedOn w:val="a"/>
    <w:uiPriority w:val="99"/>
    <w:semiHidden w:val="1"/>
    <w:unhideWhenUsed w:val="1"/>
    <w:locked w:val="1"/>
    <w:rsid w:val="00DC018C"/>
    <w:rPr>
      <w:rFonts w:ascii="Times New Roman" w:cs="Times New Roman" w:hAnsi="Times New Roma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image" Target="media/image3.png"/><Relationship Id="rId6" Type="http://schemas.openxmlformats.org/officeDocument/2006/relationships/customXml" Target="../customXML/item1.xml"/><Relationship Id="rId5" Type="http://schemas.openxmlformats.org/officeDocument/2006/relationships/styles" Target="styles.xml"/><Relationship Id="rId10"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footer" Target="footer2.xml"/><Relationship Id="rId14"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Fi65awpKZI8XZ99pZgBibhRTE4w==">AMUW2mWoTSW0ClACQ88cNqNNKNs3vaISQGLhCXg0afbEeh61O/cEu7cTPaiV+ivWakyUcV6buy8Q+XEAnvDKMeoruJDBLkvkdMnvbWzPKn5AaouCnWwlPvSE6uLir33JHZo2k7h6Usq4ZNqNrxkbCzDE766PhqcSGQNwCihu8IM3L7ykFT3/0cl2l3bU+Fcl2pbcOmRKwGxq</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BE1E25-1829-4DFD-AD50-B3D451B26985}"/>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A97B7483-9A48-4A16-95BD-94175CB055FE}"/>
</file>

<file path=customXML/itemProps4.xml><?xml version="1.0" encoding="utf-8"?>
<ds:datastoreItem xmlns:ds="http://schemas.openxmlformats.org/officeDocument/2006/customXml" ds:itemID="{41FD6A3D-84E9-4EF6-AD89-B0A096D70E1A}"/>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441.2022.ro</dc:title>
  <dc:creator>Sorin</dc:creator>
  <dcterms:created xsi:type="dcterms:W3CDTF">2021-11-02T09:34:00Z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