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ettings.xml" ContentType="application/vnd.openxmlformats-officedocument.wordprocessingml.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sz w:val="34"/>
        </w:rPr>
      </w:pPr>
    </w:p>
    <w:p>
      <w:pPr>
        <w:pStyle w:val="BodyText"/>
        <w:rPr>
          <w:sz w:val="34"/>
        </w:rPr>
      </w:pPr>
    </w:p>
    <w:p>
      <w:pPr>
        <w:pStyle w:val="BodyText"/>
        <w:rPr>
          <w:sz w:val="34"/>
        </w:rPr>
      </w:pPr>
    </w:p>
    <w:p>
      <w:pPr>
        <w:spacing w:line="254" w:lineRule="auto" w:before="269"/>
        <w:ind w:left="1103" w:right="19" w:firstLine="0"/>
        <w:jc w:val="left"/>
        <w:rPr>
          <w:rFonts w:ascii="Georgia" w:hAnsi="Georgia"/>
          <w:b/>
          <w:sz w:val="30"/>
        </w:rPr>
      </w:pPr>
      <w:r>
        <w:rPr/>
        <w:drawing>
          <wp:anchor distT="0" distB="0" distL="0" distR="0" allowOverlap="1" layoutInCell="1" locked="0" behindDoc="0" simplePos="0" relativeHeight="1048">
            <wp:simplePos x="0" y="0"/>
            <wp:positionH relativeFrom="page">
              <wp:posOffset>451167</wp:posOffset>
            </wp:positionH>
            <wp:positionV relativeFrom="paragraph">
              <wp:posOffset>-572530</wp:posOffset>
            </wp:positionV>
            <wp:extent cx="352955" cy="428625"/>
            <wp:effectExtent l="0" t="0" r="0" b="0"/>
            <wp:wrapNone/>
            <wp:docPr id="1" name="image1.png" descr=""/>
            <wp:cNvGraphicFramePr>
              <a:graphicFrameLocks noChangeAspect="1"/>
            </wp:cNvGraphicFramePr>
            <a:graphic>
              <a:graphicData uri="http://schemas.openxmlformats.org/drawingml/2006/picture">
                <pic:pic>
                  <pic:nvPicPr>
                    <pic:cNvPr id="2" name="image1.png"/>
                    <pic:cNvPicPr/>
                  </pic:nvPicPr>
                  <pic:blipFill>
                    <a:blip r:embed="rId5" cstate="print"/>
                    <a:stretch>
                      <a:fillRect/>
                    </a:stretch>
                  </pic:blipFill>
                  <pic:spPr>
                    <a:xfrm>
                      <a:off x="0" y="0"/>
                      <a:ext cx="352955" cy="428625"/>
                    </a:xfrm>
                    <a:prstGeom prst="rect">
                      <a:avLst/>
                    </a:prstGeom>
                  </pic:spPr>
                </pic:pic>
              </a:graphicData>
            </a:graphic>
          </wp:anchor>
        </w:drawing>
      </w:r>
      <w:r>
        <w:rPr/>
        <w:drawing>
          <wp:anchor distT="0" distB="0" distL="0" distR="0" allowOverlap="1" layoutInCell="1" locked="0" behindDoc="0" simplePos="0" relativeHeight="1072">
            <wp:simplePos x="0" y="0"/>
            <wp:positionH relativeFrom="page">
              <wp:posOffset>1088144</wp:posOffset>
            </wp:positionH>
            <wp:positionV relativeFrom="paragraph">
              <wp:posOffset>-300350</wp:posOffset>
            </wp:positionV>
            <wp:extent cx="1156638" cy="276225"/>
            <wp:effectExtent l="0" t="0" r="0" b="0"/>
            <wp:wrapNone/>
            <wp:docPr id="3" name="image2.png" descr=""/>
            <wp:cNvGraphicFramePr>
              <a:graphicFrameLocks noChangeAspect="1"/>
            </wp:cNvGraphicFramePr>
            <a:graphic>
              <a:graphicData uri="http://schemas.openxmlformats.org/drawingml/2006/picture">
                <pic:pic>
                  <pic:nvPicPr>
                    <pic:cNvPr id="4" name="image2.png"/>
                    <pic:cNvPicPr/>
                  </pic:nvPicPr>
                  <pic:blipFill>
                    <a:blip r:embed="rId6" cstate="print"/>
                    <a:stretch>
                      <a:fillRect/>
                    </a:stretch>
                  </pic:blipFill>
                  <pic:spPr>
                    <a:xfrm>
                      <a:off x="0" y="0"/>
                      <a:ext cx="1156638" cy="276225"/>
                    </a:xfrm>
                    <a:prstGeom prst="rect">
                      <a:avLst/>
                    </a:prstGeom>
                  </pic:spPr>
                </pic:pic>
              </a:graphicData>
            </a:graphic>
          </wp:anchor>
        </w:drawing>
      </w:r>
      <w:r>
        <w:rPr/>
        <w:drawing>
          <wp:anchor distT="0" distB="0" distL="0" distR="0" allowOverlap="1" layoutInCell="1" locked="0" behindDoc="0" simplePos="0" relativeHeight="1096">
            <wp:simplePos x="0" y="0"/>
            <wp:positionH relativeFrom="page">
              <wp:posOffset>1100063</wp:posOffset>
            </wp:positionH>
            <wp:positionV relativeFrom="paragraph">
              <wp:posOffset>-572540</wp:posOffset>
            </wp:positionV>
            <wp:extent cx="714515" cy="223837"/>
            <wp:effectExtent l="0" t="0" r="0" b="0"/>
            <wp:wrapNone/>
            <wp:docPr id="5" name="image3.png" descr=""/>
            <wp:cNvGraphicFramePr>
              <a:graphicFrameLocks noChangeAspect="1"/>
            </wp:cNvGraphicFramePr>
            <a:graphic>
              <a:graphicData uri="http://schemas.openxmlformats.org/drawingml/2006/picture">
                <pic:pic>
                  <pic:nvPicPr>
                    <pic:cNvPr id="6" name="image3.png"/>
                    <pic:cNvPicPr/>
                  </pic:nvPicPr>
                  <pic:blipFill>
                    <a:blip r:embed="rId7" cstate="print"/>
                    <a:stretch>
                      <a:fillRect/>
                    </a:stretch>
                  </pic:blipFill>
                  <pic:spPr>
                    <a:xfrm>
                      <a:off x="0" y="0"/>
                      <a:ext cx="714515" cy="223837"/>
                    </a:xfrm>
                    <a:prstGeom prst="rect">
                      <a:avLst/>
                    </a:prstGeom>
                  </pic:spPr>
                </pic:pic>
              </a:graphicData>
            </a:graphic>
          </wp:anchor>
        </w:drawing>
      </w:r>
      <w:r>
        <w:rPr/>
        <w:pict>
          <v:line style="position:absolute;mso-position-horizontal-relative:page;mso-position-vertical-relative:paragraph;z-index:1120" from="72.578621pt,-46.733311pt" to="72.578621pt,-2.107048pt" stroked="true" strokeweight=".375417pt" strokecolor="#2f3741">
            <v:stroke dashstyle="solid"/>
            <w10:wrap type="none"/>
          </v:line>
        </w:pict>
      </w:r>
      <w:bookmarkStart w:name="Antet deputat (2)" w:id="1"/>
      <w:bookmarkEnd w:id="1"/>
      <w:r>
        <w:rPr/>
      </w:r>
      <w:r>
        <w:rPr>
          <w:rFonts w:ascii="Georgia" w:hAnsi="Georgia"/>
          <w:b/>
          <w:color w:val="2F3741"/>
          <w:sz w:val="30"/>
        </w:rPr>
        <w:t>Deputat în Parlamentul Republicii Moldova</w:t>
      </w:r>
    </w:p>
    <w:p>
      <w:pPr>
        <w:spacing w:before="81"/>
        <w:ind w:left="676" w:right="0" w:firstLine="0"/>
        <w:jc w:val="left"/>
        <w:rPr>
          <w:rFonts w:ascii="Georgia"/>
          <w:b/>
          <w:sz w:val="24"/>
        </w:rPr>
      </w:pPr>
      <w:r>
        <w:rPr/>
        <w:br w:type="column"/>
      </w:r>
      <w:r>
        <w:rPr>
          <w:rFonts w:ascii="Georgia"/>
          <w:b/>
          <w:color w:val="2F3741"/>
          <w:sz w:val="24"/>
        </w:rPr>
        <w:t>NC  </w:t>
      </w:r>
      <w:r>
        <w:rPr>
          <w:rFonts w:ascii="Georgia"/>
          <w:color w:val="2F3741"/>
          <w:sz w:val="24"/>
        </w:rPr>
        <w:t>nr.</w:t>
      </w:r>
      <w:r>
        <w:rPr>
          <w:rFonts w:ascii="Georgia"/>
          <w:color w:val="2F3741"/>
          <w:spacing w:val="-6"/>
          <w:sz w:val="24"/>
        </w:rPr>
        <w:t> </w:t>
      </w:r>
      <w:r>
        <w:rPr>
          <w:rFonts w:ascii="Georgia"/>
          <w:b/>
          <w:color w:val="2F3741"/>
          <w:sz w:val="24"/>
        </w:rPr>
        <w:t>19</w:t>
      </w:r>
    </w:p>
    <w:p>
      <w:pPr>
        <w:spacing w:before="174"/>
        <w:ind w:left="110" w:right="0" w:firstLine="0"/>
        <w:jc w:val="left"/>
        <w:rPr>
          <w:rFonts w:ascii="Georgia"/>
          <w:b/>
          <w:sz w:val="24"/>
        </w:rPr>
      </w:pPr>
      <w:r>
        <w:rPr>
          <w:rFonts w:ascii="Georgia"/>
          <w:b/>
          <w:color w:val="2F3741"/>
          <w:sz w:val="24"/>
        </w:rPr>
        <w:t>07 Iulie</w:t>
      </w:r>
      <w:r>
        <w:rPr>
          <w:rFonts w:ascii="Georgia"/>
          <w:b/>
          <w:color w:val="2F3741"/>
          <w:spacing w:val="53"/>
          <w:sz w:val="24"/>
        </w:rPr>
        <w:t> </w:t>
      </w:r>
      <w:r>
        <w:rPr>
          <w:rFonts w:ascii="Georgia"/>
          <w:b/>
          <w:color w:val="2F3741"/>
          <w:sz w:val="24"/>
        </w:rPr>
        <w:t>2020</w:t>
      </w:r>
    </w:p>
    <w:p>
      <w:pPr>
        <w:spacing w:after="0"/>
        <w:jc w:val="left"/>
        <w:rPr>
          <w:rFonts w:ascii="Georgia"/>
          <w:sz w:val="24"/>
        </w:rPr>
        <w:sectPr>
          <w:type w:val="continuous"/>
          <w:pgSz w:w="11910" w:h="16840"/>
          <w:pgMar w:top="580" w:bottom="280" w:left="600" w:right="440"/>
          <w:cols w:num="2" w:equalWidth="0">
            <w:col w:w="4783" w:space="3621"/>
            <w:col w:w="2466"/>
          </w:cols>
        </w:sectPr>
      </w:pPr>
    </w:p>
    <w:p>
      <w:pPr>
        <w:pStyle w:val="BodyText"/>
        <w:rPr>
          <w:rFonts w:ascii="Georgia"/>
          <w:b/>
          <w:sz w:val="20"/>
        </w:rPr>
      </w:pPr>
    </w:p>
    <w:p>
      <w:pPr>
        <w:pStyle w:val="BodyText"/>
        <w:rPr>
          <w:rFonts w:ascii="Georgia"/>
          <w:b/>
          <w:sz w:val="20"/>
        </w:rPr>
      </w:pPr>
    </w:p>
    <w:p>
      <w:pPr>
        <w:pStyle w:val="BodyText"/>
        <w:rPr>
          <w:rFonts w:ascii="Georgia"/>
          <w:b/>
          <w:sz w:val="20"/>
        </w:rPr>
      </w:pPr>
    </w:p>
    <w:p>
      <w:pPr>
        <w:pStyle w:val="BodyText"/>
        <w:rPr>
          <w:rFonts w:ascii="Georgia"/>
          <w:b/>
          <w:sz w:val="20"/>
        </w:rPr>
      </w:pPr>
    </w:p>
    <w:p>
      <w:pPr>
        <w:pStyle w:val="BodyText"/>
        <w:rPr>
          <w:rFonts w:ascii="Georgia"/>
          <w:b/>
          <w:sz w:val="20"/>
        </w:rPr>
      </w:pPr>
    </w:p>
    <w:p>
      <w:pPr>
        <w:pStyle w:val="BodyText"/>
        <w:spacing w:before="9"/>
        <w:rPr>
          <w:rFonts w:ascii="Georgia"/>
          <w:b/>
          <w:sz w:val="25"/>
        </w:rPr>
      </w:pPr>
    </w:p>
    <w:p>
      <w:pPr>
        <w:pStyle w:val="Heading1"/>
        <w:spacing w:line="242" w:lineRule="auto" w:before="89"/>
        <w:ind w:left="6134" w:right="562" w:firstLine="1655"/>
      </w:pPr>
      <w:r>
        <w:rPr/>
        <w:t>Biroul permanent al Parlamentului Republicii Moldova</w:t>
      </w:r>
    </w:p>
    <w:p>
      <w:pPr>
        <w:pStyle w:val="BodyText"/>
        <w:rPr>
          <w:b/>
          <w:sz w:val="30"/>
        </w:rPr>
      </w:pPr>
    </w:p>
    <w:p>
      <w:pPr>
        <w:pStyle w:val="BodyText"/>
        <w:rPr>
          <w:b/>
          <w:sz w:val="30"/>
        </w:rPr>
      </w:pPr>
    </w:p>
    <w:p>
      <w:pPr>
        <w:pStyle w:val="BodyText"/>
        <w:spacing w:before="5"/>
        <w:rPr>
          <w:b/>
          <w:sz w:val="23"/>
        </w:rPr>
      </w:pPr>
    </w:p>
    <w:p>
      <w:pPr>
        <w:pStyle w:val="BodyText"/>
        <w:ind w:left="252" w:right="577" w:firstLine="719"/>
        <w:jc w:val="both"/>
      </w:pPr>
      <w:r>
        <w:rPr/>
        <w:t>În temeiul art. 73 al Constituției Republicii Moldova și art. 47 din Regulamentul Parlamentului     </w:t>
      </w:r>
      <w:r>
        <w:rPr>
          <w:rFonts w:ascii="Georgia" w:hAnsi="Georgia"/>
        </w:rPr>
        <w:t>se     </w:t>
      </w:r>
      <w:r>
        <w:rPr/>
        <w:t>înaintează     spre      examinare      Parlamentului,      cu      titlu  de initiativă legislativă, proiectul de Lege cu privire la modificarea și completarea Legii privind</w:t>
      </w:r>
      <w:r>
        <w:rPr>
          <w:spacing w:val="-8"/>
        </w:rPr>
        <w:t> </w:t>
      </w:r>
      <w:r>
        <w:rPr/>
        <w:t>asigurarea</w:t>
      </w:r>
      <w:r>
        <w:rPr>
          <w:spacing w:val="-11"/>
        </w:rPr>
        <w:t> </w:t>
      </w:r>
      <w:r>
        <w:rPr/>
        <w:t>subvenţionată</w:t>
      </w:r>
      <w:r>
        <w:rPr>
          <w:spacing w:val="-9"/>
        </w:rPr>
        <w:t> </w:t>
      </w:r>
      <w:r>
        <w:rPr/>
        <w:t>a</w:t>
      </w:r>
      <w:r>
        <w:rPr>
          <w:spacing w:val="-9"/>
        </w:rPr>
        <w:t> </w:t>
      </w:r>
      <w:r>
        <w:rPr/>
        <w:t>riscurilor</w:t>
      </w:r>
      <w:r>
        <w:rPr>
          <w:spacing w:val="-9"/>
        </w:rPr>
        <w:t> </w:t>
      </w:r>
      <w:r>
        <w:rPr/>
        <w:t>de</w:t>
      </w:r>
      <w:r>
        <w:rPr>
          <w:spacing w:val="-10"/>
        </w:rPr>
        <w:t> </w:t>
      </w:r>
      <w:r>
        <w:rPr/>
        <w:t>producţie</w:t>
      </w:r>
      <w:r>
        <w:rPr>
          <w:spacing w:val="-11"/>
        </w:rPr>
        <w:t> </w:t>
      </w:r>
      <w:r>
        <w:rPr/>
        <w:t>în</w:t>
      </w:r>
      <w:r>
        <w:rPr>
          <w:spacing w:val="-8"/>
        </w:rPr>
        <w:t> </w:t>
      </w:r>
      <w:r>
        <w:rPr/>
        <w:t>agricultură</w:t>
      </w:r>
      <w:r>
        <w:rPr>
          <w:spacing w:val="-9"/>
        </w:rPr>
        <w:t> </w:t>
      </w:r>
      <w:r>
        <w:rPr/>
        <w:t>nr.</w:t>
      </w:r>
      <w:r>
        <w:rPr>
          <w:spacing w:val="-10"/>
        </w:rPr>
        <w:t> </w:t>
      </w:r>
      <w:r>
        <w:rPr/>
        <w:t>243-XV</w:t>
      </w:r>
      <w:r>
        <w:rPr>
          <w:spacing w:val="-10"/>
        </w:rPr>
        <w:t> </w:t>
      </w:r>
      <w:r>
        <w:rPr/>
        <w:t>din</w:t>
      </w:r>
      <w:r>
        <w:rPr>
          <w:spacing w:val="-9"/>
        </w:rPr>
        <w:t> </w:t>
      </w:r>
      <w:r>
        <w:rPr/>
        <w:t>08 iulie</w:t>
      </w:r>
      <w:r>
        <w:rPr>
          <w:spacing w:val="-1"/>
        </w:rPr>
        <w:t> </w:t>
      </w:r>
      <w:r>
        <w:rPr/>
        <w:t>2004.</w:t>
      </w:r>
    </w:p>
    <w:p>
      <w:pPr>
        <w:pStyle w:val="BodyText"/>
        <w:rPr>
          <w:sz w:val="30"/>
        </w:rPr>
      </w:pPr>
    </w:p>
    <w:p>
      <w:pPr>
        <w:pStyle w:val="BodyText"/>
        <w:rPr>
          <w:sz w:val="30"/>
        </w:rPr>
      </w:pPr>
    </w:p>
    <w:p>
      <w:pPr>
        <w:pStyle w:val="BodyText"/>
        <w:spacing w:before="6"/>
        <w:rPr>
          <w:sz w:val="34"/>
        </w:rPr>
      </w:pPr>
    </w:p>
    <w:p>
      <w:pPr>
        <w:spacing w:line="322" w:lineRule="exact" w:before="0"/>
        <w:ind w:left="971" w:right="0" w:firstLine="0"/>
        <w:jc w:val="left"/>
        <w:rPr>
          <w:sz w:val="28"/>
        </w:rPr>
      </w:pPr>
      <w:r>
        <w:rPr>
          <w:b/>
          <w:sz w:val="28"/>
        </w:rPr>
        <w:t>Anexă: </w:t>
      </w:r>
      <w:r>
        <w:rPr>
          <w:sz w:val="28"/>
        </w:rPr>
        <w:t>1. Proiectul de lege;</w:t>
      </w:r>
    </w:p>
    <w:p>
      <w:pPr>
        <w:pStyle w:val="BodyText"/>
        <w:spacing w:line="322" w:lineRule="exact"/>
        <w:ind w:left="1615"/>
      </w:pPr>
      <w:r>
        <w:rPr/>
        <w:t>2. Nota informativă la proiectul de lege.</w:t>
      </w:r>
    </w:p>
    <w:p>
      <w:pPr>
        <w:pStyle w:val="BodyText"/>
        <w:rPr>
          <w:sz w:val="30"/>
        </w:rPr>
      </w:pPr>
    </w:p>
    <w:p>
      <w:pPr>
        <w:pStyle w:val="BodyText"/>
        <w:rPr>
          <w:sz w:val="30"/>
        </w:rPr>
      </w:pPr>
    </w:p>
    <w:p>
      <w:pPr>
        <w:pStyle w:val="BodyText"/>
        <w:rPr>
          <w:sz w:val="30"/>
        </w:rPr>
      </w:pPr>
    </w:p>
    <w:p>
      <w:pPr>
        <w:pStyle w:val="Heading1"/>
        <w:spacing w:before="253"/>
        <w:ind w:left="971" w:right="7281"/>
      </w:pPr>
      <w:r>
        <w:rPr/>
        <w:t>Nicolae CIUBUC Deputat în Parlament</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8"/>
        <w:rPr>
          <w:b/>
          <w:sz w:val="29"/>
        </w:rPr>
      </w:pPr>
      <w:r>
        <w:rPr/>
        <w:pict>
          <v:line style="position:absolute;mso-position-horizontal-relative:page;mso-position-vertical-relative:paragraph;z-index:-1024;mso-wrap-distance-left:0;mso-wrap-distance-right:0" from="85.850098pt,19.46887pt" to="536.600098pt,19.46887pt" stroked="true" strokeweight=".75pt" strokecolor="#7e7e7e">
            <v:stroke dashstyle="solid"/>
            <w10:wrap type="topAndBottom"/>
          </v:line>
        </w:pict>
      </w:r>
    </w:p>
    <w:p>
      <w:pPr>
        <w:tabs>
          <w:tab w:pos="8519" w:val="left" w:leader="none"/>
        </w:tabs>
        <w:spacing w:before="156"/>
        <w:ind w:left="1104" w:right="0" w:firstLine="0"/>
        <w:jc w:val="left"/>
        <w:rPr>
          <w:rFonts w:ascii="Georgia" w:hAnsi="Georgia"/>
          <w:sz w:val="18"/>
        </w:rPr>
      </w:pPr>
      <w:r>
        <w:rPr>
          <w:rFonts w:ascii="Georgia" w:hAnsi="Georgia"/>
          <w:sz w:val="18"/>
        </w:rPr>
        <w:t>Republica Moldova,</w:t>
      </w:r>
      <w:r>
        <w:rPr>
          <w:rFonts w:ascii="Georgia" w:hAnsi="Georgia"/>
          <w:spacing w:val="-6"/>
          <w:sz w:val="18"/>
        </w:rPr>
        <w:t> </w:t>
      </w:r>
      <w:r>
        <w:rPr>
          <w:rFonts w:ascii="Georgia" w:hAnsi="Georgia"/>
          <w:sz w:val="18"/>
        </w:rPr>
        <w:t>MD-2004,</w:t>
      </w:r>
      <w:r>
        <w:rPr>
          <w:rFonts w:ascii="Georgia" w:hAnsi="Georgia"/>
          <w:spacing w:val="-5"/>
          <w:sz w:val="18"/>
        </w:rPr>
        <w:t> </w:t>
      </w:r>
      <w:r>
        <w:rPr>
          <w:rFonts w:ascii="Georgia" w:hAnsi="Georgia"/>
          <w:sz w:val="18"/>
        </w:rPr>
        <w:t>Chişinău</w:t>
        <w:tab/>
      </w:r>
      <w:hyperlink r:id="rId8">
        <w:r>
          <w:rPr>
            <w:rFonts w:ascii="Georgia" w:hAnsi="Georgia"/>
            <w:sz w:val="18"/>
          </w:rPr>
          <w:t>info@parlament.md</w:t>
        </w:r>
      </w:hyperlink>
    </w:p>
    <w:p>
      <w:pPr>
        <w:tabs>
          <w:tab w:pos="8553" w:val="left" w:leader="none"/>
        </w:tabs>
        <w:spacing w:before="31"/>
        <w:ind w:left="1104" w:right="0" w:firstLine="0"/>
        <w:jc w:val="left"/>
        <w:rPr>
          <w:rFonts w:ascii="Georgia" w:hAnsi="Georgia"/>
          <w:sz w:val="18"/>
        </w:rPr>
      </w:pPr>
      <w:r>
        <w:rPr>
          <w:rFonts w:ascii="Georgia" w:hAnsi="Georgia"/>
          <w:sz w:val="18"/>
        </w:rPr>
        <w:t>Bd. Ştefan cel Mare şi</w:t>
      </w:r>
      <w:r>
        <w:rPr>
          <w:rFonts w:ascii="Georgia" w:hAnsi="Georgia"/>
          <w:spacing w:val="-9"/>
          <w:sz w:val="18"/>
        </w:rPr>
        <w:t> </w:t>
      </w:r>
      <w:r>
        <w:rPr>
          <w:rFonts w:ascii="Georgia" w:hAnsi="Georgia"/>
          <w:sz w:val="18"/>
        </w:rPr>
        <w:t>Sfânt 105</w:t>
        <w:tab/>
      </w:r>
      <w:hyperlink r:id="rId9">
        <w:r>
          <w:rPr>
            <w:rFonts w:ascii="Georgia" w:hAnsi="Georgia"/>
            <w:sz w:val="18"/>
          </w:rPr>
          <w:t>www.parlament.md</w:t>
        </w:r>
      </w:hyperlink>
    </w:p>
    <w:p>
      <w:pPr>
        <w:spacing w:after="0"/>
        <w:jc w:val="left"/>
        <w:rPr>
          <w:rFonts w:ascii="Georgia" w:hAnsi="Georgia"/>
          <w:sz w:val="18"/>
        </w:rPr>
        <w:sectPr>
          <w:type w:val="continuous"/>
          <w:pgSz w:w="11910" w:h="16840"/>
          <w:pgMar w:top="580" w:bottom="280" w:left="600" w:right="440"/>
        </w:sectPr>
      </w:pPr>
    </w:p>
    <w:p>
      <w:pPr>
        <w:spacing w:before="65"/>
        <w:ind w:left="0" w:right="124" w:firstLine="0"/>
        <w:jc w:val="right"/>
        <w:rPr>
          <w:sz w:val="22"/>
        </w:rPr>
      </w:pPr>
      <w:bookmarkStart w:name="proiect de lege pentru modifcarea legii " w:id="2"/>
      <w:bookmarkEnd w:id="2"/>
      <w:r>
        <w:rPr/>
      </w:r>
      <w:r>
        <w:rPr>
          <w:sz w:val="22"/>
        </w:rPr>
        <w:t>Proiect</w:t>
      </w:r>
    </w:p>
    <w:p>
      <w:pPr>
        <w:pStyle w:val="BodyText"/>
        <w:spacing w:before="11"/>
        <w:rPr>
          <w:sz w:val="21"/>
        </w:rPr>
      </w:pPr>
    </w:p>
    <w:p>
      <w:pPr>
        <w:pStyle w:val="Heading1"/>
        <w:ind w:left="5318" w:right="2397" w:hanging="2357"/>
      </w:pPr>
      <w:r>
        <w:rPr/>
        <w:t>PARLAMENTUL REPUBLICII MOLDOVA LEGE</w:t>
      </w:r>
    </w:p>
    <w:p>
      <w:pPr>
        <w:spacing w:before="1"/>
        <w:ind w:left="1775" w:right="291" w:hanging="922"/>
        <w:jc w:val="left"/>
        <w:rPr>
          <w:b/>
          <w:sz w:val="28"/>
        </w:rPr>
      </w:pPr>
      <w:r>
        <w:rPr>
          <w:b/>
          <w:sz w:val="28"/>
        </w:rPr>
        <w:t>cu privire la modificarea și completarea Legii privind asigurarea subvenţionată a riscurilor de producţie în agricultură nr. 243-XV din 08 iulie 2004</w:t>
      </w:r>
    </w:p>
    <w:p>
      <w:pPr>
        <w:pStyle w:val="BodyText"/>
        <w:spacing w:before="10"/>
        <w:rPr>
          <w:b/>
          <w:sz w:val="27"/>
        </w:rPr>
      </w:pPr>
    </w:p>
    <w:p>
      <w:pPr>
        <w:pStyle w:val="BodyText"/>
        <w:spacing w:before="1"/>
        <w:ind w:left="675" w:right="123"/>
        <w:jc w:val="both"/>
      </w:pPr>
      <w:r>
        <w:rPr>
          <w:b/>
        </w:rPr>
        <w:t>Articol unic. </w:t>
      </w:r>
      <w:r>
        <w:rPr/>
        <w:t>Legea nr. 243-XV din 08 iulie 2004 privind la asigurarea riscurilor de producție</w:t>
      </w:r>
      <w:r>
        <w:rPr>
          <w:spacing w:val="-7"/>
        </w:rPr>
        <w:t> </w:t>
      </w:r>
      <w:r>
        <w:rPr/>
        <w:t>în</w:t>
      </w:r>
      <w:r>
        <w:rPr>
          <w:spacing w:val="-5"/>
        </w:rPr>
        <w:t> </w:t>
      </w:r>
      <w:r>
        <w:rPr/>
        <w:t>agricultură</w:t>
      </w:r>
      <w:r>
        <w:rPr>
          <w:spacing w:val="-7"/>
        </w:rPr>
        <w:t> </w:t>
      </w:r>
      <w:r>
        <w:rPr/>
        <w:t>(Monitorul</w:t>
      </w:r>
      <w:r>
        <w:rPr>
          <w:spacing w:val="-4"/>
        </w:rPr>
        <w:t> </w:t>
      </w:r>
      <w:r>
        <w:rPr/>
        <w:t>Oficial,</w:t>
      </w:r>
      <w:r>
        <w:rPr>
          <w:spacing w:val="-9"/>
        </w:rPr>
        <w:t> </w:t>
      </w:r>
      <w:r>
        <w:rPr/>
        <w:t>2004,</w:t>
      </w:r>
      <w:r>
        <w:rPr>
          <w:spacing w:val="-7"/>
        </w:rPr>
        <w:t> </w:t>
      </w:r>
      <w:r>
        <w:rPr/>
        <w:t>nr.</w:t>
      </w:r>
      <w:r>
        <w:rPr>
          <w:spacing w:val="-6"/>
        </w:rPr>
        <w:t> </w:t>
      </w:r>
      <w:r>
        <w:rPr/>
        <w:t>132-137,</w:t>
      </w:r>
      <w:r>
        <w:rPr>
          <w:spacing w:val="-6"/>
        </w:rPr>
        <w:t> </w:t>
      </w:r>
      <w:r>
        <w:rPr/>
        <w:t>art.</w:t>
      </w:r>
      <w:r>
        <w:rPr>
          <w:spacing w:val="-7"/>
        </w:rPr>
        <w:t> </w:t>
      </w:r>
      <w:r>
        <w:rPr/>
        <w:t>704),</w:t>
      </w:r>
      <w:r>
        <w:rPr>
          <w:spacing w:val="-6"/>
        </w:rPr>
        <w:t> </w:t>
      </w:r>
      <w:r>
        <w:rPr/>
        <w:t>cu</w:t>
      </w:r>
      <w:r>
        <w:rPr>
          <w:spacing w:val="-5"/>
        </w:rPr>
        <w:t> </w:t>
      </w:r>
      <w:r>
        <w:rPr/>
        <w:t>modificările</w:t>
      </w:r>
      <w:r>
        <w:rPr>
          <w:spacing w:val="-7"/>
        </w:rPr>
        <w:t> </w:t>
      </w:r>
      <w:r>
        <w:rPr/>
        <w:t>și completările ulterioare, se modifică și se completează după cum</w:t>
      </w:r>
      <w:r>
        <w:rPr>
          <w:spacing w:val="-16"/>
        </w:rPr>
        <w:t> </w:t>
      </w:r>
      <w:r>
        <w:rPr/>
        <w:t>urmează:</w:t>
      </w:r>
    </w:p>
    <w:p>
      <w:pPr>
        <w:pStyle w:val="BodyText"/>
      </w:pPr>
    </w:p>
    <w:p>
      <w:pPr>
        <w:pStyle w:val="ListParagraph"/>
        <w:numPr>
          <w:ilvl w:val="0"/>
          <w:numId w:val="1"/>
        </w:numPr>
        <w:tabs>
          <w:tab w:pos="676" w:val="left" w:leader="none"/>
        </w:tabs>
        <w:spacing w:line="322" w:lineRule="exact" w:before="0" w:after="0"/>
        <w:ind w:left="675" w:right="0" w:hanging="360"/>
        <w:jc w:val="left"/>
        <w:rPr>
          <w:sz w:val="28"/>
        </w:rPr>
      </w:pPr>
      <w:r>
        <w:rPr>
          <w:sz w:val="28"/>
        </w:rPr>
        <w:t>Articolul 3, noțiunea „suma asigurată” va avea următorul</w:t>
      </w:r>
      <w:r>
        <w:rPr>
          <w:spacing w:val="-15"/>
          <w:sz w:val="28"/>
        </w:rPr>
        <w:t> </w:t>
      </w:r>
      <w:r>
        <w:rPr>
          <w:sz w:val="28"/>
        </w:rPr>
        <w:t>conținut:</w:t>
      </w:r>
    </w:p>
    <w:p>
      <w:pPr>
        <w:pStyle w:val="BodyText"/>
        <w:ind w:left="675" w:right="123"/>
        <w:jc w:val="both"/>
      </w:pPr>
      <w:r>
        <w:rPr/>
        <w:t>„</w:t>
      </w:r>
      <w:r>
        <w:rPr>
          <w:i/>
        </w:rPr>
        <w:t>suma asigurată - </w:t>
      </w:r>
      <w:r>
        <w:rPr/>
        <w:t>cuantum valoric maxim al despăgubirii de asigurare care poate fi plătit asiguratului în caz de pagubă, în funcție de valoarea recoltei sau a animalelor, la preț de piață, după caz, reieșind din costurile de producție şi nivelul acoperirii de asigurare, stabilite în contractul de asigurare;”</w:t>
      </w:r>
    </w:p>
    <w:p>
      <w:pPr>
        <w:pStyle w:val="ListParagraph"/>
        <w:numPr>
          <w:ilvl w:val="0"/>
          <w:numId w:val="1"/>
        </w:numPr>
        <w:tabs>
          <w:tab w:pos="746" w:val="left" w:leader="none"/>
        </w:tabs>
        <w:spacing w:line="321" w:lineRule="exact" w:before="0" w:after="0"/>
        <w:ind w:left="745" w:right="0" w:hanging="430"/>
        <w:jc w:val="left"/>
        <w:rPr>
          <w:sz w:val="28"/>
        </w:rPr>
      </w:pPr>
      <w:r>
        <w:rPr>
          <w:sz w:val="28"/>
        </w:rPr>
        <w:t>La articolul 4, după alin. (1) se introduce alineatul 1</w:t>
      </w:r>
      <w:r>
        <w:rPr>
          <w:position w:val="10"/>
          <w:sz w:val="18"/>
        </w:rPr>
        <w:t>1</w:t>
      </w:r>
      <w:r>
        <w:rPr>
          <w:sz w:val="28"/>
        </w:rPr>
        <w:t>), care va avea următorul</w:t>
      </w:r>
      <w:r>
        <w:rPr>
          <w:spacing w:val="-24"/>
          <w:sz w:val="28"/>
        </w:rPr>
        <w:t> </w:t>
      </w:r>
      <w:r>
        <w:rPr>
          <w:sz w:val="28"/>
        </w:rPr>
        <w:t>cuprins:</w:t>
      </w:r>
    </w:p>
    <w:p>
      <w:pPr>
        <w:pStyle w:val="BodyText"/>
        <w:spacing w:before="2"/>
        <w:ind w:left="676" w:right="121"/>
        <w:jc w:val="both"/>
      </w:pPr>
      <w:r>
        <w:rPr/>
        <w:t>„11) În sensul prezentei legi, asigurat este producătorul agricol, sau grup de producători, astfel cum este definit de Legea nr. 276/2016 cu privire la principiile de subvenționare a producătorilor agricoli, care a încheiat, sau pentru care s-a încheiat un contract de asigurare.”</w:t>
      </w:r>
    </w:p>
    <w:p>
      <w:pPr>
        <w:pStyle w:val="ListParagraph"/>
        <w:numPr>
          <w:ilvl w:val="0"/>
          <w:numId w:val="1"/>
        </w:numPr>
        <w:tabs>
          <w:tab w:pos="677" w:val="left" w:leader="none"/>
        </w:tabs>
        <w:spacing w:line="320" w:lineRule="exact" w:before="0" w:after="0"/>
        <w:ind w:left="676" w:right="0" w:hanging="360"/>
        <w:jc w:val="left"/>
        <w:rPr>
          <w:sz w:val="28"/>
        </w:rPr>
      </w:pPr>
      <w:r>
        <w:rPr>
          <w:sz w:val="28"/>
        </w:rPr>
        <w:t>La articolul</w:t>
      </w:r>
      <w:r>
        <w:rPr>
          <w:spacing w:val="-3"/>
          <w:sz w:val="28"/>
        </w:rPr>
        <w:t> </w:t>
      </w:r>
      <w:r>
        <w:rPr>
          <w:sz w:val="28"/>
        </w:rPr>
        <w:t>5:</w:t>
      </w:r>
    </w:p>
    <w:p>
      <w:pPr>
        <w:pStyle w:val="BodyText"/>
        <w:spacing w:line="322" w:lineRule="exact"/>
        <w:ind w:left="676"/>
        <w:jc w:val="both"/>
      </w:pPr>
      <w:r>
        <w:rPr/>
        <w:t>Alin. 2, lit. a) va avea următorul cuprins:</w:t>
      </w:r>
    </w:p>
    <w:p>
      <w:pPr>
        <w:pStyle w:val="BodyText"/>
        <w:spacing w:before="2"/>
        <w:ind w:left="676" w:right="122"/>
        <w:jc w:val="both"/>
      </w:pPr>
      <w:r>
        <w:rPr/>
        <w:t>„a) recolta culturilor agricole, inclusiv reducerea prețurilor de comercializare, ca urmare a scăderii calității acesteia”;</w:t>
      </w:r>
    </w:p>
    <w:p>
      <w:pPr>
        <w:pStyle w:val="BodyText"/>
        <w:spacing w:line="321" w:lineRule="exact"/>
        <w:ind w:left="676"/>
        <w:jc w:val="both"/>
      </w:pPr>
      <w:r>
        <w:rPr/>
        <w:t>La alin. (3), lit. d) se exclude;</w:t>
      </w:r>
    </w:p>
    <w:p>
      <w:pPr>
        <w:pStyle w:val="ListParagraph"/>
        <w:numPr>
          <w:ilvl w:val="0"/>
          <w:numId w:val="1"/>
        </w:numPr>
        <w:tabs>
          <w:tab w:pos="677" w:val="left" w:leader="none"/>
        </w:tabs>
        <w:spacing w:line="322" w:lineRule="exact" w:before="0" w:after="0"/>
        <w:ind w:left="676" w:right="0" w:hanging="360"/>
        <w:jc w:val="left"/>
        <w:rPr>
          <w:sz w:val="28"/>
        </w:rPr>
      </w:pPr>
      <w:r>
        <w:rPr>
          <w:sz w:val="28"/>
        </w:rPr>
        <w:t>La articolul</w:t>
      </w:r>
      <w:r>
        <w:rPr>
          <w:spacing w:val="-4"/>
          <w:sz w:val="28"/>
        </w:rPr>
        <w:t> </w:t>
      </w:r>
      <w:r>
        <w:rPr>
          <w:sz w:val="28"/>
        </w:rPr>
        <w:t>6:</w:t>
      </w:r>
    </w:p>
    <w:p>
      <w:pPr>
        <w:pStyle w:val="BodyText"/>
        <w:spacing w:line="322" w:lineRule="exact"/>
        <w:ind w:left="745"/>
        <w:jc w:val="both"/>
      </w:pPr>
      <w:r>
        <w:rPr/>
        <w:t>alin. (1), după cuvintele „pierderi de recoltă” se introduce textul „și calitatea acesteia”;</w:t>
      </w:r>
    </w:p>
    <w:p>
      <w:pPr>
        <w:pStyle w:val="ListParagraph"/>
        <w:numPr>
          <w:ilvl w:val="0"/>
          <w:numId w:val="1"/>
        </w:numPr>
        <w:tabs>
          <w:tab w:pos="677" w:val="left" w:leader="none"/>
        </w:tabs>
        <w:spacing w:line="322" w:lineRule="exact" w:before="0" w:after="0"/>
        <w:ind w:left="676" w:right="0" w:hanging="360"/>
        <w:jc w:val="left"/>
        <w:rPr>
          <w:sz w:val="28"/>
        </w:rPr>
      </w:pPr>
      <w:r>
        <w:rPr>
          <w:sz w:val="28"/>
        </w:rPr>
        <w:t>la alin. (2), lit. a), după textul „și a plantațiilor multianuale” se introduce textul</w:t>
      </w:r>
      <w:r>
        <w:rPr>
          <w:spacing w:val="36"/>
          <w:sz w:val="28"/>
        </w:rPr>
        <w:t> </w:t>
      </w:r>
      <w:r>
        <w:rPr>
          <w:sz w:val="28"/>
        </w:rPr>
        <w:t>„sau al</w:t>
      </w:r>
    </w:p>
    <w:p>
      <w:pPr>
        <w:pStyle w:val="BodyText"/>
        <w:spacing w:line="319" w:lineRule="exact" w:before="2"/>
        <w:ind w:left="676"/>
        <w:jc w:val="both"/>
      </w:pPr>
      <w:r>
        <w:rPr/>
        <w:t>calității acesteia”.</w:t>
      </w:r>
    </w:p>
    <w:p>
      <w:pPr>
        <w:pStyle w:val="ListParagraph"/>
        <w:numPr>
          <w:ilvl w:val="0"/>
          <w:numId w:val="1"/>
        </w:numPr>
        <w:tabs>
          <w:tab w:pos="677" w:val="left" w:leader="none"/>
        </w:tabs>
        <w:spacing w:line="322" w:lineRule="exact" w:before="0" w:after="0"/>
        <w:ind w:left="676" w:right="0" w:hanging="360"/>
        <w:jc w:val="left"/>
        <w:rPr>
          <w:sz w:val="28"/>
        </w:rPr>
      </w:pPr>
      <w:r>
        <w:rPr>
          <w:sz w:val="28"/>
        </w:rPr>
        <w:t>La articolul 8, după alin. (1) se introduce alin. (1</w:t>
      </w:r>
      <w:r>
        <w:rPr>
          <w:position w:val="10"/>
          <w:sz w:val="18"/>
        </w:rPr>
        <w:t>1</w:t>
      </w:r>
      <w:r>
        <w:rPr>
          <w:sz w:val="28"/>
        </w:rPr>
        <w:t>), cu următorul</w:t>
      </w:r>
      <w:r>
        <w:rPr>
          <w:spacing w:val="-18"/>
          <w:sz w:val="28"/>
        </w:rPr>
        <w:t> </w:t>
      </w:r>
      <w:r>
        <w:rPr>
          <w:sz w:val="28"/>
        </w:rPr>
        <w:t>conținut:</w:t>
      </w:r>
    </w:p>
    <w:p>
      <w:pPr>
        <w:spacing w:line="240" w:lineRule="auto" w:before="0"/>
        <w:ind w:left="676" w:right="120" w:hanging="1"/>
        <w:jc w:val="both"/>
        <w:rPr>
          <w:sz w:val="28"/>
        </w:rPr>
      </w:pPr>
      <w:r>
        <w:rPr>
          <w:sz w:val="28"/>
        </w:rPr>
        <w:t>„(1</w:t>
      </w:r>
      <w:r>
        <w:rPr>
          <w:position w:val="10"/>
          <w:sz w:val="18"/>
        </w:rPr>
        <w:t>1</w:t>
      </w:r>
      <w:r>
        <w:rPr>
          <w:sz w:val="28"/>
        </w:rPr>
        <w:t>) Suma asigurată la asigurarea calității culturilor agricole și a plantațiilor multianuale se stabilește în </w:t>
      </w:r>
      <w:r>
        <w:rPr>
          <w:b/>
          <w:sz w:val="28"/>
        </w:rPr>
        <w:t>baza valorii recoltei prognozate</w:t>
      </w:r>
      <w:r>
        <w:rPr>
          <w:sz w:val="28"/>
        </w:rPr>
        <w:t>, reieșind din cerințele de calitate și comercializare</w:t>
      </w:r>
      <w:r>
        <w:rPr>
          <w:spacing w:val="-10"/>
          <w:sz w:val="28"/>
        </w:rPr>
        <w:t> </w:t>
      </w:r>
      <w:r>
        <w:rPr>
          <w:sz w:val="28"/>
        </w:rPr>
        <w:t>pentru</w:t>
      </w:r>
      <w:r>
        <w:rPr>
          <w:spacing w:val="-9"/>
          <w:sz w:val="28"/>
        </w:rPr>
        <w:t> </w:t>
      </w:r>
      <w:r>
        <w:rPr>
          <w:sz w:val="28"/>
        </w:rPr>
        <w:t>producția</w:t>
      </w:r>
      <w:r>
        <w:rPr>
          <w:spacing w:val="-8"/>
          <w:sz w:val="28"/>
        </w:rPr>
        <w:t> </w:t>
      </w:r>
      <w:r>
        <w:rPr>
          <w:sz w:val="28"/>
        </w:rPr>
        <w:t>în</w:t>
      </w:r>
      <w:r>
        <w:rPr>
          <w:spacing w:val="-9"/>
          <w:sz w:val="28"/>
        </w:rPr>
        <w:t> </w:t>
      </w:r>
      <w:r>
        <w:rPr>
          <w:sz w:val="28"/>
        </w:rPr>
        <w:t>stare</w:t>
      </w:r>
      <w:r>
        <w:rPr>
          <w:spacing w:val="-10"/>
          <w:sz w:val="28"/>
        </w:rPr>
        <w:t> </w:t>
      </w:r>
      <w:r>
        <w:rPr>
          <w:sz w:val="28"/>
        </w:rPr>
        <w:t>proaspătă,</w:t>
      </w:r>
      <w:r>
        <w:rPr>
          <w:spacing w:val="-11"/>
          <w:sz w:val="28"/>
        </w:rPr>
        <w:t> </w:t>
      </w:r>
      <w:r>
        <w:rPr>
          <w:sz w:val="28"/>
        </w:rPr>
        <w:t>aprobate</w:t>
      </w:r>
      <w:r>
        <w:rPr>
          <w:spacing w:val="-10"/>
          <w:sz w:val="28"/>
        </w:rPr>
        <w:t> </w:t>
      </w:r>
      <w:r>
        <w:rPr>
          <w:sz w:val="28"/>
        </w:rPr>
        <w:t>de</w:t>
      </w:r>
      <w:r>
        <w:rPr>
          <w:spacing w:val="-7"/>
          <w:sz w:val="28"/>
        </w:rPr>
        <w:t> </w:t>
      </w:r>
      <w:r>
        <w:rPr>
          <w:sz w:val="28"/>
        </w:rPr>
        <w:t>Guvern.</w:t>
      </w:r>
      <w:r>
        <w:rPr>
          <w:spacing w:val="-8"/>
          <w:sz w:val="28"/>
        </w:rPr>
        <w:t> </w:t>
      </w:r>
      <w:r>
        <w:rPr>
          <w:b/>
          <w:sz w:val="28"/>
        </w:rPr>
        <w:t>Valoarea</w:t>
      </w:r>
      <w:r>
        <w:rPr>
          <w:b/>
          <w:spacing w:val="-6"/>
          <w:sz w:val="28"/>
        </w:rPr>
        <w:t> </w:t>
      </w:r>
      <w:r>
        <w:rPr>
          <w:b/>
          <w:sz w:val="28"/>
        </w:rPr>
        <w:t>recoltei prognozate </w:t>
      </w:r>
      <w:r>
        <w:rPr>
          <w:sz w:val="28"/>
        </w:rPr>
        <w:t>se calculează în baza prețului de piață al producției, calculat în mediu pe ultimii</w:t>
      </w:r>
      <w:r>
        <w:rPr>
          <w:spacing w:val="-16"/>
          <w:sz w:val="28"/>
        </w:rPr>
        <w:t> </w:t>
      </w:r>
      <w:r>
        <w:rPr>
          <w:sz w:val="28"/>
        </w:rPr>
        <w:t>3</w:t>
      </w:r>
      <w:r>
        <w:rPr>
          <w:spacing w:val="-19"/>
          <w:sz w:val="28"/>
        </w:rPr>
        <w:t> </w:t>
      </w:r>
      <w:r>
        <w:rPr>
          <w:sz w:val="28"/>
        </w:rPr>
        <w:t>ani,</w:t>
      </w:r>
      <w:r>
        <w:rPr>
          <w:spacing w:val="-18"/>
          <w:sz w:val="28"/>
        </w:rPr>
        <w:t> </w:t>
      </w:r>
      <w:r>
        <w:rPr>
          <w:sz w:val="28"/>
        </w:rPr>
        <w:t>precedenți,</w:t>
      </w:r>
      <w:r>
        <w:rPr>
          <w:spacing w:val="-17"/>
          <w:sz w:val="28"/>
        </w:rPr>
        <w:t> </w:t>
      </w:r>
      <w:r>
        <w:rPr>
          <w:sz w:val="28"/>
        </w:rPr>
        <w:t>stipulate</w:t>
      </w:r>
      <w:r>
        <w:rPr>
          <w:spacing w:val="-20"/>
          <w:sz w:val="28"/>
        </w:rPr>
        <w:t> </w:t>
      </w:r>
      <w:r>
        <w:rPr>
          <w:sz w:val="28"/>
        </w:rPr>
        <w:t>prin</w:t>
      </w:r>
      <w:r>
        <w:rPr>
          <w:spacing w:val="-16"/>
          <w:sz w:val="28"/>
        </w:rPr>
        <w:t> </w:t>
      </w:r>
      <w:r>
        <w:rPr>
          <w:sz w:val="28"/>
        </w:rPr>
        <w:t>acordul</w:t>
      </w:r>
      <w:r>
        <w:rPr>
          <w:spacing w:val="-16"/>
          <w:sz w:val="28"/>
        </w:rPr>
        <w:t> </w:t>
      </w:r>
      <w:r>
        <w:rPr>
          <w:sz w:val="28"/>
        </w:rPr>
        <w:t>comun</w:t>
      </w:r>
      <w:r>
        <w:rPr>
          <w:spacing w:val="-15"/>
          <w:sz w:val="28"/>
        </w:rPr>
        <w:t> </w:t>
      </w:r>
      <w:r>
        <w:rPr>
          <w:sz w:val="28"/>
        </w:rPr>
        <w:t>al</w:t>
      </w:r>
      <w:r>
        <w:rPr>
          <w:spacing w:val="-18"/>
          <w:sz w:val="28"/>
        </w:rPr>
        <w:t> </w:t>
      </w:r>
      <w:r>
        <w:rPr>
          <w:sz w:val="28"/>
        </w:rPr>
        <w:t>părților.</w:t>
      </w:r>
      <w:r>
        <w:rPr>
          <w:spacing w:val="-18"/>
          <w:sz w:val="28"/>
        </w:rPr>
        <w:t> </w:t>
      </w:r>
      <w:r>
        <w:rPr>
          <w:sz w:val="28"/>
        </w:rPr>
        <w:t>Suma</w:t>
      </w:r>
      <w:r>
        <w:rPr>
          <w:spacing w:val="-17"/>
          <w:sz w:val="28"/>
        </w:rPr>
        <w:t> </w:t>
      </w:r>
      <w:r>
        <w:rPr>
          <w:sz w:val="28"/>
        </w:rPr>
        <w:t>asigurată</w:t>
      </w:r>
      <w:r>
        <w:rPr>
          <w:spacing w:val="-16"/>
          <w:sz w:val="28"/>
        </w:rPr>
        <w:t> </w:t>
      </w:r>
      <w:r>
        <w:rPr>
          <w:sz w:val="28"/>
        </w:rPr>
        <w:t>reprezintă diferența de preț dintre valoarea recoltei prognozate </w:t>
      </w:r>
      <w:r>
        <w:rPr>
          <w:b/>
          <w:sz w:val="28"/>
        </w:rPr>
        <w:t>și valoarea producției îndreptate spre procesare, sau în alte scopuri</w:t>
      </w:r>
      <w:r>
        <w:rPr>
          <w:sz w:val="28"/>
        </w:rPr>
        <w:t>. </w:t>
      </w:r>
      <w:r>
        <w:rPr>
          <w:b/>
          <w:sz w:val="28"/>
        </w:rPr>
        <w:t>Valoarea producției îndreptate spre procesare, sau în alte scopuri </w:t>
      </w:r>
      <w:r>
        <w:rPr>
          <w:sz w:val="28"/>
        </w:rPr>
        <w:t>se calculează în baza prețurilor de achiziție a producției, calculate în ultimii 3 ani, dar nu mai mult decît valoarea producției facturate de</w:t>
      </w:r>
      <w:r>
        <w:rPr>
          <w:spacing w:val="-13"/>
          <w:sz w:val="28"/>
        </w:rPr>
        <w:t> </w:t>
      </w:r>
      <w:r>
        <w:rPr>
          <w:sz w:val="28"/>
        </w:rPr>
        <w:t>facto”.</w:t>
      </w:r>
    </w:p>
    <w:p>
      <w:pPr>
        <w:pStyle w:val="ListParagraph"/>
        <w:numPr>
          <w:ilvl w:val="0"/>
          <w:numId w:val="1"/>
        </w:numPr>
        <w:tabs>
          <w:tab w:pos="678" w:val="left" w:leader="none"/>
        </w:tabs>
        <w:spacing w:line="240" w:lineRule="auto" w:before="0" w:after="0"/>
        <w:ind w:left="677" w:right="124" w:hanging="360"/>
        <w:jc w:val="left"/>
        <w:rPr>
          <w:sz w:val="28"/>
        </w:rPr>
      </w:pPr>
      <w:r>
        <w:rPr>
          <w:sz w:val="28"/>
        </w:rPr>
        <w:t>La art. 9, alin. (1) după cuvintele „producătorul agricol” se introduc cuvintele „sau Beneficiarul asigurării”, iar la alin. (3), cifra „10” se substituie cu cifra</w:t>
      </w:r>
      <w:r>
        <w:rPr>
          <w:spacing w:val="-16"/>
          <w:sz w:val="28"/>
        </w:rPr>
        <w:t> </w:t>
      </w:r>
      <w:r>
        <w:rPr>
          <w:sz w:val="28"/>
        </w:rPr>
        <w:t>„15”;</w:t>
      </w:r>
    </w:p>
    <w:p>
      <w:pPr>
        <w:pStyle w:val="ListParagraph"/>
        <w:numPr>
          <w:ilvl w:val="0"/>
          <w:numId w:val="1"/>
        </w:numPr>
        <w:tabs>
          <w:tab w:pos="678" w:val="left" w:leader="none"/>
        </w:tabs>
        <w:spacing w:line="322" w:lineRule="exact" w:before="0" w:after="0"/>
        <w:ind w:left="677" w:right="0" w:hanging="360"/>
        <w:jc w:val="left"/>
        <w:rPr>
          <w:sz w:val="28"/>
        </w:rPr>
      </w:pPr>
      <w:r>
        <w:rPr>
          <w:sz w:val="28"/>
        </w:rPr>
        <w:t>La art.</w:t>
      </w:r>
      <w:r>
        <w:rPr>
          <w:spacing w:val="-2"/>
          <w:sz w:val="28"/>
        </w:rPr>
        <w:t> </w:t>
      </w:r>
      <w:r>
        <w:rPr>
          <w:sz w:val="28"/>
        </w:rPr>
        <w:t>10:</w:t>
      </w:r>
    </w:p>
    <w:p>
      <w:pPr>
        <w:pStyle w:val="BodyText"/>
        <w:ind w:left="677" w:right="123" w:firstLine="69"/>
        <w:jc w:val="both"/>
      </w:pPr>
      <w:r>
        <w:rPr/>
        <w:t>alin. (1), după cuvintele „se plătește” se adaugă cuvintele „de către asigurat sau beneficiarul asigurării”;</w:t>
      </w:r>
    </w:p>
    <w:p>
      <w:pPr>
        <w:pStyle w:val="BodyText"/>
        <w:ind w:left="677" w:right="121"/>
        <w:jc w:val="both"/>
      </w:pPr>
      <w:r>
        <w:rPr/>
        <w:t>la</w:t>
      </w:r>
      <w:r>
        <w:rPr>
          <w:spacing w:val="-19"/>
        </w:rPr>
        <w:t> </w:t>
      </w:r>
      <w:r>
        <w:rPr/>
        <w:t>alin.</w:t>
      </w:r>
      <w:r>
        <w:rPr>
          <w:spacing w:val="-19"/>
        </w:rPr>
        <w:t> </w:t>
      </w:r>
      <w:r>
        <w:rPr/>
        <w:t>(2)</w:t>
      </w:r>
      <w:r>
        <w:rPr>
          <w:spacing w:val="-18"/>
        </w:rPr>
        <w:t> </w:t>
      </w:r>
      <w:r>
        <w:rPr/>
        <w:t>cifra</w:t>
      </w:r>
      <w:r>
        <w:rPr>
          <w:spacing w:val="-19"/>
        </w:rPr>
        <w:t> </w:t>
      </w:r>
      <w:r>
        <w:rPr/>
        <w:t>„2”</w:t>
      </w:r>
      <w:r>
        <w:rPr>
          <w:spacing w:val="-19"/>
        </w:rPr>
        <w:t> </w:t>
      </w:r>
      <w:r>
        <w:rPr/>
        <w:t>se</w:t>
      </w:r>
      <w:r>
        <w:rPr>
          <w:spacing w:val="-18"/>
        </w:rPr>
        <w:t> </w:t>
      </w:r>
      <w:r>
        <w:rPr/>
        <w:t>exclude,</w:t>
      </w:r>
      <w:r>
        <w:rPr>
          <w:spacing w:val="-19"/>
        </w:rPr>
        <w:t> </w:t>
      </w:r>
      <w:r>
        <w:rPr/>
        <w:t>iar</w:t>
      </w:r>
      <w:r>
        <w:rPr>
          <w:spacing w:val="-19"/>
        </w:rPr>
        <w:t> </w:t>
      </w:r>
      <w:r>
        <w:rPr/>
        <w:t>la</w:t>
      </w:r>
      <w:r>
        <w:rPr>
          <w:spacing w:val="-18"/>
        </w:rPr>
        <w:t> </w:t>
      </w:r>
      <w:r>
        <w:rPr/>
        <w:t>ultima</w:t>
      </w:r>
      <w:r>
        <w:rPr>
          <w:spacing w:val="-16"/>
        </w:rPr>
        <w:t> </w:t>
      </w:r>
      <w:r>
        <w:rPr/>
        <w:t>propoziție</w:t>
      </w:r>
      <w:r>
        <w:rPr>
          <w:spacing w:val="-18"/>
        </w:rPr>
        <w:t> </w:t>
      </w:r>
      <w:r>
        <w:rPr/>
        <w:t>cuvintele</w:t>
      </w:r>
      <w:r>
        <w:rPr>
          <w:spacing w:val="-19"/>
        </w:rPr>
        <w:t> </w:t>
      </w:r>
      <w:r>
        <w:rPr/>
        <w:t>„Rata</w:t>
      </w:r>
      <w:r>
        <w:rPr>
          <w:spacing w:val="-19"/>
        </w:rPr>
        <w:t> </w:t>
      </w:r>
      <w:r>
        <w:rPr/>
        <w:t>a</w:t>
      </w:r>
      <w:r>
        <w:rPr>
          <w:spacing w:val="-18"/>
        </w:rPr>
        <w:t> </w:t>
      </w:r>
      <w:r>
        <w:rPr/>
        <w:t>doua”</w:t>
      </w:r>
      <w:r>
        <w:rPr>
          <w:spacing w:val="-19"/>
        </w:rPr>
        <w:t> </w:t>
      </w:r>
      <w:r>
        <w:rPr/>
        <w:t>se</w:t>
      </w:r>
      <w:r>
        <w:rPr>
          <w:spacing w:val="-21"/>
        </w:rPr>
        <w:t> </w:t>
      </w:r>
      <w:r>
        <w:rPr/>
        <w:t>substituie cu cuvintele „ratele</w:t>
      </w:r>
      <w:r>
        <w:rPr>
          <w:spacing w:val="-5"/>
        </w:rPr>
        <w:t> </w:t>
      </w:r>
      <w:r>
        <w:rPr/>
        <w:t>ulterioare”.</w:t>
      </w:r>
    </w:p>
    <w:p>
      <w:pPr>
        <w:pStyle w:val="BodyText"/>
        <w:spacing w:line="321" w:lineRule="exact"/>
        <w:ind w:left="677"/>
        <w:jc w:val="both"/>
      </w:pPr>
      <w:r>
        <w:rPr/>
        <w:t>La alin. (3), lit. a) va avea următorul cuprins:</w:t>
      </w:r>
    </w:p>
    <w:p>
      <w:pPr>
        <w:spacing w:after="0" w:line="321" w:lineRule="exact"/>
        <w:jc w:val="both"/>
        <w:sectPr>
          <w:pgSz w:w="11910" w:h="16850"/>
          <w:pgMar w:top="360" w:bottom="280" w:left="600" w:right="440"/>
        </w:sectPr>
      </w:pPr>
    </w:p>
    <w:p>
      <w:pPr>
        <w:pStyle w:val="BodyText"/>
        <w:spacing w:before="66"/>
        <w:ind w:left="676" w:right="123"/>
        <w:jc w:val="both"/>
      </w:pPr>
      <w:r>
        <w:rPr/>
        <w:t>„a) Pentru recolta culturilor de toamnă – cel tîrziu la 1 mai a anului recoltării, sau în cazul asigurării riscului de îngheț de iarnă – cel tîrziu la 1 decembrie a anului precedent recoltării;”</w:t>
      </w:r>
    </w:p>
    <w:p>
      <w:pPr>
        <w:pStyle w:val="BodyText"/>
        <w:ind w:left="676" w:right="1645"/>
      </w:pPr>
      <w:r>
        <w:rPr/>
        <w:t>La alin. (5) textul „ratei a doua” se substituie prin textul „ratelor ulterioare”; La alin. (6) textul „rata a doua” se substituie prin textul „ratele ulterioare”.</w:t>
      </w:r>
    </w:p>
    <w:p>
      <w:pPr>
        <w:pStyle w:val="ListParagraph"/>
        <w:numPr>
          <w:ilvl w:val="0"/>
          <w:numId w:val="1"/>
        </w:numPr>
        <w:tabs>
          <w:tab w:pos="677" w:val="left" w:leader="none"/>
        </w:tabs>
        <w:spacing w:line="321" w:lineRule="exact" w:before="0" w:after="0"/>
        <w:ind w:left="676" w:right="0" w:hanging="360"/>
        <w:jc w:val="left"/>
        <w:rPr>
          <w:sz w:val="28"/>
        </w:rPr>
      </w:pPr>
      <w:r>
        <w:rPr>
          <w:sz w:val="28"/>
        </w:rPr>
        <w:t>La art.</w:t>
      </w:r>
      <w:r>
        <w:rPr>
          <w:spacing w:val="-2"/>
          <w:sz w:val="28"/>
        </w:rPr>
        <w:t> </w:t>
      </w:r>
      <w:r>
        <w:rPr>
          <w:sz w:val="28"/>
        </w:rPr>
        <w:t>11:</w:t>
      </w:r>
    </w:p>
    <w:p>
      <w:pPr>
        <w:pStyle w:val="BodyText"/>
        <w:spacing w:line="242" w:lineRule="auto"/>
        <w:ind w:left="676" w:firstLine="69"/>
      </w:pPr>
      <w:r>
        <w:rPr/>
        <w:t>alin. (1), textul „cauza pierderilor” se substituie cu textul ”riscul sau grupul de riscuri produse”, iar textul „valoarea estimativă a pierderilor” se exclude.</w:t>
      </w:r>
    </w:p>
    <w:p>
      <w:pPr>
        <w:pStyle w:val="BodyText"/>
        <w:spacing w:line="317" w:lineRule="exact"/>
        <w:ind w:left="1454"/>
      </w:pPr>
      <w:r>
        <w:rPr/>
        <w:t>alin. (2), va avea următorul cuprins:</w:t>
      </w:r>
    </w:p>
    <w:p>
      <w:pPr>
        <w:pStyle w:val="BodyText"/>
        <w:ind w:left="676" w:right="121" w:firstLine="566"/>
        <w:jc w:val="both"/>
      </w:pPr>
      <w:r>
        <w:rPr/>
        <w:t>(2)</w:t>
      </w:r>
      <w:r>
        <w:rPr>
          <w:spacing w:val="-11"/>
        </w:rPr>
        <w:t> </w:t>
      </w:r>
      <w:r>
        <w:rPr/>
        <w:t>Asigurătorul</w:t>
      </w:r>
      <w:r>
        <w:rPr>
          <w:spacing w:val="-10"/>
        </w:rPr>
        <w:t> </w:t>
      </w:r>
      <w:r>
        <w:rPr/>
        <w:t>este</w:t>
      </w:r>
      <w:r>
        <w:rPr>
          <w:spacing w:val="-11"/>
        </w:rPr>
        <w:t> </w:t>
      </w:r>
      <w:r>
        <w:rPr/>
        <w:t>obligat,</w:t>
      </w:r>
      <w:r>
        <w:rPr>
          <w:spacing w:val="-12"/>
        </w:rPr>
        <w:t> </w:t>
      </w:r>
      <w:r>
        <w:rPr/>
        <w:t>în</w:t>
      </w:r>
      <w:r>
        <w:rPr>
          <w:spacing w:val="-10"/>
        </w:rPr>
        <w:t> </w:t>
      </w:r>
      <w:r>
        <w:rPr/>
        <w:t>termen</w:t>
      </w:r>
      <w:r>
        <w:rPr>
          <w:spacing w:val="-10"/>
        </w:rPr>
        <w:t> </w:t>
      </w:r>
      <w:r>
        <w:rPr/>
        <w:t>de</w:t>
      </w:r>
      <w:r>
        <w:rPr>
          <w:spacing w:val="-10"/>
        </w:rPr>
        <w:t> </w:t>
      </w:r>
      <w:r>
        <w:rPr/>
        <w:t>10</w:t>
      </w:r>
      <w:r>
        <w:rPr>
          <w:spacing w:val="-10"/>
        </w:rPr>
        <w:t> </w:t>
      </w:r>
      <w:r>
        <w:rPr/>
        <w:t>zile</w:t>
      </w:r>
      <w:r>
        <w:rPr>
          <w:spacing w:val="-11"/>
        </w:rPr>
        <w:t> </w:t>
      </w:r>
      <w:r>
        <w:rPr/>
        <w:t>de</w:t>
      </w:r>
      <w:r>
        <w:rPr>
          <w:spacing w:val="-11"/>
        </w:rPr>
        <w:t> </w:t>
      </w:r>
      <w:r>
        <w:rPr/>
        <w:t>la</w:t>
      </w:r>
      <w:r>
        <w:rPr>
          <w:spacing w:val="-11"/>
        </w:rPr>
        <w:t> </w:t>
      </w:r>
      <w:r>
        <w:rPr/>
        <w:t>data</w:t>
      </w:r>
      <w:r>
        <w:rPr>
          <w:spacing w:val="-11"/>
        </w:rPr>
        <w:t> </w:t>
      </w:r>
      <w:r>
        <w:rPr/>
        <w:t>primirii</w:t>
      </w:r>
      <w:r>
        <w:rPr>
          <w:spacing w:val="-9"/>
        </w:rPr>
        <w:t> </w:t>
      </w:r>
      <w:r>
        <w:rPr/>
        <w:t>înştiinţării</w:t>
      </w:r>
      <w:r>
        <w:rPr>
          <w:spacing w:val="-10"/>
        </w:rPr>
        <w:t> </w:t>
      </w:r>
      <w:r>
        <w:rPr/>
        <w:t>despre cazul asigurat, să întocmească, cu participarea reprezentantului subdiviziunii teritoriale a Agenției</w:t>
      </w:r>
      <w:r>
        <w:rPr>
          <w:spacing w:val="-4"/>
        </w:rPr>
        <w:t> </w:t>
      </w:r>
      <w:r>
        <w:rPr/>
        <w:t>Naționale</w:t>
      </w:r>
      <w:r>
        <w:rPr>
          <w:spacing w:val="-4"/>
        </w:rPr>
        <w:t> </w:t>
      </w:r>
      <w:r>
        <w:rPr/>
        <w:t>pentru</w:t>
      </w:r>
      <w:r>
        <w:rPr>
          <w:spacing w:val="-3"/>
        </w:rPr>
        <w:t> </w:t>
      </w:r>
      <w:r>
        <w:rPr/>
        <w:t>Siguranța</w:t>
      </w:r>
      <w:r>
        <w:rPr>
          <w:spacing w:val="-4"/>
        </w:rPr>
        <w:t> </w:t>
      </w:r>
      <w:r>
        <w:rPr/>
        <w:t>Alimentelor</w:t>
      </w:r>
      <w:r>
        <w:rPr>
          <w:spacing w:val="-4"/>
        </w:rPr>
        <w:t> </w:t>
      </w:r>
      <w:r>
        <w:rPr/>
        <w:t>şi</w:t>
      </w:r>
      <w:r>
        <w:rPr>
          <w:spacing w:val="-3"/>
        </w:rPr>
        <w:t> </w:t>
      </w:r>
      <w:r>
        <w:rPr/>
        <w:t>a</w:t>
      </w:r>
      <w:r>
        <w:rPr>
          <w:spacing w:val="-4"/>
        </w:rPr>
        <w:t> </w:t>
      </w:r>
      <w:r>
        <w:rPr/>
        <w:t>asiguratului,</w:t>
      </w:r>
      <w:r>
        <w:rPr>
          <w:spacing w:val="-5"/>
        </w:rPr>
        <w:t> </w:t>
      </w:r>
      <w:r>
        <w:rPr/>
        <w:t>precum</w:t>
      </w:r>
      <w:r>
        <w:rPr>
          <w:spacing w:val="-8"/>
        </w:rPr>
        <w:t> </w:t>
      </w:r>
      <w:r>
        <w:rPr/>
        <w:t>şi,</w:t>
      </w:r>
      <w:r>
        <w:rPr>
          <w:spacing w:val="-5"/>
        </w:rPr>
        <w:t> </w:t>
      </w:r>
      <w:r>
        <w:rPr/>
        <w:t>după</w:t>
      </w:r>
      <w:r>
        <w:rPr>
          <w:spacing w:val="-4"/>
        </w:rPr>
        <w:t> </w:t>
      </w:r>
      <w:r>
        <w:rPr/>
        <w:t>caz,</w:t>
      </w:r>
      <w:r>
        <w:rPr>
          <w:spacing w:val="-5"/>
        </w:rPr>
        <w:t> </w:t>
      </w:r>
      <w:r>
        <w:rPr/>
        <w:t>cu participarea reprezentantului Serviciului Protecției Civile şi Situațiilor Excepționale şi al Serviciului Special pentru Influențe Active asupra Proceselor Hidrmeteorologice, un act de</w:t>
      </w:r>
      <w:r>
        <w:rPr>
          <w:spacing w:val="-10"/>
        </w:rPr>
        <w:t> </w:t>
      </w:r>
      <w:r>
        <w:rPr/>
        <w:t>constatare</w:t>
      </w:r>
      <w:r>
        <w:rPr>
          <w:spacing w:val="-12"/>
        </w:rPr>
        <w:t> </w:t>
      </w:r>
      <w:r>
        <w:rPr/>
        <w:t>a</w:t>
      </w:r>
      <w:r>
        <w:rPr>
          <w:spacing w:val="-10"/>
        </w:rPr>
        <w:t> </w:t>
      </w:r>
      <w:r>
        <w:rPr/>
        <w:t>pagubelor,</w:t>
      </w:r>
      <w:r>
        <w:rPr>
          <w:spacing w:val="-11"/>
        </w:rPr>
        <w:t> </w:t>
      </w:r>
      <w:r>
        <w:rPr/>
        <w:t>în</w:t>
      </w:r>
      <w:r>
        <w:rPr>
          <w:spacing w:val="-9"/>
        </w:rPr>
        <w:t> </w:t>
      </w:r>
      <w:r>
        <w:rPr/>
        <w:t>care</w:t>
      </w:r>
      <w:r>
        <w:rPr>
          <w:spacing w:val="-12"/>
        </w:rPr>
        <w:t> </w:t>
      </w:r>
      <w:r>
        <w:rPr/>
        <w:t>se</w:t>
      </w:r>
      <w:r>
        <w:rPr>
          <w:spacing w:val="-11"/>
        </w:rPr>
        <w:t> </w:t>
      </w:r>
      <w:r>
        <w:rPr/>
        <w:t>indică:</w:t>
      </w:r>
      <w:r>
        <w:rPr>
          <w:spacing w:val="-11"/>
        </w:rPr>
        <w:t> </w:t>
      </w:r>
      <w:r>
        <w:rPr/>
        <w:t>estimarea</w:t>
      </w:r>
      <w:r>
        <w:rPr>
          <w:spacing w:val="-10"/>
        </w:rPr>
        <w:t> </w:t>
      </w:r>
      <w:r>
        <w:rPr/>
        <w:t>influenței</w:t>
      </w:r>
      <w:r>
        <w:rPr>
          <w:spacing w:val="-11"/>
        </w:rPr>
        <w:t> </w:t>
      </w:r>
      <w:r>
        <w:rPr/>
        <w:t>asupra</w:t>
      </w:r>
      <w:r>
        <w:rPr>
          <w:spacing w:val="-12"/>
        </w:rPr>
        <w:t> </w:t>
      </w:r>
      <w:r>
        <w:rPr/>
        <w:t>recoltei</w:t>
      </w:r>
      <w:r>
        <w:rPr>
          <w:spacing w:val="-9"/>
        </w:rPr>
        <w:t> </w:t>
      </w:r>
      <w:r>
        <w:rPr/>
        <w:t>a</w:t>
      </w:r>
      <w:r>
        <w:rPr>
          <w:spacing w:val="-10"/>
        </w:rPr>
        <w:t> </w:t>
      </w:r>
      <w:r>
        <w:rPr/>
        <w:t>riscurilor asigurate şi neasigurate; suprafaţa afectată; cuantumul estimative al pierderilor în urma producerii riscurilor asigurate; eventualele obiecții ale părţilor referitoare la cuantumul pagubelor estimative. Actul se întocmește în cîte un exemplar, ce le revine părților participante la constatarea producerii riscului</w:t>
      </w:r>
      <w:r>
        <w:rPr>
          <w:spacing w:val="-9"/>
        </w:rPr>
        <w:t> </w:t>
      </w:r>
      <w:r>
        <w:rPr/>
        <w:t>asigurat”.</w:t>
      </w:r>
    </w:p>
    <w:p>
      <w:pPr>
        <w:pStyle w:val="BodyText"/>
        <w:spacing w:line="321" w:lineRule="exact"/>
        <w:ind w:left="676"/>
      </w:pPr>
      <w:r>
        <w:rPr>
          <w:shd w:fill="FFFF00" w:color="auto" w:val="clear"/>
        </w:rPr>
        <w:t>Se completează articolul cu un alineat nou, (7) cu următorul cuprins:</w:t>
      </w:r>
    </w:p>
    <w:tbl>
      <w:tblPr>
        <w:tblW w:w="0" w:type="auto"/>
        <w:jc w:val="left"/>
        <w:tblInd w:w="6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0063"/>
      </w:tblGrid>
      <w:tr>
        <w:trPr>
          <w:trHeight w:val="643" w:hRule="atLeast"/>
        </w:trPr>
        <w:tc>
          <w:tcPr>
            <w:tcW w:w="10063" w:type="dxa"/>
            <w:shd w:val="clear" w:color="auto" w:fill="FFFF00"/>
          </w:tcPr>
          <w:p>
            <w:pPr>
              <w:pStyle w:val="TableParagraph"/>
              <w:spacing w:line="322" w:lineRule="exact" w:before="0"/>
              <w:ind w:right="-15"/>
              <w:jc w:val="left"/>
              <w:rPr>
                <w:sz w:val="28"/>
              </w:rPr>
            </w:pPr>
            <w:r>
              <w:rPr>
                <w:sz w:val="28"/>
              </w:rPr>
              <w:t>„(7)</w:t>
            </w:r>
            <w:r>
              <w:rPr>
                <w:spacing w:val="31"/>
                <w:sz w:val="28"/>
              </w:rPr>
              <w:t> </w:t>
            </w:r>
            <w:r>
              <w:rPr>
                <w:sz w:val="28"/>
              </w:rPr>
              <w:t>În</w:t>
            </w:r>
            <w:r>
              <w:rPr>
                <w:spacing w:val="33"/>
                <w:sz w:val="28"/>
              </w:rPr>
              <w:t> </w:t>
            </w:r>
            <w:r>
              <w:rPr>
                <w:sz w:val="28"/>
              </w:rPr>
              <w:t>cazul</w:t>
            </w:r>
            <w:r>
              <w:rPr>
                <w:spacing w:val="33"/>
                <w:sz w:val="28"/>
              </w:rPr>
              <w:t> </w:t>
            </w:r>
            <w:r>
              <w:rPr>
                <w:sz w:val="28"/>
              </w:rPr>
              <w:t>afectării</w:t>
            </w:r>
            <w:r>
              <w:rPr>
                <w:spacing w:val="32"/>
                <w:sz w:val="28"/>
              </w:rPr>
              <w:t> </w:t>
            </w:r>
            <w:r>
              <w:rPr>
                <w:sz w:val="28"/>
              </w:rPr>
              <w:t>calității</w:t>
            </w:r>
            <w:r>
              <w:rPr>
                <w:spacing w:val="33"/>
                <w:sz w:val="28"/>
              </w:rPr>
              <w:t> </w:t>
            </w:r>
            <w:r>
              <w:rPr>
                <w:sz w:val="28"/>
              </w:rPr>
              <w:t>recoltei,</w:t>
            </w:r>
            <w:r>
              <w:rPr>
                <w:spacing w:val="31"/>
                <w:sz w:val="28"/>
              </w:rPr>
              <w:t> </w:t>
            </w:r>
            <w:r>
              <w:rPr>
                <w:sz w:val="28"/>
              </w:rPr>
              <w:t>valoarea</w:t>
            </w:r>
            <w:r>
              <w:rPr>
                <w:spacing w:val="31"/>
                <w:sz w:val="28"/>
              </w:rPr>
              <w:t> </w:t>
            </w:r>
            <w:r>
              <w:rPr>
                <w:sz w:val="28"/>
              </w:rPr>
              <w:t>pierderilor</w:t>
            </w:r>
            <w:r>
              <w:rPr>
                <w:spacing w:val="32"/>
                <w:sz w:val="28"/>
              </w:rPr>
              <w:t> </w:t>
            </w:r>
            <w:r>
              <w:rPr>
                <w:sz w:val="28"/>
              </w:rPr>
              <w:t>se</w:t>
            </w:r>
            <w:r>
              <w:rPr>
                <w:spacing w:val="29"/>
                <w:sz w:val="28"/>
              </w:rPr>
              <w:t> </w:t>
            </w:r>
            <w:r>
              <w:rPr>
                <w:sz w:val="28"/>
              </w:rPr>
              <w:t>calculează</w:t>
            </w:r>
            <w:r>
              <w:rPr>
                <w:spacing w:val="31"/>
                <w:sz w:val="28"/>
              </w:rPr>
              <w:t> </w:t>
            </w:r>
            <w:r>
              <w:rPr>
                <w:sz w:val="28"/>
              </w:rPr>
              <w:t>prin</w:t>
            </w:r>
            <w:r>
              <w:rPr>
                <w:spacing w:val="33"/>
                <w:sz w:val="28"/>
              </w:rPr>
              <w:t> </w:t>
            </w:r>
            <w:r>
              <w:rPr>
                <w:sz w:val="28"/>
              </w:rPr>
              <w:t>diferența</w:t>
            </w:r>
          </w:p>
          <w:p>
            <w:pPr>
              <w:pStyle w:val="TableParagraph"/>
              <w:spacing w:line="301" w:lineRule="exact" w:before="0"/>
              <w:ind w:right="-15"/>
              <w:jc w:val="left"/>
              <w:rPr>
                <w:sz w:val="28"/>
              </w:rPr>
            </w:pPr>
            <w:r>
              <w:rPr>
                <w:sz w:val="28"/>
              </w:rPr>
              <w:t>dintre</w:t>
            </w:r>
            <w:r>
              <w:rPr>
                <w:spacing w:val="32"/>
                <w:sz w:val="28"/>
              </w:rPr>
              <w:t> </w:t>
            </w:r>
            <w:r>
              <w:rPr>
                <w:sz w:val="28"/>
              </w:rPr>
              <w:t>prețul</w:t>
            </w:r>
            <w:r>
              <w:rPr>
                <w:spacing w:val="34"/>
                <w:sz w:val="28"/>
              </w:rPr>
              <w:t> </w:t>
            </w:r>
            <w:r>
              <w:rPr>
                <w:sz w:val="28"/>
              </w:rPr>
              <w:t>producției,</w:t>
            </w:r>
            <w:r>
              <w:rPr>
                <w:spacing w:val="33"/>
                <w:sz w:val="28"/>
              </w:rPr>
              <w:t> </w:t>
            </w:r>
            <w:r>
              <w:rPr>
                <w:sz w:val="28"/>
              </w:rPr>
              <w:t>stabilite</w:t>
            </w:r>
            <w:r>
              <w:rPr>
                <w:spacing w:val="31"/>
                <w:sz w:val="28"/>
              </w:rPr>
              <w:t> </w:t>
            </w:r>
            <w:r>
              <w:rPr>
                <w:sz w:val="28"/>
              </w:rPr>
              <w:t>în</w:t>
            </w:r>
            <w:r>
              <w:rPr>
                <w:spacing w:val="32"/>
                <w:sz w:val="28"/>
              </w:rPr>
              <w:t> </w:t>
            </w:r>
            <w:r>
              <w:rPr>
                <w:sz w:val="28"/>
              </w:rPr>
              <w:t>contractual</w:t>
            </w:r>
            <w:r>
              <w:rPr>
                <w:spacing w:val="32"/>
                <w:sz w:val="28"/>
              </w:rPr>
              <w:t> </w:t>
            </w:r>
            <w:r>
              <w:rPr>
                <w:sz w:val="28"/>
              </w:rPr>
              <w:t>de</w:t>
            </w:r>
            <w:r>
              <w:rPr>
                <w:spacing w:val="33"/>
                <w:sz w:val="28"/>
              </w:rPr>
              <w:t> </w:t>
            </w:r>
            <w:r>
              <w:rPr>
                <w:sz w:val="28"/>
              </w:rPr>
              <w:t>asigurare</w:t>
            </w:r>
            <w:r>
              <w:rPr>
                <w:spacing w:val="31"/>
                <w:sz w:val="28"/>
              </w:rPr>
              <w:t> </w:t>
            </w:r>
            <w:r>
              <w:rPr>
                <w:sz w:val="28"/>
              </w:rPr>
              <w:t>și</w:t>
            </w:r>
            <w:r>
              <w:rPr>
                <w:spacing w:val="32"/>
                <w:sz w:val="28"/>
              </w:rPr>
              <w:t> </w:t>
            </w:r>
            <w:r>
              <w:rPr>
                <w:sz w:val="28"/>
              </w:rPr>
              <w:t>prețul</w:t>
            </w:r>
            <w:r>
              <w:rPr>
                <w:spacing w:val="34"/>
                <w:sz w:val="28"/>
              </w:rPr>
              <w:t> </w:t>
            </w:r>
            <w:r>
              <w:rPr>
                <w:sz w:val="28"/>
              </w:rPr>
              <w:t>de</w:t>
            </w:r>
            <w:r>
              <w:rPr>
                <w:spacing w:val="33"/>
                <w:sz w:val="28"/>
              </w:rPr>
              <w:t> </w:t>
            </w:r>
            <w:r>
              <w:rPr>
                <w:sz w:val="28"/>
              </w:rPr>
              <w:t>comercializare</w:t>
            </w:r>
          </w:p>
        </w:tc>
      </w:tr>
    </w:tbl>
    <w:p>
      <w:pPr>
        <w:pStyle w:val="BodyText"/>
        <w:spacing w:line="322" w:lineRule="exact"/>
        <w:ind w:left="676"/>
      </w:pPr>
      <w:r>
        <w:rPr>
          <w:shd w:fill="FFFF00" w:color="auto" w:val="clear"/>
        </w:rPr>
        <w:t>către procesare, sau în alte scopuri, calculate conform conform art. 8 a prezentei legi.”</w:t>
      </w:r>
    </w:p>
    <w:p>
      <w:pPr>
        <w:pStyle w:val="ListParagraph"/>
        <w:numPr>
          <w:ilvl w:val="0"/>
          <w:numId w:val="1"/>
        </w:numPr>
        <w:tabs>
          <w:tab w:pos="819" w:val="left" w:leader="none"/>
        </w:tabs>
        <w:spacing w:line="322" w:lineRule="exact" w:before="0" w:after="0"/>
        <w:ind w:left="818" w:right="0" w:hanging="502"/>
        <w:jc w:val="left"/>
        <w:rPr>
          <w:sz w:val="28"/>
        </w:rPr>
      </w:pPr>
      <w:r>
        <w:rPr>
          <w:sz w:val="28"/>
        </w:rPr>
        <w:t>La art. 12, alin. (3) va avea următorul</w:t>
      </w:r>
      <w:r>
        <w:rPr>
          <w:spacing w:val="-13"/>
          <w:sz w:val="28"/>
        </w:rPr>
        <w:t> </w:t>
      </w:r>
      <w:r>
        <w:rPr>
          <w:sz w:val="28"/>
        </w:rPr>
        <w:t>cuprins:</w:t>
      </w:r>
    </w:p>
    <w:p>
      <w:pPr>
        <w:pStyle w:val="BodyText"/>
        <w:ind w:left="676" w:right="121"/>
        <w:jc w:val="both"/>
      </w:pPr>
      <w:r>
        <w:rPr/>
        <w:t>„(3) Asigurătorul este obligat, în termen de 15 zile de la data primirii înştiinţării despre cazul asigurat, să întocmească, cu participarea reprezentanţilor asiguratului şi al subdiviziunii teritoriale a Agenției Naționale pentru Siguranța Alimentelor, un act de constatare</w:t>
      </w:r>
      <w:r>
        <w:rPr>
          <w:spacing w:val="-9"/>
        </w:rPr>
        <w:t> </w:t>
      </w:r>
      <w:r>
        <w:rPr/>
        <w:t>a</w:t>
      </w:r>
      <w:r>
        <w:rPr>
          <w:spacing w:val="-9"/>
        </w:rPr>
        <w:t> </w:t>
      </w:r>
      <w:r>
        <w:rPr/>
        <w:t>pagubelor</w:t>
      </w:r>
      <w:r>
        <w:rPr>
          <w:spacing w:val="-9"/>
        </w:rPr>
        <w:t> </w:t>
      </w:r>
      <w:r>
        <w:rPr/>
        <w:t>în</w:t>
      </w:r>
      <w:r>
        <w:rPr>
          <w:spacing w:val="-8"/>
        </w:rPr>
        <w:t> </w:t>
      </w:r>
      <w:r>
        <w:rPr/>
        <w:t>care</w:t>
      </w:r>
      <w:r>
        <w:rPr>
          <w:spacing w:val="-9"/>
        </w:rPr>
        <w:t> </w:t>
      </w:r>
      <w:r>
        <w:rPr/>
        <w:t>se</w:t>
      </w:r>
      <w:r>
        <w:rPr>
          <w:spacing w:val="-9"/>
        </w:rPr>
        <w:t> </w:t>
      </w:r>
      <w:r>
        <w:rPr/>
        <w:t>indică:</w:t>
      </w:r>
      <w:r>
        <w:rPr>
          <w:spacing w:val="-8"/>
        </w:rPr>
        <w:t> </w:t>
      </w:r>
      <w:r>
        <w:rPr/>
        <w:t>cuantumul</w:t>
      </w:r>
      <w:r>
        <w:rPr>
          <w:spacing w:val="-8"/>
        </w:rPr>
        <w:t> </w:t>
      </w:r>
      <w:r>
        <w:rPr/>
        <w:t>pierderilor</w:t>
      </w:r>
      <w:r>
        <w:rPr>
          <w:spacing w:val="-8"/>
        </w:rPr>
        <w:t> </w:t>
      </w:r>
      <w:r>
        <w:rPr/>
        <w:t>estimate</w:t>
      </w:r>
      <w:r>
        <w:rPr>
          <w:spacing w:val="-9"/>
        </w:rPr>
        <w:t> </w:t>
      </w:r>
      <w:r>
        <w:rPr/>
        <w:t>în</w:t>
      </w:r>
      <w:r>
        <w:rPr>
          <w:spacing w:val="-7"/>
        </w:rPr>
        <w:t> </w:t>
      </w:r>
      <w:r>
        <w:rPr/>
        <w:t>urma</w:t>
      </w:r>
      <w:r>
        <w:rPr>
          <w:spacing w:val="-9"/>
        </w:rPr>
        <w:t> </w:t>
      </w:r>
      <w:r>
        <w:rPr/>
        <w:t>producerii riscului</w:t>
      </w:r>
      <w:r>
        <w:rPr>
          <w:spacing w:val="-12"/>
        </w:rPr>
        <w:t> </w:t>
      </w:r>
      <w:r>
        <w:rPr/>
        <w:t>asigurat,</w:t>
      </w:r>
      <w:r>
        <w:rPr>
          <w:spacing w:val="-14"/>
        </w:rPr>
        <w:t> </w:t>
      </w:r>
      <w:r>
        <w:rPr/>
        <w:t>calculul</w:t>
      </w:r>
      <w:r>
        <w:rPr>
          <w:spacing w:val="-11"/>
        </w:rPr>
        <w:t> </w:t>
      </w:r>
      <w:r>
        <w:rPr/>
        <w:t>estimative</w:t>
      </w:r>
      <w:r>
        <w:rPr>
          <w:spacing w:val="-13"/>
        </w:rPr>
        <w:t> </w:t>
      </w:r>
      <w:r>
        <w:rPr/>
        <w:t>despăgubirii</w:t>
      </w:r>
      <w:r>
        <w:rPr>
          <w:spacing w:val="-11"/>
        </w:rPr>
        <w:t> </w:t>
      </w:r>
      <w:r>
        <w:rPr/>
        <w:t>de</w:t>
      </w:r>
      <w:r>
        <w:rPr>
          <w:spacing w:val="-13"/>
        </w:rPr>
        <w:t> </w:t>
      </w:r>
      <w:r>
        <w:rPr/>
        <w:t>asigurare,</w:t>
      </w:r>
      <w:r>
        <w:rPr>
          <w:spacing w:val="-13"/>
        </w:rPr>
        <w:t> </w:t>
      </w:r>
      <w:r>
        <w:rPr/>
        <w:t>eventualele</w:t>
      </w:r>
      <w:r>
        <w:rPr>
          <w:spacing w:val="-12"/>
        </w:rPr>
        <w:t> </w:t>
      </w:r>
      <w:r>
        <w:rPr/>
        <w:t>obiecții</w:t>
      </w:r>
      <w:r>
        <w:rPr>
          <w:spacing w:val="-15"/>
        </w:rPr>
        <w:t> </w:t>
      </w:r>
      <w:r>
        <w:rPr/>
        <w:t>părţilor privind cuantumul pagubelor estimative. Actul se întocmește în cîte un exemplar, ce le revine părților participante la constatarea producerii riscului</w:t>
      </w:r>
      <w:r>
        <w:rPr>
          <w:spacing w:val="-15"/>
        </w:rPr>
        <w:t> </w:t>
      </w:r>
      <w:r>
        <w:rPr/>
        <w:t>asigurat.</w:t>
      </w:r>
    </w:p>
    <w:p>
      <w:pPr>
        <w:pStyle w:val="ListParagraph"/>
        <w:numPr>
          <w:ilvl w:val="0"/>
          <w:numId w:val="1"/>
        </w:numPr>
        <w:tabs>
          <w:tab w:pos="819" w:val="left" w:leader="none"/>
        </w:tabs>
        <w:spacing w:line="321" w:lineRule="exact" w:before="0" w:after="0"/>
        <w:ind w:left="818" w:right="0" w:hanging="502"/>
        <w:jc w:val="left"/>
        <w:rPr>
          <w:sz w:val="28"/>
        </w:rPr>
      </w:pPr>
      <w:r>
        <w:rPr>
          <w:sz w:val="28"/>
        </w:rPr>
        <w:t>La articolul</w:t>
      </w:r>
      <w:r>
        <w:rPr>
          <w:spacing w:val="-4"/>
          <w:sz w:val="28"/>
        </w:rPr>
        <w:t> </w:t>
      </w:r>
      <w:r>
        <w:rPr>
          <w:sz w:val="28"/>
        </w:rPr>
        <w:t>14:</w:t>
      </w:r>
    </w:p>
    <w:p>
      <w:pPr>
        <w:pStyle w:val="BodyText"/>
        <w:spacing w:line="322" w:lineRule="exact"/>
        <w:ind w:left="746"/>
      </w:pPr>
      <w:r>
        <w:rPr/>
        <w:t>alin. (1) va avea următorul cuprins:</w:t>
      </w:r>
    </w:p>
    <w:p>
      <w:pPr>
        <w:pStyle w:val="BodyText"/>
        <w:spacing w:before="2"/>
        <w:ind w:left="676" w:right="123" w:firstLine="72"/>
        <w:jc w:val="both"/>
      </w:pPr>
      <w:r>
        <w:rPr/>
        <w:t>„(1) Asigurătorul, în termen de 10 zile de la data prezentării ultimului document</w:t>
      </w:r>
      <w:r>
        <w:rPr>
          <w:spacing w:val="-49"/>
        </w:rPr>
        <w:t> </w:t>
      </w:r>
      <w:r>
        <w:rPr/>
        <w:t>prevăzut în contractul de asigurare și semnării acordului asupra mărimii despăgubirii de asigurare calculate, plătește despăgubirea de</w:t>
      </w:r>
      <w:r>
        <w:rPr>
          <w:spacing w:val="-10"/>
        </w:rPr>
        <w:t> </w:t>
      </w:r>
      <w:r>
        <w:rPr/>
        <w:t>asigurare.”</w:t>
      </w:r>
    </w:p>
    <w:p>
      <w:pPr>
        <w:pStyle w:val="BodyText"/>
        <w:spacing w:line="320" w:lineRule="exact"/>
        <w:ind w:left="676"/>
      </w:pPr>
      <w:r>
        <w:rPr/>
        <w:t>Se completează articolul cu un alineat nou, (5), cu următorul cuprins:</w:t>
      </w:r>
    </w:p>
    <w:p>
      <w:pPr>
        <w:pStyle w:val="BodyText"/>
        <w:ind w:left="676" w:right="122"/>
        <w:jc w:val="both"/>
      </w:pPr>
      <w:r>
        <w:rPr/>
        <w:t>„(5) În cazul când, la momentul achitării despăgubirii de asigurare, partea primei de asigurare</w:t>
      </w:r>
      <w:r>
        <w:rPr>
          <w:spacing w:val="-12"/>
        </w:rPr>
        <w:t> </w:t>
      </w:r>
      <w:r>
        <w:rPr/>
        <w:t>subvenţionată</w:t>
      </w:r>
      <w:r>
        <w:rPr>
          <w:spacing w:val="-12"/>
        </w:rPr>
        <w:t> </w:t>
      </w:r>
      <w:r>
        <w:rPr/>
        <w:t>de</w:t>
      </w:r>
      <w:r>
        <w:rPr>
          <w:spacing w:val="-9"/>
        </w:rPr>
        <w:t> </w:t>
      </w:r>
      <w:r>
        <w:rPr/>
        <w:t>către</w:t>
      </w:r>
      <w:r>
        <w:rPr>
          <w:spacing w:val="-12"/>
        </w:rPr>
        <w:t> </w:t>
      </w:r>
      <w:r>
        <w:rPr/>
        <w:t>stat</w:t>
      </w:r>
      <w:r>
        <w:rPr>
          <w:spacing w:val="-10"/>
        </w:rPr>
        <w:t> </w:t>
      </w:r>
      <w:r>
        <w:rPr/>
        <w:t>nu</w:t>
      </w:r>
      <w:r>
        <w:rPr>
          <w:spacing w:val="-11"/>
        </w:rPr>
        <w:t> </w:t>
      </w:r>
      <w:r>
        <w:rPr/>
        <w:t>a</w:t>
      </w:r>
      <w:r>
        <w:rPr>
          <w:spacing w:val="-10"/>
        </w:rPr>
        <w:t> </w:t>
      </w:r>
      <w:r>
        <w:rPr/>
        <w:t>fost</w:t>
      </w:r>
      <w:r>
        <w:rPr>
          <w:spacing w:val="-10"/>
        </w:rPr>
        <w:t> </w:t>
      </w:r>
      <w:r>
        <w:rPr/>
        <w:t>încasată,</w:t>
      </w:r>
      <w:r>
        <w:rPr>
          <w:spacing w:val="-11"/>
        </w:rPr>
        <w:t> </w:t>
      </w:r>
      <w:r>
        <w:rPr/>
        <w:t>asigurătorul</w:t>
      </w:r>
      <w:r>
        <w:rPr>
          <w:spacing w:val="-11"/>
        </w:rPr>
        <w:t> </w:t>
      </w:r>
      <w:r>
        <w:rPr/>
        <w:t>achită</w:t>
      </w:r>
      <w:r>
        <w:rPr>
          <w:spacing w:val="-11"/>
        </w:rPr>
        <w:t> </w:t>
      </w:r>
      <w:r>
        <w:rPr/>
        <w:t>despăgubirea</w:t>
      </w:r>
      <w:r>
        <w:rPr>
          <w:spacing w:val="-10"/>
        </w:rPr>
        <w:t> </w:t>
      </w:r>
      <w:r>
        <w:rPr/>
        <w:t>de asigurare proporțional primelor de asigurare încasate. După achitarea de către stat a părții subvenţionate, asigurătorul în termen de 10 zile calendaristice achită asiguratului partea restantă a despăgubirilor de</w:t>
      </w:r>
      <w:r>
        <w:rPr>
          <w:spacing w:val="-9"/>
        </w:rPr>
        <w:t> </w:t>
      </w:r>
      <w:r>
        <w:rPr/>
        <w:t>asigurare.”</w:t>
      </w:r>
    </w:p>
    <w:p>
      <w:pPr>
        <w:pStyle w:val="ListParagraph"/>
        <w:numPr>
          <w:ilvl w:val="0"/>
          <w:numId w:val="1"/>
        </w:numPr>
        <w:tabs>
          <w:tab w:pos="819" w:val="left" w:leader="none"/>
        </w:tabs>
        <w:spacing w:line="322" w:lineRule="exact" w:before="0" w:after="0"/>
        <w:ind w:left="818" w:right="0" w:hanging="502"/>
        <w:jc w:val="left"/>
        <w:rPr>
          <w:sz w:val="28"/>
        </w:rPr>
      </w:pPr>
      <w:r>
        <w:rPr>
          <w:sz w:val="28"/>
        </w:rPr>
        <w:t>La articolul</w:t>
      </w:r>
      <w:r>
        <w:rPr>
          <w:spacing w:val="-4"/>
          <w:sz w:val="28"/>
        </w:rPr>
        <w:t> </w:t>
      </w:r>
      <w:r>
        <w:rPr>
          <w:sz w:val="28"/>
        </w:rPr>
        <w:t>17:</w:t>
      </w:r>
    </w:p>
    <w:p>
      <w:pPr>
        <w:pStyle w:val="BodyText"/>
        <w:spacing w:line="322" w:lineRule="exact"/>
        <w:ind w:left="745"/>
      </w:pPr>
      <w:r>
        <w:rPr/>
        <w:t>alin. (1) va avea următorul cuprins:</w:t>
      </w:r>
    </w:p>
    <w:p>
      <w:pPr>
        <w:pStyle w:val="BodyText"/>
        <w:spacing w:line="322" w:lineRule="exact"/>
        <w:ind w:left="676"/>
      </w:pPr>
      <w:r>
        <w:rPr/>
        <w:t>„(1) Contractul de asigurare se încheie pe perioada unui ciclu agricol, pe un an sau pe un</w:t>
      </w:r>
    </w:p>
    <w:p>
      <w:pPr>
        <w:pStyle w:val="BodyText"/>
        <w:spacing w:line="242" w:lineRule="auto"/>
        <w:ind w:left="675" w:right="674"/>
      </w:pPr>
      <w:r>
        <w:rPr/>
        <w:t>termen mai scurt, în funcție de perioada posibilă de producere a riscurilor asigurate”. Alineatele (2) și (4) se abrogă.</w:t>
      </w:r>
    </w:p>
    <w:p>
      <w:pPr>
        <w:spacing w:after="0" w:line="242" w:lineRule="auto"/>
        <w:sectPr>
          <w:pgSz w:w="11910" w:h="16850"/>
          <w:pgMar w:top="360" w:bottom="280" w:left="600" w:right="440"/>
        </w:sectPr>
      </w:pPr>
    </w:p>
    <w:p>
      <w:pPr>
        <w:pStyle w:val="BodyText"/>
        <w:spacing w:line="322" w:lineRule="exact" w:before="66"/>
        <w:ind w:left="676"/>
      </w:pPr>
      <w:r>
        <w:rPr/>
        <w:t>La alin. (5) a doua propoziție se exclude.</w:t>
      </w:r>
    </w:p>
    <w:p>
      <w:pPr>
        <w:pStyle w:val="ListParagraph"/>
        <w:numPr>
          <w:ilvl w:val="0"/>
          <w:numId w:val="1"/>
        </w:numPr>
        <w:tabs>
          <w:tab w:pos="819" w:val="left" w:leader="none"/>
        </w:tabs>
        <w:spacing w:line="322" w:lineRule="exact" w:before="0" w:after="0"/>
        <w:ind w:left="818" w:right="0" w:hanging="502"/>
        <w:jc w:val="left"/>
        <w:rPr>
          <w:sz w:val="28"/>
        </w:rPr>
      </w:pPr>
      <w:r>
        <w:rPr>
          <w:sz w:val="28"/>
        </w:rPr>
        <w:t>La articolul</w:t>
      </w:r>
      <w:r>
        <w:rPr>
          <w:spacing w:val="-4"/>
          <w:sz w:val="28"/>
        </w:rPr>
        <w:t> </w:t>
      </w:r>
      <w:r>
        <w:rPr>
          <w:sz w:val="28"/>
        </w:rPr>
        <w:t>21:</w:t>
      </w:r>
    </w:p>
    <w:p>
      <w:pPr>
        <w:pStyle w:val="BodyText"/>
        <w:spacing w:line="322" w:lineRule="exact"/>
        <w:ind w:left="745"/>
      </w:pPr>
      <w:r>
        <w:rPr/>
        <w:t>alin. (1) va avea următorul cuprins:</w:t>
      </w:r>
    </w:p>
    <w:p>
      <w:pPr>
        <w:pStyle w:val="BodyText"/>
        <w:ind w:left="676" w:right="124"/>
        <w:jc w:val="both"/>
      </w:pPr>
      <w:r>
        <w:rPr/>
        <w:t>„(1) Pentru realizarea prevederilor prezentei legi, anual, în Fondul Național pentru Agricultură și Dezvoltare Rurală sunt alocate mijloace financiare destinate subvenționării asigurării riscurilor de producție în agricultură”.</w:t>
      </w:r>
    </w:p>
    <w:p>
      <w:pPr>
        <w:pStyle w:val="BodyText"/>
        <w:spacing w:line="321" w:lineRule="exact"/>
        <w:ind w:left="676"/>
      </w:pPr>
      <w:r>
        <w:rPr/>
        <w:t>Alin. (5) se exclude.</w:t>
      </w:r>
    </w:p>
    <w:p>
      <w:pPr>
        <w:pStyle w:val="ListParagraph"/>
        <w:numPr>
          <w:ilvl w:val="0"/>
          <w:numId w:val="1"/>
        </w:numPr>
        <w:tabs>
          <w:tab w:pos="818" w:val="left" w:leader="none"/>
        </w:tabs>
        <w:spacing w:line="322" w:lineRule="exact" w:before="2" w:after="0"/>
        <w:ind w:left="817" w:right="0" w:hanging="501"/>
        <w:jc w:val="left"/>
        <w:rPr>
          <w:sz w:val="28"/>
        </w:rPr>
      </w:pPr>
      <w:r>
        <w:rPr>
          <w:sz w:val="28"/>
        </w:rPr>
        <w:t>La articolul</w:t>
      </w:r>
      <w:r>
        <w:rPr>
          <w:spacing w:val="-4"/>
          <w:sz w:val="28"/>
        </w:rPr>
        <w:t> </w:t>
      </w:r>
      <w:r>
        <w:rPr>
          <w:sz w:val="28"/>
        </w:rPr>
        <w:t>22:</w:t>
      </w:r>
    </w:p>
    <w:p>
      <w:pPr>
        <w:pStyle w:val="BodyText"/>
        <w:spacing w:line="322" w:lineRule="exact"/>
        <w:ind w:left="745"/>
      </w:pPr>
      <w:r>
        <w:rPr/>
        <w:t>alin. (1) va avea următorul cuprins:</w:t>
      </w:r>
    </w:p>
    <w:p>
      <w:pPr>
        <w:pStyle w:val="BodyText"/>
        <w:ind w:left="675" w:right="122"/>
        <w:jc w:val="both"/>
      </w:pPr>
      <w:r>
        <w:rPr/>
        <w:t>„(1) Pot fi subvenționate primele de asigurare în cazul asigurării recoltei culturilor Agricole, inclusiv și plantațiile multianuale de orice risc sau de un grup de riscuri cum ar fi: seceta excesivă, grindină, înghețuri timpurii de toamnă, de iarnă și târzii de primăvară, inundație, ploi torențiale, incendiu, suflarea semințelor, polignirea culturilor, atacul organismelor dăunătoare și alte calamități naturale”.</w:t>
      </w:r>
    </w:p>
    <w:p>
      <w:pPr>
        <w:pStyle w:val="BodyText"/>
        <w:spacing w:line="322" w:lineRule="exact"/>
        <w:ind w:left="675"/>
      </w:pPr>
      <w:r>
        <w:rPr/>
        <w:t>alin. (3) va avea următorul cuprins:</w:t>
      </w:r>
    </w:p>
    <w:p>
      <w:pPr>
        <w:pStyle w:val="BodyText"/>
        <w:ind w:left="675" w:right="122" w:firstLine="69"/>
        <w:jc w:val="both"/>
      </w:pPr>
      <w:r>
        <w:rPr/>
        <w:t>(3) Se admite subvenţionarea primelor de asigurare la asigurarea animalelor, păsărilor, familiilor de albine şi a peştilor de următoarele riscuri: pieirea și/sau sacrificarea forțată conform indicațiilor responsabile din cadrul Agenției Naționale pentru Siguranța Alimentelor, din cauza bolilor, calamităților naturale, accidentelor/incendiilor”.</w:t>
      </w:r>
    </w:p>
    <w:p>
      <w:pPr>
        <w:pStyle w:val="ListParagraph"/>
        <w:numPr>
          <w:ilvl w:val="0"/>
          <w:numId w:val="1"/>
        </w:numPr>
        <w:tabs>
          <w:tab w:pos="818" w:val="left" w:leader="none"/>
        </w:tabs>
        <w:spacing w:line="320" w:lineRule="exact" w:before="0" w:after="0"/>
        <w:ind w:left="817" w:right="0" w:hanging="502"/>
        <w:jc w:val="left"/>
        <w:rPr>
          <w:sz w:val="28"/>
        </w:rPr>
      </w:pPr>
      <w:r>
        <w:rPr>
          <w:sz w:val="28"/>
        </w:rPr>
        <w:t>La art. 23, alin. (2) va avea următorul</w:t>
      </w:r>
      <w:r>
        <w:rPr>
          <w:spacing w:val="-13"/>
          <w:sz w:val="28"/>
        </w:rPr>
        <w:t> </w:t>
      </w:r>
      <w:r>
        <w:rPr>
          <w:sz w:val="28"/>
        </w:rPr>
        <w:t>cuprins:</w:t>
      </w:r>
    </w:p>
    <w:p>
      <w:pPr>
        <w:pStyle w:val="BodyText"/>
        <w:spacing w:before="2"/>
        <w:ind w:left="675" w:right="119"/>
        <w:jc w:val="both"/>
      </w:pPr>
      <w:r>
        <w:rPr/>
        <w:t>„(2) Cuantumul subvenției se stabilește în baza primelor de asigurare calculate conform tarifelor de asigurare prevăzute în condițiile speciale de asigurare a riscurilor de producție în agricultură și constituie cel puțin 50% din valoarea acestora pentru toți producătorii agricoli. Guvernul, în dependență de disponibilitatea financiară, condițiile climaterice, precum</w:t>
      </w:r>
      <w:r>
        <w:rPr>
          <w:spacing w:val="-21"/>
        </w:rPr>
        <w:t> </w:t>
      </w:r>
      <w:r>
        <w:rPr/>
        <w:t>și</w:t>
      </w:r>
      <w:r>
        <w:rPr>
          <w:spacing w:val="-14"/>
        </w:rPr>
        <w:t> </w:t>
      </w:r>
      <w:r>
        <w:rPr/>
        <w:t>pentru</w:t>
      </w:r>
      <w:r>
        <w:rPr>
          <w:spacing w:val="-15"/>
        </w:rPr>
        <w:t> </w:t>
      </w:r>
      <w:r>
        <w:rPr/>
        <w:t>promovarea</w:t>
      </w:r>
      <w:r>
        <w:rPr>
          <w:spacing w:val="-15"/>
        </w:rPr>
        <w:t> </w:t>
      </w:r>
      <w:r>
        <w:rPr/>
        <w:t>culturii</w:t>
      </w:r>
      <w:r>
        <w:rPr>
          <w:spacing w:val="-15"/>
        </w:rPr>
        <w:t> </w:t>
      </w:r>
      <w:r>
        <w:rPr/>
        <w:t>asigurărilor</w:t>
      </w:r>
      <w:r>
        <w:rPr>
          <w:spacing w:val="-15"/>
        </w:rPr>
        <w:t> </w:t>
      </w:r>
      <w:r>
        <w:rPr/>
        <w:t>în</w:t>
      </w:r>
      <w:r>
        <w:rPr>
          <w:spacing w:val="-15"/>
        </w:rPr>
        <w:t> </w:t>
      </w:r>
      <w:r>
        <w:rPr/>
        <w:t>agricultură,</w:t>
      </w:r>
      <w:r>
        <w:rPr>
          <w:spacing w:val="-16"/>
        </w:rPr>
        <w:t> </w:t>
      </w:r>
      <w:r>
        <w:rPr/>
        <w:t>mai</w:t>
      </w:r>
      <w:r>
        <w:rPr>
          <w:spacing w:val="-15"/>
        </w:rPr>
        <w:t> </w:t>
      </w:r>
      <w:r>
        <w:rPr/>
        <w:t>cu</w:t>
      </w:r>
      <w:r>
        <w:rPr>
          <w:spacing w:val="-14"/>
        </w:rPr>
        <w:t> </w:t>
      </w:r>
      <w:r>
        <w:rPr/>
        <w:t>seamă</w:t>
      </w:r>
      <w:r>
        <w:rPr>
          <w:spacing w:val="-16"/>
        </w:rPr>
        <w:t> </w:t>
      </w:r>
      <w:r>
        <w:rPr/>
        <w:t>a</w:t>
      </w:r>
      <w:r>
        <w:rPr>
          <w:spacing w:val="-15"/>
        </w:rPr>
        <w:t> </w:t>
      </w:r>
      <w:r>
        <w:rPr/>
        <w:t>produselor cu valoare adăugată, poate dispune majorarea sumei subvenției aferente primelor de asigurare, cu pînă la 20 puncte</w:t>
      </w:r>
      <w:r>
        <w:rPr>
          <w:spacing w:val="-9"/>
        </w:rPr>
        <w:t> </w:t>
      </w:r>
      <w:r>
        <w:rPr/>
        <w:t>procentuale.</w:t>
      </w:r>
    </w:p>
    <w:p>
      <w:pPr>
        <w:pStyle w:val="BodyText"/>
        <w:spacing w:line="321" w:lineRule="exact"/>
        <w:ind w:left="675"/>
        <w:jc w:val="both"/>
      </w:pPr>
      <w:r>
        <w:rPr/>
        <w:t>La alin. (3), în final se completează cu textul „dacă actele normative nu stabilesc altfel”.</w:t>
      </w:r>
    </w:p>
    <w:p>
      <w:pPr>
        <w:pStyle w:val="BodyText"/>
        <w:rPr>
          <w:sz w:val="30"/>
        </w:rPr>
      </w:pPr>
    </w:p>
    <w:p>
      <w:pPr>
        <w:pStyle w:val="BodyText"/>
        <w:spacing w:before="10"/>
        <w:rPr>
          <w:sz w:val="25"/>
        </w:rPr>
      </w:pPr>
    </w:p>
    <w:p>
      <w:pPr>
        <w:pStyle w:val="Heading1"/>
        <w:ind w:left="675"/>
        <w:jc w:val="both"/>
      </w:pPr>
      <w:r>
        <w:rPr/>
        <w:t>PRESEDINTE AL PARLAMENTULUI</w:t>
      </w:r>
    </w:p>
    <w:p>
      <w:pPr>
        <w:spacing w:after="0"/>
        <w:jc w:val="both"/>
        <w:sectPr>
          <w:pgSz w:w="11910" w:h="16850"/>
          <w:pgMar w:top="360" w:bottom="280" w:left="600" w:right="440"/>
        </w:sectPr>
      </w:pPr>
    </w:p>
    <w:p>
      <w:pPr>
        <w:spacing w:line="322" w:lineRule="exact" w:before="66"/>
        <w:ind w:left="780" w:right="228" w:firstLine="0"/>
        <w:jc w:val="center"/>
        <w:rPr>
          <w:b/>
          <w:sz w:val="28"/>
        </w:rPr>
      </w:pPr>
      <w:r>
        <w:rPr>
          <w:b/>
          <w:sz w:val="28"/>
        </w:rPr>
        <w:t>Notă informativă</w:t>
      </w:r>
    </w:p>
    <w:p>
      <w:pPr>
        <w:spacing w:before="0"/>
        <w:ind w:left="780" w:right="228" w:firstLine="0"/>
        <w:jc w:val="center"/>
        <w:rPr>
          <w:b/>
          <w:sz w:val="28"/>
        </w:rPr>
      </w:pPr>
      <w:r>
        <w:rPr>
          <w:b/>
          <w:sz w:val="28"/>
        </w:rPr>
        <w:t>la proiectul Legii cu privire la modificarea și completarea Legii privind asigurarea subvenţionată a riscurilor de producţie în agricultură nr. 243-XV din 08 iulie 2004</w:t>
      </w:r>
    </w:p>
    <w:p>
      <w:pPr>
        <w:pStyle w:val="BodyText"/>
        <w:spacing w:before="10"/>
        <w:rPr>
          <w:b/>
          <w:sz w:val="27"/>
        </w:rPr>
      </w:pPr>
    </w:p>
    <w:tbl>
      <w:tblPr>
        <w:tblW w:w="0" w:type="auto"/>
        <w:jc w:val="left"/>
        <w:tblInd w:w="68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056"/>
      </w:tblGrid>
      <w:tr>
        <w:trPr>
          <w:trHeight w:val="352" w:hRule="atLeast"/>
        </w:trPr>
        <w:tc>
          <w:tcPr>
            <w:tcW w:w="10056" w:type="dxa"/>
          </w:tcPr>
          <w:p>
            <w:pPr>
              <w:pStyle w:val="TableParagraph"/>
              <w:spacing w:line="316" w:lineRule="exact" w:before="16"/>
              <w:ind w:left="45" w:right="0"/>
              <w:jc w:val="left"/>
              <w:rPr>
                <w:b/>
                <w:sz w:val="28"/>
              </w:rPr>
            </w:pPr>
            <w:r>
              <w:rPr>
                <w:b/>
                <w:sz w:val="28"/>
              </w:rPr>
              <w:t>Condiţiile</w:t>
            </w:r>
            <w:r>
              <w:rPr>
                <w:b/>
                <w:spacing w:val="-12"/>
                <w:sz w:val="28"/>
              </w:rPr>
              <w:t> </w:t>
            </w:r>
            <w:r>
              <w:rPr>
                <w:b/>
                <w:sz w:val="28"/>
              </w:rPr>
              <w:t>ce</w:t>
            </w:r>
            <w:r>
              <w:rPr>
                <w:b/>
                <w:spacing w:val="-12"/>
                <w:sz w:val="28"/>
              </w:rPr>
              <w:t> </w:t>
            </w:r>
            <w:r>
              <w:rPr>
                <w:b/>
                <w:sz w:val="28"/>
              </w:rPr>
              <w:t>au</w:t>
            </w:r>
            <w:r>
              <w:rPr>
                <w:b/>
                <w:spacing w:val="-12"/>
                <w:sz w:val="28"/>
              </w:rPr>
              <w:t> </w:t>
            </w:r>
            <w:r>
              <w:rPr>
                <w:b/>
                <w:sz w:val="28"/>
              </w:rPr>
              <w:t>impus</w:t>
            </w:r>
            <w:r>
              <w:rPr>
                <w:b/>
                <w:spacing w:val="-9"/>
                <w:sz w:val="28"/>
              </w:rPr>
              <w:t> </w:t>
            </w:r>
            <w:r>
              <w:rPr>
                <w:b/>
                <w:sz w:val="28"/>
              </w:rPr>
              <w:t>elaborarea</w:t>
            </w:r>
            <w:r>
              <w:rPr>
                <w:b/>
                <w:spacing w:val="-9"/>
                <w:sz w:val="28"/>
              </w:rPr>
              <w:t> </w:t>
            </w:r>
            <w:r>
              <w:rPr>
                <w:b/>
                <w:sz w:val="28"/>
              </w:rPr>
              <w:t>proiectului</w:t>
            </w:r>
            <w:r>
              <w:rPr>
                <w:b/>
                <w:spacing w:val="-9"/>
                <w:sz w:val="28"/>
              </w:rPr>
              <w:t> </w:t>
            </w:r>
            <w:r>
              <w:rPr>
                <w:b/>
                <w:sz w:val="28"/>
              </w:rPr>
              <w:t>de</w:t>
            </w:r>
            <w:r>
              <w:rPr>
                <w:b/>
                <w:spacing w:val="-11"/>
                <w:sz w:val="28"/>
              </w:rPr>
              <w:t> </w:t>
            </w:r>
            <w:r>
              <w:rPr>
                <w:b/>
                <w:sz w:val="28"/>
              </w:rPr>
              <w:t>act</w:t>
            </w:r>
            <w:r>
              <w:rPr>
                <w:b/>
                <w:spacing w:val="-12"/>
                <w:sz w:val="28"/>
              </w:rPr>
              <w:t> </w:t>
            </w:r>
            <w:r>
              <w:rPr>
                <w:b/>
                <w:sz w:val="28"/>
              </w:rPr>
              <w:t>normativ</w:t>
            </w:r>
            <w:r>
              <w:rPr>
                <w:b/>
                <w:spacing w:val="-9"/>
                <w:sz w:val="28"/>
              </w:rPr>
              <w:t> </w:t>
            </w:r>
            <w:r>
              <w:rPr>
                <w:b/>
                <w:sz w:val="28"/>
              </w:rPr>
              <w:t>şi</w:t>
            </w:r>
            <w:r>
              <w:rPr>
                <w:b/>
                <w:spacing w:val="-9"/>
                <w:sz w:val="28"/>
              </w:rPr>
              <w:t> </w:t>
            </w:r>
            <w:r>
              <w:rPr>
                <w:b/>
                <w:sz w:val="28"/>
              </w:rPr>
              <w:t>finalitățile</w:t>
            </w:r>
            <w:r>
              <w:rPr>
                <w:b/>
                <w:spacing w:val="-11"/>
                <w:sz w:val="28"/>
              </w:rPr>
              <w:t> </w:t>
            </w:r>
            <w:r>
              <w:rPr>
                <w:b/>
                <w:sz w:val="28"/>
              </w:rPr>
              <w:t>urmărite</w:t>
            </w:r>
          </w:p>
        </w:tc>
      </w:tr>
      <w:tr>
        <w:trPr>
          <w:trHeight w:val="12448" w:hRule="atLeast"/>
        </w:trPr>
        <w:tc>
          <w:tcPr>
            <w:tcW w:w="10056" w:type="dxa"/>
          </w:tcPr>
          <w:p>
            <w:pPr>
              <w:pStyle w:val="TableParagraph"/>
              <w:spacing w:before="15"/>
              <w:ind w:left="45" w:right="23" w:firstLine="566"/>
              <w:jc w:val="both"/>
              <w:rPr>
                <w:sz w:val="24"/>
              </w:rPr>
            </w:pPr>
            <w:r>
              <w:rPr>
                <w:sz w:val="24"/>
              </w:rPr>
              <w:t>Sectorul agricol este unul foarte vulnerabil la calamitățile naturale. Frecvența acestora este în permanentă creștere. Suntem martori ai schimbărilor climatice care generează înghețuri, inundații, secete, căderi de grindină, etc.</w:t>
            </w:r>
          </w:p>
          <w:p>
            <w:pPr>
              <w:pStyle w:val="TableParagraph"/>
              <w:spacing w:before="0"/>
              <w:ind w:left="45" w:right="26" w:firstLine="566"/>
              <w:jc w:val="both"/>
              <w:rPr>
                <w:sz w:val="24"/>
              </w:rPr>
            </w:pPr>
            <w:r>
              <w:rPr>
                <w:sz w:val="24"/>
              </w:rPr>
              <w:t>Pierderile cauzate fermierilor se evaluează de la sute de milioane de lei până la miliarde, fapt care afectează</w:t>
            </w:r>
            <w:r>
              <w:rPr>
                <w:spacing w:val="-12"/>
                <w:sz w:val="24"/>
              </w:rPr>
              <w:t> </w:t>
            </w:r>
            <w:r>
              <w:rPr>
                <w:sz w:val="24"/>
              </w:rPr>
              <w:t>nu</w:t>
            </w:r>
            <w:r>
              <w:rPr>
                <w:spacing w:val="-11"/>
                <w:sz w:val="24"/>
              </w:rPr>
              <w:t> </w:t>
            </w:r>
            <w:r>
              <w:rPr>
                <w:sz w:val="24"/>
              </w:rPr>
              <w:t>doar</w:t>
            </w:r>
            <w:r>
              <w:rPr>
                <w:spacing w:val="-12"/>
                <w:sz w:val="24"/>
              </w:rPr>
              <w:t> </w:t>
            </w:r>
            <w:r>
              <w:rPr>
                <w:sz w:val="24"/>
              </w:rPr>
              <w:t>starea</w:t>
            </w:r>
            <w:r>
              <w:rPr>
                <w:spacing w:val="-12"/>
                <w:sz w:val="24"/>
              </w:rPr>
              <w:t> </w:t>
            </w:r>
            <w:r>
              <w:rPr>
                <w:sz w:val="24"/>
              </w:rPr>
              <w:t>financiară</w:t>
            </w:r>
            <w:r>
              <w:rPr>
                <w:spacing w:val="-10"/>
                <w:sz w:val="24"/>
              </w:rPr>
              <w:t> </w:t>
            </w:r>
            <w:r>
              <w:rPr>
                <w:sz w:val="24"/>
              </w:rPr>
              <w:t>a</w:t>
            </w:r>
            <w:r>
              <w:rPr>
                <w:spacing w:val="-10"/>
                <w:sz w:val="24"/>
              </w:rPr>
              <w:t> </w:t>
            </w:r>
            <w:r>
              <w:rPr>
                <w:sz w:val="24"/>
              </w:rPr>
              <w:t>acestora,</w:t>
            </w:r>
            <w:r>
              <w:rPr>
                <w:spacing w:val="-11"/>
                <w:sz w:val="24"/>
              </w:rPr>
              <w:t> </w:t>
            </w:r>
            <w:r>
              <w:rPr>
                <w:sz w:val="24"/>
              </w:rPr>
              <w:t>dar</w:t>
            </w:r>
            <w:r>
              <w:rPr>
                <w:spacing w:val="-12"/>
                <w:sz w:val="24"/>
              </w:rPr>
              <w:t> </w:t>
            </w:r>
            <w:r>
              <w:rPr>
                <w:sz w:val="24"/>
              </w:rPr>
              <w:t>și</w:t>
            </w:r>
            <w:r>
              <w:rPr>
                <w:spacing w:val="-11"/>
                <w:sz w:val="24"/>
              </w:rPr>
              <w:t> </w:t>
            </w:r>
            <w:r>
              <w:rPr>
                <w:sz w:val="24"/>
              </w:rPr>
              <w:t>indicatorii</w:t>
            </w:r>
            <w:r>
              <w:rPr>
                <w:spacing w:val="-10"/>
                <w:sz w:val="24"/>
              </w:rPr>
              <w:t> </w:t>
            </w:r>
            <w:r>
              <w:rPr>
                <w:sz w:val="24"/>
              </w:rPr>
              <w:t>macroeconomici</w:t>
            </w:r>
            <w:r>
              <w:rPr>
                <w:spacing w:val="-11"/>
                <w:sz w:val="24"/>
              </w:rPr>
              <w:t> </w:t>
            </w:r>
            <w:r>
              <w:rPr>
                <w:sz w:val="24"/>
              </w:rPr>
              <w:t>ai</w:t>
            </w:r>
            <w:r>
              <w:rPr>
                <w:spacing w:val="-11"/>
                <w:sz w:val="24"/>
              </w:rPr>
              <w:t> </w:t>
            </w:r>
            <w:r>
              <w:rPr>
                <w:sz w:val="24"/>
              </w:rPr>
              <w:t>țării</w:t>
            </w:r>
            <w:r>
              <w:rPr>
                <w:spacing w:val="-11"/>
                <w:sz w:val="24"/>
              </w:rPr>
              <w:t> </w:t>
            </w:r>
            <w:r>
              <w:rPr>
                <w:sz w:val="24"/>
              </w:rPr>
              <w:t>(mai</w:t>
            </w:r>
            <w:r>
              <w:rPr>
                <w:spacing w:val="-8"/>
                <w:sz w:val="24"/>
              </w:rPr>
              <w:t> </w:t>
            </w:r>
            <w:r>
              <w:rPr>
                <w:sz w:val="24"/>
              </w:rPr>
              <w:t>ales</w:t>
            </w:r>
            <w:r>
              <w:rPr>
                <w:spacing w:val="-11"/>
                <w:sz w:val="24"/>
              </w:rPr>
              <w:t> </w:t>
            </w:r>
            <w:r>
              <w:rPr>
                <w:sz w:val="24"/>
              </w:rPr>
              <w:t>în</w:t>
            </w:r>
            <w:r>
              <w:rPr>
                <w:spacing w:val="-9"/>
                <w:sz w:val="24"/>
              </w:rPr>
              <w:t> </w:t>
            </w:r>
            <w:r>
              <w:rPr>
                <w:sz w:val="24"/>
              </w:rPr>
              <w:t>cazul secetelor excesive).</w:t>
            </w:r>
          </w:p>
          <w:p>
            <w:pPr>
              <w:pStyle w:val="TableParagraph"/>
              <w:spacing w:before="0"/>
              <w:ind w:left="45" w:right="25" w:firstLine="566"/>
              <w:jc w:val="both"/>
              <w:rPr>
                <w:sz w:val="24"/>
              </w:rPr>
            </w:pPr>
            <w:r>
              <w:rPr>
                <w:sz w:val="24"/>
              </w:rPr>
              <w:t>Protejarea</w:t>
            </w:r>
            <w:r>
              <w:rPr>
                <w:spacing w:val="-2"/>
                <w:sz w:val="24"/>
              </w:rPr>
              <w:t> </w:t>
            </w:r>
            <w:r>
              <w:rPr>
                <w:sz w:val="24"/>
              </w:rPr>
              <w:t>sectorului</w:t>
            </w:r>
            <w:r>
              <w:rPr>
                <w:spacing w:val="-1"/>
                <w:sz w:val="24"/>
              </w:rPr>
              <w:t> </w:t>
            </w:r>
            <w:r>
              <w:rPr>
                <w:sz w:val="24"/>
              </w:rPr>
              <w:t>agricol</w:t>
            </w:r>
            <w:r>
              <w:rPr>
                <w:spacing w:val="-3"/>
                <w:sz w:val="24"/>
              </w:rPr>
              <w:t> </w:t>
            </w:r>
            <w:r>
              <w:rPr>
                <w:sz w:val="24"/>
              </w:rPr>
              <w:t>de</w:t>
            </w:r>
            <w:r>
              <w:rPr>
                <w:spacing w:val="-5"/>
                <w:sz w:val="24"/>
              </w:rPr>
              <w:t> </w:t>
            </w:r>
            <w:r>
              <w:rPr>
                <w:sz w:val="24"/>
              </w:rPr>
              <w:t>calamitățile</w:t>
            </w:r>
            <w:r>
              <w:rPr>
                <w:spacing w:val="-5"/>
                <w:sz w:val="24"/>
              </w:rPr>
              <w:t> </w:t>
            </w:r>
            <w:r>
              <w:rPr>
                <w:sz w:val="24"/>
              </w:rPr>
              <w:t>naturale</w:t>
            </w:r>
            <w:r>
              <w:rPr>
                <w:spacing w:val="-5"/>
                <w:sz w:val="24"/>
              </w:rPr>
              <w:t> </w:t>
            </w:r>
            <w:r>
              <w:rPr>
                <w:sz w:val="24"/>
              </w:rPr>
              <w:t>a</w:t>
            </w:r>
            <w:r>
              <w:rPr>
                <w:spacing w:val="-5"/>
                <w:sz w:val="24"/>
              </w:rPr>
              <w:t> </w:t>
            </w:r>
            <w:r>
              <w:rPr>
                <w:sz w:val="24"/>
              </w:rPr>
              <w:t>fost</w:t>
            </w:r>
            <w:r>
              <w:rPr>
                <w:spacing w:val="-3"/>
                <w:sz w:val="24"/>
              </w:rPr>
              <w:t> </w:t>
            </w:r>
            <w:r>
              <w:rPr>
                <w:sz w:val="24"/>
              </w:rPr>
              <w:t>permanent</w:t>
            </w:r>
            <w:r>
              <w:rPr>
                <w:spacing w:val="-3"/>
                <w:sz w:val="24"/>
              </w:rPr>
              <w:t> </w:t>
            </w:r>
            <w:r>
              <w:rPr>
                <w:sz w:val="24"/>
              </w:rPr>
              <w:t>o</w:t>
            </w:r>
            <w:r>
              <w:rPr>
                <w:spacing w:val="-4"/>
                <w:sz w:val="24"/>
              </w:rPr>
              <w:t> </w:t>
            </w:r>
            <w:r>
              <w:rPr>
                <w:sz w:val="24"/>
              </w:rPr>
              <w:t>preocupare</w:t>
            </w:r>
            <w:r>
              <w:rPr>
                <w:spacing w:val="-2"/>
                <w:sz w:val="24"/>
              </w:rPr>
              <w:t> </w:t>
            </w:r>
            <w:r>
              <w:rPr>
                <w:sz w:val="24"/>
              </w:rPr>
              <w:t>a</w:t>
            </w:r>
            <w:r>
              <w:rPr>
                <w:spacing w:val="-5"/>
                <w:sz w:val="24"/>
              </w:rPr>
              <w:t> </w:t>
            </w:r>
            <w:r>
              <w:rPr>
                <w:sz w:val="24"/>
              </w:rPr>
              <w:t>statului,</w:t>
            </w:r>
            <w:r>
              <w:rPr>
                <w:spacing w:val="-4"/>
                <w:sz w:val="24"/>
              </w:rPr>
              <w:t> </w:t>
            </w:r>
            <w:r>
              <w:rPr>
                <w:sz w:val="24"/>
              </w:rPr>
              <w:t>care caută să identifice mecanisme de diminuare a consecințelor negative a</w:t>
            </w:r>
            <w:r>
              <w:rPr>
                <w:spacing w:val="-10"/>
                <w:sz w:val="24"/>
              </w:rPr>
              <w:t> </w:t>
            </w:r>
            <w:r>
              <w:rPr>
                <w:sz w:val="24"/>
              </w:rPr>
              <w:t>acestora.</w:t>
            </w:r>
          </w:p>
          <w:p>
            <w:pPr>
              <w:pStyle w:val="TableParagraph"/>
              <w:spacing w:before="0"/>
              <w:ind w:left="45" w:right="28" w:firstLine="566"/>
              <w:jc w:val="both"/>
              <w:rPr>
                <w:sz w:val="24"/>
              </w:rPr>
            </w:pPr>
            <w:r>
              <w:rPr>
                <w:sz w:val="24"/>
              </w:rPr>
              <w:t>Alocarea</w:t>
            </w:r>
            <w:r>
              <w:rPr>
                <w:spacing w:val="-15"/>
                <w:sz w:val="24"/>
              </w:rPr>
              <w:t> </w:t>
            </w:r>
            <w:r>
              <w:rPr>
                <w:sz w:val="24"/>
              </w:rPr>
              <w:t>ad-hoc</w:t>
            </w:r>
            <w:r>
              <w:rPr>
                <w:spacing w:val="-14"/>
                <w:sz w:val="24"/>
              </w:rPr>
              <w:t> </w:t>
            </w:r>
            <w:r>
              <w:rPr>
                <w:sz w:val="24"/>
              </w:rPr>
              <w:t>de</w:t>
            </w:r>
            <w:r>
              <w:rPr>
                <w:spacing w:val="-17"/>
                <w:sz w:val="24"/>
              </w:rPr>
              <w:t> </w:t>
            </w:r>
            <w:r>
              <w:rPr>
                <w:sz w:val="24"/>
              </w:rPr>
              <w:t>mijloace</w:t>
            </w:r>
            <w:r>
              <w:rPr>
                <w:spacing w:val="-14"/>
                <w:sz w:val="24"/>
              </w:rPr>
              <w:t> </w:t>
            </w:r>
            <w:r>
              <w:rPr>
                <w:sz w:val="24"/>
              </w:rPr>
              <w:t>financiare</w:t>
            </w:r>
            <w:r>
              <w:rPr>
                <w:spacing w:val="-14"/>
                <w:sz w:val="24"/>
              </w:rPr>
              <w:t> </w:t>
            </w:r>
            <w:r>
              <w:rPr>
                <w:sz w:val="24"/>
              </w:rPr>
              <w:t>fermierilor</w:t>
            </w:r>
            <w:r>
              <w:rPr>
                <w:spacing w:val="-14"/>
                <w:sz w:val="24"/>
              </w:rPr>
              <w:t> </w:t>
            </w:r>
            <w:r>
              <w:rPr>
                <w:sz w:val="24"/>
              </w:rPr>
              <w:t>afectați,</w:t>
            </w:r>
            <w:r>
              <w:rPr>
                <w:spacing w:val="-17"/>
                <w:sz w:val="24"/>
              </w:rPr>
              <w:t> </w:t>
            </w:r>
            <w:r>
              <w:rPr>
                <w:sz w:val="24"/>
              </w:rPr>
              <w:t>nu</w:t>
            </w:r>
            <w:r>
              <w:rPr>
                <w:spacing w:val="-13"/>
                <w:sz w:val="24"/>
              </w:rPr>
              <w:t> </w:t>
            </w:r>
            <w:r>
              <w:rPr>
                <w:sz w:val="24"/>
              </w:rPr>
              <w:t>este</w:t>
            </w:r>
            <w:r>
              <w:rPr>
                <w:spacing w:val="-17"/>
                <w:sz w:val="24"/>
              </w:rPr>
              <w:t> </w:t>
            </w:r>
            <w:r>
              <w:rPr>
                <w:sz w:val="24"/>
              </w:rPr>
              <w:t>în</w:t>
            </w:r>
            <w:r>
              <w:rPr>
                <w:spacing w:val="-16"/>
                <w:sz w:val="24"/>
              </w:rPr>
              <w:t> </w:t>
            </w:r>
            <w:r>
              <w:rPr>
                <w:sz w:val="24"/>
              </w:rPr>
              <w:t>sine</w:t>
            </w:r>
            <w:r>
              <w:rPr>
                <w:spacing w:val="-14"/>
                <w:sz w:val="24"/>
              </w:rPr>
              <w:t> </w:t>
            </w:r>
            <w:r>
              <w:rPr>
                <w:sz w:val="24"/>
              </w:rPr>
              <w:t>o</w:t>
            </w:r>
            <w:r>
              <w:rPr>
                <w:spacing w:val="-13"/>
                <w:sz w:val="24"/>
              </w:rPr>
              <w:t> </w:t>
            </w:r>
            <w:r>
              <w:rPr>
                <w:sz w:val="24"/>
              </w:rPr>
              <w:t>soluție</w:t>
            </w:r>
            <w:r>
              <w:rPr>
                <w:spacing w:val="-18"/>
                <w:sz w:val="24"/>
              </w:rPr>
              <w:t> </w:t>
            </w:r>
            <w:r>
              <w:rPr>
                <w:sz w:val="24"/>
              </w:rPr>
              <w:t>de</w:t>
            </w:r>
            <w:r>
              <w:rPr>
                <w:spacing w:val="-17"/>
                <w:sz w:val="24"/>
              </w:rPr>
              <w:t> </w:t>
            </w:r>
            <w:r>
              <w:rPr>
                <w:sz w:val="24"/>
              </w:rPr>
              <w:t>lungă</w:t>
            </w:r>
            <w:r>
              <w:rPr>
                <w:spacing w:val="-17"/>
                <w:sz w:val="24"/>
              </w:rPr>
              <w:t> </w:t>
            </w:r>
            <w:r>
              <w:rPr>
                <w:sz w:val="24"/>
              </w:rPr>
              <w:t>durată, deoarece aceasta nu motivează agricultorii să-și protejeze bunurile iar în buget nu întotdeauna există surse financiare, care de urgență ar putea fi</w:t>
            </w:r>
            <w:r>
              <w:rPr>
                <w:spacing w:val="-2"/>
                <w:sz w:val="24"/>
              </w:rPr>
              <w:t> </w:t>
            </w:r>
            <w:r>
              <w:rPr>
                <w:sz w:val="24"/>
              </w:rPr>
              <w:t>alocate.</w:t>
            </w:r>
          </w:p>
          <w:p>
            <w:pPr>
              <w:pStyle w:val="TableParagraph"/>
              <w:spacing w:before="0"/>
              <w:ind w:left="45" w:right="27" w:firstLine="566"/>
              <w:jc w:val="both"/>
              <w:rPr>
                <w:sz w:val="24"/>
              </w:rPr>
            </w:pPr>
            <w:r>
              <w:rPr>
                <w:sz w:val="24"/>
              </w:rPr>
              <w:t>Astfel, anume asigurările în agricultură reprezintă un mecanism viabil de lungă durată, însă care, din cauza costurilor ridicate, necesită sprijinul statului, prin acordarea subvențiilor la primele de asigurare.</w:t>
            </w:r>
          </w:p>
          <w:p>
            <w:pPr>
              <w:pStyle w:val="TableParagraph"/>
              <w:spacing w:before="0"/>
              <w:ind w:left="45" w:right="24" w:firstLine="566"/>
              <w:jc w:val="both"/>
              <w:rPr>
                <w:sz w:val="24"/>
              </w:rPr>
            </w:pPr>
            <w:r>
              <w:rPr>
                <w:sz w:val="24"/>
              </w:rPr>
              <w:t>Începând cu anul 2005, pe piața asigurărilor din Republica Moldova au fost implementate asigurările</w:t>
            </w:r>
            <w:r>
              <w:rPr>
                <w:spacing w:val="-13"/>
                <w:sz w:val="24"/>
              </w:rPr>
              <w:t> </w:t>
            </w:r>
            <w:r>
              <w:rPr>
                <w:sz w:val="24"/>
              </w:rPr>
              <w:t>agricole</w:t>
            </w:r>
            <w:r>
              <w:rPr>
                <w:spacing w:val="-13"/>
                <w:sz w:val="24"/>
              </w:rPr>
              <w:t> </w:t>
            </w:r>
            <w:r>
              <w:rPr>
                <w:sz w:val="24"/>
              </w:rPr>
              <w:t>subvenționate,</w:t>
            </w:r>
            <w:r>
              <w:rPr>
                <w:spacing w:val="-14"/>
                <w:sz w:val="24"/>
              </w:rPr>
              <w:t> </w:t>
            </w:r>
            <w:r>
              <w:rPr>
                <w:sz w:val="24"/>
              </w:rPr>
              <w:t>având</w:t>
            </w:r>
            <w:r>
              <w:rPr>
                <w:spacing w:val="-12"/>
                <w:sz w:val="24"/>
              </w:rPr>
              <w:t> </w:t>
            </w:r>
            <w:r>
              <w:rPr>
                <w:sz w:val="24"/>
              </w:rPr>
              <w:t>ca</w:t>
            </w:r>
            <w:r>
              <w:rPr>
                <w:spacing w:val="-14"/>
                <w:sz w:val="24"/>
              </w:rPr>
              <w:t> </w:t>
            </w:r>
            <w:r>
              <w:rPr>
                <w:sz w:val="24"/>
              </w:rPr>
              <w:t>bază</w:t>
            </w:r>
            <w:r>
              <w:rPr>
                <w:spacing w:val="-13"/>
                <w:sz w:val="24"/>
              </w:rPr>
              <w:t> </w:t>
            </w:r>
            <w:r>
              <w:rPr>
                <w:sz w:val="24"/>
              </w:rPr>
              <w:t>Legea</w:t>
            </w:r>
            <w:r>
              <w:rPr>
                <w:spacing w:val="-13"/>
                <w:sz w:val="24"/>
              </w:rPr>
              <w:t> </w:t>
            </w:r>
            <w:r>
              <w:rPr>
                <w:sz w:val="24"/>
              </w:rPr>
              <w:t>cu</w:t>
            </w:r>
            <w:r>
              <w:rPr>
                <w:spacing w:val="-14"/>
                <w:sz w:val="24"/>
              </w:rPr>
              <w:t> </w:t>
            </w:r>
            <w:r>
              <w:rPr>
                <w:sz w:val="24"/>
              </w:rPr>
              <w:t>privire</w:t>
            </w:r>
            <w:r>
              <w:rPr>
                <w:spacing w:val="-14"/>
                <w:sz w:val="24"/>
              </w:rPr>
              <w:t> </w:t>
            </w:r>
            <w:r>
              <w:rPr>
                <w:sz w:val="24"/>
              </w:rPr>
              <w:t>la</w:t>
            </w:r>
            <w:r>
              <w:rPr>
                <w:spacing w:val="-13"/>
                <w:sz w:val="24"/>
              </w:rPr>
              <w:t> </w:t>
            </w:r>
            <w:r>
              <w:rPr>
                <w:sz w:val="24"/>
              </w:rPr>
              <w:t>asigurarea</w:t>
            </w:r>
            <w:r>
              <w:rPr>
                <w:spacing w:val="-15"/>
                <w:sz w:val="24"/>
              </w:rPr>
              <w:t> </w:t>
            </w:r>
            <w:r>
              <w:rPr>
                <w:sz w:val="24"/>
              </w:rPr>
              <w:t>subvenționată</w:t>
            </w:r>
            <w:r>
              <w:rPr>
                <w:spacing w:val="-13"/>
                <w:sz w:val="24"/>
              </w:rPr>
              <w:t> </w:t>
            </w:r>
            <w:r>
              <w:rPr>
                <w:sz w:val="24"/>
              </w:rPr>
              <w:t>a</w:t>
            </w:r>
            <w:r>
              <w:rPr>
                <w:spacing w:val="-12"/>
                <w:sz w:val="24"/>
              </w:rPr>
              <w:t> </w:t>
            </w:r>
            <w:r>
              <w:rPr>
                <w:sz w:val="24"/>
              </w:rPr>
              <w:t>riscurilor de producție în agricultură nr.</w:t>
            </w:r>
            <w:r>
              <w:rPr>
                <w:spacing w:val="-4"/>
                <w:sz w:val="24"/>
              </w:rPr>
              <w:t> </w:t>
            </w:r>
            <w:r>
              <w:rPr>
                <w:sz w:val="24"/>
              </w:rPr>
              <w:t>243/2004.</w:t>
            </w:r>
          </w:p>
          <w:p>
            <w:pPr>
              <w:pStyle w:val="TableParagraph"/>
              <w:spacing w:before="0"/>
              <w:ind w:left="45" w:right="23" w:firstLine="566"/>
              <w:jc w:val="both"/>
              <w:rPr>
                <w:sz w:val="24"/>
              </w:rPr>
            </w:pPr>
            <w:r>
              <w:rPr>
                <w:sz w:val="24"/>
              </w:rPr>
              <w:t>Într-un</w:t>
            </w:r>
            <w:r>
              <w:rPr>
                <w:spacing w:val="-7"/>
                <w:sz w:val="24"/>
              </w:rPr>
              <w:t> </w:t>
            </w:r>
            <w:r>
              <w:rPr>
                <w:sz w:val="24"/>
              </w:rPr>
              <w:t>interval</w:t>
            </w:r>
            <w:r>
              <w:rPr>
                <w:spacing w:val="-6"/>
                <w:sz w:val="24"/>
              </w:rPr>
              <w:t> </w:t>
            </w:r>
            <w:r>
              <w:rPr>
                <w:sz w:val="24"/>
              </w:rPr>
              <w:t>de</w:t>
            </w:r>
            <w:r>
              <w:rPr>
                <w:spacing w:val="-7"/>
                <w:sz w:val="24"/>
              </w:rPr>
              <w:t> </w:t>
            </w:r>
            <w:r>
              <w:rPr>
                <w:sz w:val="24"/>
              </w:rPr>
              <w:t>timp</w:t>
            </w:r>
            <w:r>
              <w:rPr>
                <w:spacing w:val="-6"/>
                <w:sz w:val="24"/>
              </w:rPr>
              <w:t> </w:t>
            </w:r>
            <w:r>
              <w:rPr>
                <w:sz w:val="24"/>
              </w:rPr>
              <w:t>de</w:t>
            </w:r>
            <w:r>
              <w:rPr>
                <w:spacing w:val="-7"/>
                <w:sz w:val="24"/>
              </w:rPr>
              <w:t> </w:t>
            </w:r>
            <w:r>
              <w:rPr>
                <w:sz w:val="24"/>
              </w:rPr>
              <w:t>14</w:t>
            </w:r>
            <w:r>
              <w:rPr>
                <w:spacing w:val="-7"/>
                <w:sz w:val="24"/>
              </w:rPr>
              <w:t> </w:t>
            </w:r>
            <w:r>
              <w:rPr>
                <w:sz w:val="24"/>
              </w:rPr>
              <w:t>ani</w:t>
            </w:r>
            <w:r>
              <w:rPr>
                <w:spacing w:val="-6"/>
                <w:sz w:val="24"/>
              </w:rPr>
              <w:t> </w:t>
            </w:r>
            <w:r>
              <w:rPr>
                <w:sz w:val="24"/>
              </w:rPr>
              <w:t>de</w:t>
            </w:r>
            <w:r>
              <w:rPr>
                <w:spacing w:val="-7"/>
                <w:sz w:val="24"/>
              </w:rPr>
              <w:t> </w:t>
            </w:r>
            <w:r>
              <w:rPr>
                <w:sz w:val="24"/>
              </w:rPr>
              <w:t>la</w:t>
            </w:r>
            <w:r>
              <w:rPr>
                <w:spacing w:val="-7"/>
                <w:sz w:val="24"/>
              </w:rPr>
              <w:t> </w:t>
            </w:r>
            <w:r>
              <w:rPr>
                <w:sz w:val="24"/>
              </w:rPr>
              <w:t>intrarea</w:t>
            </w:r>
            <w:r>
              <w:rPr>
                <w:spacing w:val="-7"/>
                <w:sz w:val="24"/>
              </w:rPr>
              <w:t> </w:t>
            </w:r>
            <w:r>
              <w:rPr>
                <w:sz w:val="24"/>
              </w:rPr>
              <w:t>în</w:t>
            </w:r>
            <w:r>
              <w:rPr>
                <w:spacing w:val="-6"/>
                <w:sz w:val="24"/>
              </w:rPr>
              <w:t> </w:t>
            </w:r>
            <w:r>
              <w:rPr>
                <w:sz w:val="24"/>
              </w:rPr>
              <w:t>vigoare</w:t>
            </w:r>
            <w:r>
              <w:rPr>
                <w:spacing w:val="-8"/>
                <w:sz w:val="24"/>
              </w:rPr>
              <w:t> </w:t>
            </w:r>
            <w:r>
              <w:rPr>
                <w:sz w:val="24"/>
              </w:rPr>
              <w:t>a</w:t>
            </w:r>
            <w:r>
              <w:rPr>
                <w:spacing w:val="-7"/>
                <w:sz w:val="24"/>
              </w:rPr>
              <w:t> </w:t>
            </w:r>
            <w:r>
              <w:rPr>
                <w:sz w:val="24"/>
              </w:rPr>
              <w:t>acestei</w:t>
            </w:r>
            <w:r>
              <w:rPr>
                <w:spacing w:val="-3"/>
                <w:sz w:val="24"/>
              </w:rPr>
              <w:t> </w:t>
            </w:r>
            <w:r>
              <w:rPr>
                <w:sz w:val="24"/>
              </w:rPr>
              <w:t>Legi</w:t>
            </w:r>
            <w:r>
              <w:rPr>
                <w:spacing w:val="-6"/>
                <w:sz w:val="24"/>
              </w:rPr>
              <w:t> </w:t>
            </w:r>
            <w:r>
              <w:rPr>
                <w:sz w:val="24"/>
              </w:rPr>
              <w:t>s-au</w:t>
            </w:r>
            <w:r>
              <w:rPr>
                <w:spacing w:val="-6"/>
                <w:sz w:val="24"/>
              </w:rPr>
              <w:t> </w:t>
            </w:r>
            <w:r>
              <w:rPr>
                <w:sz w:val="24"/>
              </w:rPr>
              <w:t>constatat</w:t>
            </w:r>
            <w:r>
              <w:rPr>
                <w:spacing w:val="-6"/>
                <w:sz w:val="24"/>
              </w:rPr>
              <w:t> </w:t>
            </w:r>
            <w:r>
              <w:rPr>
                <w:sz w:val="24"/>
              </w:rPr>
              <w:t>un</w:t>
            </w:r>
            <w:r>
              <w:rPr>
                <w:spacing w:val="-7"/>
                <w:sz w:val="24"/>
              </w:rPr>
              <w:t> </w:t>
            </w:r>
            <w:r>
              <w:rPr>
                <w:sz w:val="24"/>
              </w:rPr>
              <w:t>șir</w:t>
            </w:r>
            <w:r>
              <w:rPr>
                <w:spacing w:val="-7"/>
                <w:sz w:val="24"/>
              </w:rPr>
              <w:t> </w:t>
            </w:r>
            <w:r>
              <w:rPr>
                <w:sz w:val="24"/>
              </w:rPr>
              <w:t>întreg de lacune, neclarități și imperfecțiuni, care frânează dezvoltarea asigurărilor agricole subvenționate și care nu răspunde deplin necesităților fermierilor.</w:t>
            </w:r>
          </w:p>
          <w:p>
            <w:pPr>
              <w:pStyle w:val="TableParagraph"/>
              <w:spacing w:before="0"/>
              <w:ind w:left="45" w:right="26" w:firstLine="566"/>
              <w:jc w:val="both"/>
              <w:rPr>
                <w:sz w:val="24"/>
              </w:rPr>
            </w:pPr>
            <w:r>
              <w:rPr>
                <w:sz w:val="24"/>
              </w:rPr>
              <w:t>La fel, Legea nr. 243/2004 lasă loc de multe interpretări, care creează dezechilibru între părțile implicate în acest proces, sau limitează aria de acțiune al acesteia, lucru care ulterior nu permite extinderea suprafețelor agricole asigurate.</w:t>
            </w:r>
          </w:p>
          <w:p>
            <w:pPr>
              <w:pStyle w:val="TableParagraph"/>
              <w:spacing w:before="0"/>
              <w:ind w:left="45" w:right="27" w:firstLine="566"/>
              <w:jc w:val="both"/>
              <w:rPr>
                <w:sz w:val="24"/>
              </w:rPr>
            </w:pPr>
            <w:r>
              <w:rPr>
                <w:sz w:val="24"/>
              </w:rPr>
              <w:t>De asemenea s-au depistat un șir de neclarități în privința modului de identificare a obiectelor asigurate, volumului lor (cantității), costului, etc., care generează ulterior interpretări.</w:t>
            </w:r>
          </w:p>
          <w:p>
            <w:pPr>
              <w:pStyle w:val="TableParagraph"/>
              <w:spacing w:before="0"/>
              <w:ind w:left="45" w:right="27" w:firstLine="566"/>
              <w:jc w:val="both"/>
              <w:rPr>
                <w:sz w:val="24"/>
              </w:rPr>
            </w:pPr>
            <w:r>
              <w:rPr>
                <w:sz w:val="24"/>
              </w:rPr>
              <w:t>Asigurările</w:t>
            </w:r>
            <w:r>
              <w:rPr>
                <w:spacing w:val="-13"/>
                <w:sz w:val="24"/>
              </w:rPr>
              <w:t> </w:t>
            </w:r>
            <w:r>
              <w:rPr>
                <w:sz w:val="24"/>
              </w:rPr>
              <w:t>în</w:t>
            </w:r>
            <w:r>
              <w:rPr>
                <w:spacing w:val="-12"/>
                <w:sz w:val="24"/>
              </w:rPr>
              <w:t> </w:t>
            </w:r>
            <w:r>
              <w:rPr>
                <w:sz w:val="24"/>
              </w:rPr>
              <w:t>agricultură</w:t>
            </w:r>
            <w:r>
              <w:rPr>
                <w:spacing w:val="-11"/>
                <w:sz w:val="24"/>
              </w:rPr>
              <w:t> </w:t>
            </w:r>
            <w:r>
              <w:rPr>
                <w:sz w:val="24"/>
              </w:rPr>
              <w:t>în</w:t>
            </w:r>
            <w:r>
              <w:rPr>
                <w:spacing w:val="-12"/>
                <w:sz w:val="24"/>
              </w:rPr>
              <w:t> </w:t>
            </w:r>
            <w:r>
              <w:rPr>
                <w:sz w:val="24"/>
              </w:rPr>
              <w:t>RM</w:t>
            </w:r>
            <w:r>
              <w:rPr>
                <w:spacing w:val="-14"/>
                <w:sz w:val="24"/>
              </w:rPr>
              <w:t> </w:t>
            </w:r>
            <w:r>
              <w:rPr>
                <w:sz w:val="24"/>
              </w:rPr>
              <w:t>stagnează,</w:t>
            </w:r>
            <w:r>
              <w:rPr>
                <w:spacing w:val="-12"/>
                <w:sz w:val="24"/>
              </w:rPr>
              <w:t> </w:t>
            </w:r>
            <w:r>
              <w:rPr>
                <w:sz w:val="24"/>
              </w:rPr>
              <w:t>acest</w:t>
            </w:r>
            <w:r>
              <w:rPr>
                <w:spacing w:val="-12"/>
                <w:sz w:val="24"/>
              </w:rPr>
              <w:t> </w:t>
            </w:r>
            <w:r>
              <w:rPr>
                <w:sz w:val="24"/>
              </w:rPr>
              <w:t>instrument</w:t>
            </w:r>
            <w:r>
              <w:rPr>
                <w:spacing w:val="-12"/>
                <w:sz w:val="24"/>
              </w:rPr>
              <w:t> </w:t>
            </w:r>
            <w:r>
              <w:rPr>
                <w:sz w:val="24"/>
              </w:rPr>
              <w:t>este</w:t>
            </w:r>
            <w:r>
              <w:rPr>
                <w:spacing w:val="-13"/>
                <w:sz w:val="24"/>
              </w:rPr>
              <w:t> </w:t>
            </w:r>
            <w:r>
              <w:rPr>
                <w:sz w:val="24"/>
              </w:rPr>
              <w:t>slab</w:t>
            </w:r>
            <w:r>
              <w:rPr>
                <w:spacing w:val="-12"/>
                <w:sz w:val="24"/>
              </w:rPr>
              <w:t> </w:t>
            </w:r>
            <w:r>
              <w:rPr>
                <w:sz w:val="24"/>
              </w:rPr>
              <w:t>dezvoltat.</w:t>
            </w:r>
            <w:r>
              <w:rPr>
                <w:spacing w:val="-10"/>
                <w:sz w:val="24"/>
              </w:rPr>
              <w:t> </w:t>
            </w:r>
            <w:r>
              <w:rPr>
                <w:spacing w:val="-3"/>
                <w:sz w:val="24"/>
              </w:rPr>
              <w:t>În</w:t>
            </w:r>
            <w:r>
              <w:rPr>
                <w:spacing w:val="-12"/>
                <w:sz w:val="24"/>
              </w:rPr>
              <w:t> </w:t>
            </w:r>
            <w:r>
              <w:rPr>
                <w:sz w:val="24"/>
              </w:rPr>
              <w:t>pofida</w:t>
            </w:r>
            <w:r>
              <w:rPr>
                <w:spacing w:val="-13"/>
                <w:sz w:val="24"/>
              </w:rPr>
              <w:t> </w:t>
            </w:r>
            <w:r>
              <w:rPr>
                <w:sz w:val="24"/>
              </w:rPr>
              <w:t>riscurilor frecvente care afectează sectorul agricol an de an, cauzînd pierderi enorme, doar 1-1,5% din suprafețe agricole</w:t>
            </w:r>
            <w:r>
              <w:rPr>
                <w:spacing w:val="-7"/>
                <w:sz w:val="24"/>
              </w:rPr>
              <w:t> </w:t>
            </w:r>
            <w:r>
              <w:rPr>
                <w:sz w:val="24"/>
              </w:rPr>
              <w:t>se</w:t>
            </w:r>
            <w:r>
              <w:rPr>
                <w:spacing w:val="-7"/>
                <w:sz w:val="24"/>
              </w:rPr>
              <w:t> </w:t>
            </w:r>
            <w:r>
              <w:rPr>
                <w:sz w:val="24"/>
              </w:rPr>
              <w:t>asigură</w:t>
            </w:r>
            <w:r>
              <w:rPr>
                <w:spacing w:val="-4"/>
                <w:sz w:val="24"/>
              </w:rPr>
              <w:t> </w:t>
            </w:r>
            <w:r>
              <w:rPr>
                <w:sz w:val="24"/>
              </w:rPr>
              <w:t>anual,</w:t>
            </w:r>
            <w:r>
              <w:rPr>
                <w:spacing w:val="-4"/>
                <w:sz w:val="24"/>
              </w:rPr>
              <w:t> </w:t>
            </w:r>
            <w:r>
              <w:rPr>
                <w:sz w:val="24"/>
              </w:rPr>
              <w:t>împotriva</w:t>
            </w:r>
            <w:r>
              <w:rPr>
                <w:spacing w:val="-7"/>
                <w:sz w:val="24"/>
              </w:rPr>
              <w:t> </w:t>
            </w:r>
            <w:r>
              <w:rPr>
                <w:sz w:val="24"/>
              </w:rPr>
              <w:t>riscurilor,</w:t>
            </w:r>
            <w:r>
              <w:rPr>
                <w:spacing w:val="-5"/>
                <w:sz w:val="24"/>
              </w:rPr>
              <w:t> </w:t>
            </w:r>
            <w:r>
              <w:rPr>
                <w:sz w:val="24"/>
              </w:rPr>
              <w:t>sau</w:t>
            </w:r>
            <w:r>
              <w:rPr>
                <w:spacing w:val="-4"/>
                <w:sz w:val="24"/>
              </w:rPr>
              <w:t> </w:t>
            </w:r>
            <w:r>
              <w:rPr>
                <w:sz w:val="24"/>
              </w:rPr>
              <w:t>pînă</w:t>
            </w:r>
            <w:r>
              <w:rPr>
                <w:spacing w:val="-7"/>
                <w:sz w:val="24"/>
              </w:rPr>
              <w:t> </w:t>
            </w:r>
            <w:r>
              <w:rPr>
                <w:sz w:val="24"/>
              </w:rPr>
              <w:t>la</w:t>
            </w:r>
            <w:r>
              <w:rPr>
                <w:spacing w:val="-6"/>
                <w:sz w:val="24"/>
              </w:rPr>
              <w:t> </w:t>
            </w:r>
            <w:r>
              <w:rPr>
                <w:sz w:val="24"/>
              </w:rPr>
              <w:t>300</w:t>
            </w:r>
            <w:r>
              <w:rPr>
                <w:spacing w:val="-6"/>
                <w:sz w:val="24"/>
              </w:rPr>
              <w:t> </w:t>
            </w:r>
            <w:r>
              <w:rPr>
                <w:sz w:val="24"/>
              </w:rPr>
              <w:t>de</w:t>
            </w:r>
            <w:r>
              <w:rPr>
                <w:spacing w:val="-7"/>
                <w:sz w:val="24"/>
              </w:rPr>
              <w:t> </w:t>
            </w:r>
            <w:r>
              <w:rPr>
                <w:sz w:val="24"/>
              </w:rPr>
              <w:t>producători</w:t>
            </w:r>
            <w:r>
              <w:rPr>
                <w:spacing w:val="-5"/>
                <w:sz w:val="24"/>
              </w:rPr>
              <w:t> </w:t>
            </w:r>
            <w:r>
              <w:rPr>
                <w:sz w:val="24"/>
              </w:rPr>
              <w:t>agricoli</w:t>
            </w:r>
            <w:r>
              <w:rPr>
                <w:spacing w:val="-6"/>
                <w:sz w:val="24"/>
              </w:rPr>
              <w:t> </w:t>
            </w:r>
            <w:r>
              <w:rPr>
                <w:sz w:val="24"/>
              </w:rPr>
              <w:t>din</w:t>
            </w:r>
            <w:r>
              <w:rPr>
                <w:spacing w:val="-6"/>
                <w:sz w:val="24"/>
              </w:rPr>
              <w:t> </w:t>
            </w:r>
            <w:r>
              <w:rPr>
                <w:sz w:val="24"/>
              </w:rPr>
              <w:t>țară</w:t>
            </w:r>
            <w:r>
              <w:rPr>
                <w:spacing w:val="-6"/>
                <w:sz w:val="24"/>
              </w:rPr>
              <w:t> </w:t>
            </w:r>
            <w:r>
              <w:rPr>
                <w:sz w:val="24"/>
              </w:rPr>
              <w:t>se</w:t>
            </w:r>
            <w:r>
              <w:rPr>
                <w:spacing w:val="-7"/>
                <w:sz w:val="24"/>
              </w:rPr>
              <w:t> </w:t>
            </w:r>
            <w:r>
              <w:rPr>
                <w:sz w:val="24"/>
              </w:rPr>
              <w:t>asigură. Motivele sunt diverse, de la lipsa surselor financiare disponibile din partea fermierilor, pînă la credibilitatea scăzută de care se bucură sistemul de asigurări existent, nu în ultimul rînd, diversitatea redusă a pachetelor de asigurări oferite de asiguratori, pe alocuri limitate de legea existentă (imposibilitatea asigurării riscurilor aferente calității producției, eventual a cheltuielilor</w:t>
            </w:r>
            <w:r>
              <w:rPr>
                <w:spacing w:val="-18"/>
                <w:sz w:val="24"/>
              </w:rPr>
              <w:t> </w:t>
            </w:r>
            <w:r>
              <w:rPr>
                <w:sz w:val="24"/>
              </w:rPr>
              <w:t>tehnologice).</w:t>
            </w:r>
          </w:p>
          <w:p>
            <w:pPr>
              <w:pStyle w:val="TableParagraph"/>
              <w:spacing w:before="0"/>
              <w:ind w:left="45" w:right="26" w:firstLine="566"/>
              <w:jc w:val="both"/>
              <w:rPr>
                <w:sz w:val="24"/>
              </w:rPr>
            </w:pPr>
            <w:r>
              <w:rPr>
                <w:sz w:val="24"/>
              </w:rPr>
              <w:t>Astfel, în urma unei analize detaliate a Legii menționate s-a ajuns la concluzia necesității primirii unor amendamente la legea menționată.</w:t>
            </w:r>
          </w:p>
          <w:p>
            <w:pPr>
              <w:pStyle w:val="TableParagraph"/>
              <w:spacing w:before="0"/>
              <w:ind w:left="611" w:right="0"/>
              <w:jc w:val="left"/>
              <w:rPr>
                <w:sz w:val="24"/>
              </w:rPr>
            </w:pPr>
            <w:r>
              <w:rPr>
                <w:sz w:val="24"/>
              </w:rPr>
              <w:t>Proiectul de lege are drept scop:</w:t>
            </w:r>
          </w:p>
          <w:p>
            <w:pPr>
              <w:pStyle w:val="TableParagraph"/>
              <w:numPr>
                <w:ilvl w:val="0"/>
                <w:numId w:val="2"/>
              </w:numPr>
              <w:tabs>
                <w:tab w:pos="876" w:val="left" w:leader="none"/>
              </w:tabs>
              <w:spacing w:line="240" w:lineRule="auto" w:before="0" w:after="0"/>
              <w:ind w:left="45" w:right="27" w:firstLine="566"/>
              <w:jc w:val="both"/>
              <w:rPr>
                <w:sz w:val="24"/>
              </w:rPr>
            </w:pPr>
            <w:r>
              <w:rPr>
                <w:sz w:val="24"/>
              </w:rPr>
              <w:t>reducerea intervenției statului prin acordarea de compensații în cazul producerii calamităților naturale prin creșterea rolului asigurărilor în</w:t>
            </w:r>
            <w:r>
              <w:rPr>
                <w:spacing w:val="1"/>
                <w:sz w:val="24"/>
              </w:rPr>
              <w:t> </w:t>
            </w:r>
            <w:r>
              <w:rPr>
                <w:sz w:val="24"/>
              </w:rPr>
              <w:t>agricultură;</w:t>
            </w:r>
          </w:p>
          <w:p>
            <w:pPr>
              <w:pStyle w:val="TableParagraph"/>
              <w:numPr>
                <w:ilvl w:val="0"/>
                <w:numId w:val="2"/>
              </w:numPr>
              <w:tabs>
                <w:tab w:pos="871" w:val="left" w:leader="none"/>
              </w:tabs>
              <w:spacing w:line="240" w:lineRule="auto" w:before="0" w:after="0"/>
              <w:ind w:left="870" w:right="0" w:hanging="259"/>
              <w:jc w:val="left"/>
              <w:rPr>
                <w:sz w:val="24"/>
              </w:rPr>
            </w:pPr>
            <w:r>
              <w:rPr>
                <w:sz w:val="24"/>
              </w:rPr>
              <w:t>stimularea accesului fermierilor la asigurările în</w:t>
            </w:r>
            <w:r>
              <w:rPr>
                <w:spacing w:val="-6"/>
                <w:sz w:val="24"/>
              </w:rPr>
              <w:t> </w:t>
            </w:r>
            <w:r>
              <w:rPr>
                <w:sz w:val="24"/>
              </w:rPr>
              <w:t>agricultură;</w:t>
            </w:r>
          </w:p>
          <w:p>
            <w:pPr>
              <w:pStyle w:val="TableParagraph"/>
              <w:numPr>
                <w:ilvl w:val="0"/>
                <w:numId w:val="2"/>
              </w:numPr>
              <w:tabs>
                <w:tab w:pos="891" w:val="left" w:leader="none"/>
              </w:tabs>
              <w:spacing w:line="240" w:lineRule="auto" w:before="0" w:after="0"/>
              <w:ind w:left="45" w:right="27" w:firstLine="566"/>
              <w:jc w:val="both"/>
              <w:rPr>
                <w:sz w:val="24"/>
              </w:rPr>
            </w:pPr>
            <w:r>
              <w:rPr>
                <w:sz w:val="24"/>
              </w:rPr>
              <w:t>crearea posibilității pentru asiguratori de a crea noi produse de asigurare solicitate de către fermieri;</w:t>
            </w:r>
          </w:p>
          <w:p>
            <w:pPr>
              <w:pStyle w:val="TableParagraph"/>
              <w:numPr>
                <w:ilvl w:val="0"/>
                <w:numId w:val="2"/>
              </w:numPr>
              <w:tabs>
                <w:tab w:pos="903" w:val="left" w:leader="none"/>
              </w:tabs>
              <w:spacing w:line="240" w:lineRule="auto" w:before="0" w:after="0"/>
              <w:ind w:left="45" w:right="28" w:firstLine="566"/>
              <w:jc w:val="both"/>
              <w:rPr>
                <w:sz w:val="24"/>
              </w:rPr>
            </w:pPr>
            <w:r>
              <w:rPr>
                <w:sz w:val="24"/>
              </w:rPr>
              <w:t>stimularea creditării fermierilor prin crearea posibilității de a asigura, la cererea instituțiilor financiare, bunurile agricole</w:t>
            </w:r>
            <w:r>
              <w:rPr>
                <w:spacing w:val="-3"/>
                <w:sz w:val="24"/>
              </w:rPr>
              <w:t> </w:t>
            </w:r>
            <w:r>
              <w:rPr>
                <w:sz w:val="24"/>
              </w:rPr>
              <w:t>gajate;</w:t>
            </w:r>
          </w:p>
          <w:p>
            <w:pPr>
              <w:pStyle w:val="TableParagraph"/>
              <w:numPr>
                <w:ilvl w:val="0"/>
                <w:numId w:val="2"/>
              </w:numPr>
              <w:tabs>
                <w:tab w:pos="857" w:val="left" w:leader="none"/>
              </w:tabs>
              <w:spacing w:line="240" w:lineRule="auto" w:before="0" w:after="0"/>
              <w:ind w:left="856" w:right="0" w:hanging="245"/>
              <w:jc w:val="left"/>
              <w:rPr>
                <w:sz w:val="24"/>
              </w:rPr>
            </w:pPr>
            <w:r>
              <w:rPr>
                <w:sz w:val="24"/>
              </w:rPr>
              <w:t>extinderea listei de obiecte și riscuri a căror asigurare urmează a fi</w:t>
            </w:r>
            <w:r>
              <w:rPr>
                <w:spacing w:val="-8"/>
                <w:sz w:val="24"/>
              </w:rPr>
              <w:t> </w:t>
            </w:r>
            <w:r>
              <w:rPr>
                <w:sz w:val="24"/>
              </w:rPr>
              <w:t>subvenționată;</w:t>
            </w:r>
          </w:p>
          <w:p>
            <w:pPr>
              <w:pStyle w:val="TableParagraph"/>
              <w:numPr>
                <w:ilvl w:val="0"/>
                <w:numId w:val="2"/>
              </w:numPr>
              <w:tabs>
                <w:tab w:pos="857" w:val="left" w:leader="none"/>
              </w:tabs>
              <w:spacing w:line="270" w:lineRule="atLeast" w:before="0" w:after="0"/>
              <w:ind w:left="45" w:right="25" w:firstLine="566"/>
              <w:jc w:val="both"/>
              <w:rPr>
                <w:sz w:val="24"/>
              </w:rPr>
            </w:pPr>
            <w:r>
              <w:rPr>
                <w:sz w:val="24"/>
              </w:rPr>
              <w:t>eliminarea lacunelor depistate și ajustarea terminologiei utilizate la prevederile Codului civil modernizat.</w:t>
            </w:r>
          </w:p>
        </w:tc>
      </w:tr>
      <w:tr>
        <w:trPr>
          <w:trHeight w:val="352" w:hRule="atLeast"/>
        </w:trPr>
        <w:tc>
          <w:tcPr>
            <w:tcW w:w="10056" w:type="dxa"/>
          </w:tcPr>
          <w:p>
            <w:pPr>
              <w:pStyle w:val="TableParagraph"/>
              <w:spacing w:line="316" w:lineRule="exact" w:before="16"/>
              <w:ind w:left="45" w:right="0"/>
              <w:jc w:val="left"/>
              <w:rPr>
                <w:b/>
                <w:sz w:val="28"/>
              </w:rPr>
            </w:pPr>
            <w:r>
              <w:rPr>
                <w:b/>
                <w:sz w:val="28"/>
              </w:rPr>
              <w:t>4. Principalele amendamente şi evidențierea elementelor noi</w:t>
            </w:r>
          </w:p>
        </w:tc>
      </w:tr>
      <w:tr>
        <w:trPr>
          <w:trHeight w:val="858" w:hRule="atLeast"/>
        </w:trPr>
        <w:tc>
          <w:tcPr>
            <w:tcW w:w="10056" w:type="dxa"/>
          </w:tcPr>
          <w:p>
            <w:pPr>
              <w:pStyle w:val="TableParagraph"/>
              <w:spacing w:line="270" w:lineRule="atLeast" w:before="15"/>
              <w:ind w:left="45" w:right="25" w:firstLine="566"/>
              <w:jc w:val="both"/>
              <w:rPr>
                <w:sz w:val="24"/>
              </w:rPr>
            </w:pPr>
            <w:r>
              <w:rPr>
                <w:sz w:val="24"/>
              </w:rPr>
              <w:t>Unul din amendamente prevede includerea în sfera subiecților raporturilor de asigurare și beneficiarul asigurării, care pot fi atât băncile comerciale care creditează fermierii, cît și prestatorii de mărfuri și servicii (furnizori de produse de uz fitosanitar, furnizori de semințe, servicii agrotehnice și</w:t>
            </w:r>
          </w:p>
        </w:tc>
      </w:tr>
    </w:tbl>
    <w:p>
      <w:pPr>
        <w:spacing w:after="0" w:line="270" w:lineRule="atLeast"/>
        <w:jc w:val="both"/>
        <w:rPr>
          <w:sz w:val="24"/>
        </w:rPr>
        <w:sectPr>
          <w:pgSz w:w="11910" w:h="16850"/>
          <w:pgMar w:top="360" w:bottom="280" w:left="600" w:right="440"/>
        </w:sectPr>
      </w:pPr>
    </w:p>
    <w:tbl>
      <w:tblPr>
        <w:tblW w:w="0" w:type="auto"/>
        <w:jc w:val="left"/>
        <w:tblInd w:w="68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056"/>
      </w:tblGrid>
      <w:tr>
        <w:trPr>
          <w:trHeight w:val="14104" w:hRule="atLeast"/>
        </w:trPr>
        <w:tc>
          <w:tcPr>
            <w:tcW w:w="10056" w:type="dxa"/>
          </w:tcPr>
          <w:p>
            <w:pPr>
              <w:pStyle w:val="TableParagraph"/>
              <w:spacing w:before="13"/>
              <w:ind w:left="45" w:right="22"/>
              <w:jc w:val="both"/>
              <w:rPr>
                <w:sz w:val="24"/>
              </w:rPr>
            </w:pPr>
            <w:r>
              <w:rPr>
                <w:sz w:val="24"/>
              </w:rPr>
              <w:t>transport) care au garanția restituirii investițiilor în caz de producere a riscurilor asigurate. Participarea băncilor</w:t>
            </w:r>
            <w:r>
              <w:rPr>
                <w:spacing w:val="-14"/>
                <w:sz w:val="24"/>
              </w:rPr>
              <w:t> </w:t>
            </w:r>
            <w:r>
              <w:rPr>
                <w:sz w:val="24"/>
              </w:rPr>
              <w:t>comerciale</w:t>
            </w:r>
            <w:r>
              <w:rPr>
                <w:spacing w:val="-13"/>
                <w:sz w:val="24"/>
              </w:rPr>
              <w:t> </w:t>
            </w:r>
            <w:r>
              <w:rPr>
                <w:sz w:val="24"/>
              </w:rPr>
              <w:t>la</w:t>
            </w:r>
            <w:r>
              <w:rPr>
                <w:spacing w:val="-13"/>
                <w:sz w:val="24"/>
              </w:rPr>
              <w:t> </w:t>
            </w:r>
            <w:r>
              <w:rPr>
                <w:sz w:val="24"/>
              </w:rPr>
              <w:t>raporturile</w:t>
            </w:r>
            <w:r>
              <w:rPr>
                <w:spacing w:val="-14"/>
                <w:sz w:val="24"/>
              </w:rPr>
              <w:t> </w:t>
            </w:r>
            <w:r>
              <w:rPr>
                <w:sz w:val="24"/>
              </w:rPr>
              <w:t>de</w:t>
            </w:r>
            <w:r>
              <w:rPr>
                <w:spacing w:val="-13"/>
                <w:sz w:val="24"/>
              </w:rPr>
              <w:t> </w:t>
            </w:r>
            <w:r>
              <w:rPr>
                <w:sz w:val="24"/>
              </w:rPr>
              <w:t>asigurare</w:t>
            </w:r>
            <w:r>
              <w:rPr>
                <w:spacing w:val="-13"/>
                <w:sz w:val="24"/>
              </w:rPr>
              <w:t> </w:t>
            </w:r>
            <w:r>
              <w:rPr>
                <w:sz w:val="24"/>
              </w:rPr>
              <w:t>creează</w:t>
            </w:r>
            <w:r>
              <w:rPr>
                <w:spacing w:val="-14"/>
                <w:sz w:val="24"/>
              </w:rPr>
              <w:t> </w:t>
            </w:r>
            <w:r>
              <w:rPr>
                <w:sz w:val="24"/>
              </w:rPr>
              <w:t>premise</w:t>
            </w:r>
            <w:r>
              <w:rPr>
                <w:spacing w:val="-13"/>
                <w:sz w:val="24"/>
              </w:rPr>
              <w:t> </w:t>
            </w:r>
            <w:r>
              <w:rPr>
                <w:sz w:val="24"/>
              </w:rPr>
              <w:t>pentru</w:t>
            </w:r>
            <w:r>
              <w:rPr>
                <w:spacing w:val="-13"/>
                <w:sz w:val="24"/>
              </w:rPr>
              <w:t> </w:t>
            </w:r>
            <w:r>
              <w:rPr>
                <w:sz w:val="24"/>
              </w:rPr>
              <w:t>creditarea</w:t>
            </w:r>
            <w:r>
              <w:rPr>
                <w:spacing w:val="-13"/>
                <w:sz w:val="24"/>
              </w:rPr>
              <w:t> </w:t>
            </w:r>
            <w:r>
              <w:rPr>
                <w:sz w:val="24"/>
              </w:rPr>
              <w:t>afacerilor</w:t>
            </w:r>
            <w:r>
              <w:rPr>
                <w:spacing w:val="-13"/>
                <w:sz w:val="24"/>
              </w:rPr>
              <w:t> </w:t>
            </w:r>
            <w:r>
              <w:rPr>
                <w:sz w:val="24"/>
              </w:rPr>
              <w:t>în</w:t>
            </w:r>
            <w:r>
              <w:rPr>
                <w:spacing w:val="-13"/>
                <w:sz w:val="24"/>
              </w:rPr>
              <w:t> </w:t>
            </w:r>
            <w:r>
              <w:rPr>
                <w:sz w:val="24"/>
              </w:rPr>
              <w:t>agricultură, în special a celor care nu dispun de gaj. De asemenea, este necesar de menționat că spre deosebire de fermieri, băncile comerciale dețin o putere de negociere mai puternică, ceea ce va garanta prime de asigurare</w:t>
            </w:r>
            <w:r>
              <w:rPr>
                <w:spacing w:val="-11"/>
                <w:sz w:val="24"/>
              </w:rPr>
              <w:t> </w:t>
            </w:r>
            <w:r>
              <w:rPr>
                <w:sz w:val="24"/>
              </w:rPr>
              <w:t>mai</w:t>
            </w:r>
            <w:r>
              <w:rPr>
                <w:spacing w:val="-12"/>
                <w:sz w:val="24"/>
              </w:rPr>
              <w:t> </w:t>
            </w:r>
            <w:r>
              <w:rPr>
                <w:sz w:val="24"/>
              </w:rPr>
              <w:t>mici,</w:t>
            </w:r>
            <w:r>
              <w:rPr>
                <w:spacing w:val="-11"/>
                <w:sz w:val="24"/>
              </w:rPr>
              <w:t> </w:t>
            </w:r>
            <w:r>
              <w:rPr>
                <w:sz w:val="24"/>
              </w:rPr>
              <w:t>corectitudine</w:t>
            </w:r>
            <w:r>
              <w:rPr>
                <w:spacing w:val="-13"/>
                <w:sz w:val="24"/>
              </w:rPr>
              <w:t> </w:t>
            </w:r>
            <w:r>
              <w:rPr>
                <w:sz w:val="24"/>
              </w:rPr>
              <w:t>în</w:t>
            </w:r>
            <w:r>
              <w:rPr>
                <w:spacing w:val="-11"/>
                <w:sz w:val="24"/>
              </w:rPr>
              <w:t> </w:t>
            </w:r>
            <w:r>
              <w:rPr>
                <w:sz w:val="24"/>
              </w:rPr>
              <w:t>întocmirea</w:t>
            </w:r>
            <w:r>
              <w:rPr>
                <w:spacing w:val="-13"/>
                <w:sz w:val="24"/>
              </w:rPr>
              <w:t> </w:t>
            </w:r>
            <w:r>
              <w:rPr>
                <w:sz w:val="24"/>
              </w:rPr>
              <w:t>și</w:t>
            </w:r>
            <w:r>
              <w:rPr>
                <w:spacing w:val="-11"/>
                <w:sz w:val="24"/>
              </w:rPr>
              <w:t> </w:t>
            </w:r>
            <w:r>
              <w:rPr>
                <w:sz w:val="24"/>
              </w:rPr>
              <w:t>deservirea</w:t>
            </w:r>
            <w:r>
              <w:rPr>
                <w:spacing w:val="-13"/>
                <w:sz w:val="24"/>
              </w:rPr>
              <w:t> </w:t>
            </w:r>
            <w:r>
              <w:rPr>
                <w:sz w:val="24"/>
              </w:rPr>
              <w:t>contractelor</w:t>
            </w:r>
            <w:r>
              <w:rPr>
                <w:spacing w:val="-12"/>
                <w:sz w:val="24"/>
              </w:rPr>
              <w:t> </w:t>
            </w:r>
            <w:r>
              <w:rPr>
                <w:sz w:val="24"/>
              </w:rPr>
              <w:t>de</w:t>
            </w:r>
            <w:r>
              <w:rPr>
                <w:spacing w:val="-11"/>
                <w:sz w:val="24"/>
              </w:rPr>
              <w:t> </w:t>
            </w:r>
            <w:r>
              <w:rPr>
                <w:sz w:val="24"/>
              </w:rPr>
              <w:t>asigurare,</w:t>
            </w:r>
            <w:r>
              <w:rPr>
                <w:spacing w:val="-10"/>
                <w:sz w:val="24"/>
              </w:rPr>
              <w:t> </w:t>
            </w:r>
            <w:r>
              <w:rPr>
                <w:sz w:val="24"/>
              </w:rPr>
              <w:t>achitarea</w:t>
            </w:r>
            <w:r>
              <w:rPr>
                <w:spacing w:val="-12"/>
                <w:sz w:val="24"/>
              </w:rPr>
              <w:t> </w:t>
            </w:r>
            <w:r>
              <w:rPr>
                <w:sz w:val="24"/>
              </w:rPr>
              <w:t>integrală și în termeni a despăgubirilor de</w:t>
            </w:r>
            <w:r>
              <w:rPr>
                <w:spacing w:val="-4"/>
                <w:sz w:val="24"/>
              </w:rPr>
              <w:t> </w:t>
            </w:r>
            <w:r>
              <w:rPr>
                <w:sz w:val="24"/>
              </w:rPr>
              <w:t>asigurare.</w:t>
            </w:r>
          </w:p>
          <w:p>
            <w:pPr>
              <w:pStyle w:val="TableParagraph"/>
              <w:spacing w:before="0"/>
              <w:ind w:left="45" w:right="25" w:firstLine="566"/>
              <w:jc w:val="both"/>
              <w:rPr>
                <w:sz w:val="24"/>
              </w:rPr>
            </w:pPr>
            <w:r>
              <w:rPr>
                <w:sz w:val="24"/>
              </w:rPr>
              <w:t>De asemenea, se propune extinderea domeniului de acțiune a legii la asigurarea calității recoltei, dar și asigurarea costurilor (cheltuielilor tehnologice) de producție, fat care va face mai accesibilă asigurarea</w:t>
            </w:r>
            <w:r>
              <w:rPr>
                <w:spacing w:val="-12"/>
                <w:sz w:val="24"/>
              </w:rPr>
              <w:t> </w:t>
            </w:r>
            <w:r>
              <w:rPr>
                <w:sz w:val="24"/>
              </w:rPr>
              <w:t>pentru</w:t>
            </w:r>
            <w:r>
              <w:rPr>
                <w:spacing w:val="-11"/>
                <w:sz w:val="24"/>
              </w:rPr>
              <w:t> </w:t>
            </w:r>
            <w:r>
              <w:rPr>
                <w:sz w:val="24"/>
              </w:rPr>
              <w:t>multi</w:t>
            </w:r>
            <w:r>
              <w:rPr>
                <w:spacing w:val="-11"/>
                <w:sz w:val="24"/>
              </w:rPr>
              <w:t> </w:t>
            </w:r>
            <w:r>
              <w:rPr>
                <w:sz w:val="24"/>
              </w:rPr>
              <w:t>fermieri.</w:t>
            </w:r>
            <w:r>
              <w:rPr>
                <w:spacing w:val="-10"/>
                <w:sz w:val="24"/>
              </w:rPr>
              <w:t> </w:t>
            </w:r>
            <w:r>
              <w:rPr>
                <w:sz w:val="24"/>
              </w:rPr>
              <w:t>Această</w:t>
            </w:r>
            <w:r>
              <w:rPr>
                <w:spacing w:val="-10"/>
                <w:sz w:val="24"/>
              </w:rPr>
              <w:t> </w:t>
            </w:r>
            <w:r>
              <w:rPr>
                <w:sz w:val="24"/>
              </w:rPr>
              <w:t>propunere</w:t>
            </w:r>
            <w:r>
              <w:rPr>
                <w:spacing w:val="-12"/>
                <w:sz w:val="24"/>
              </w:rPr>
              <w:t> </w:t>
            </w:r>
            <w:r>
              <w:rPr>
                <w:sz w:val="24"/>
              </w:rPr>
              <w:t>vine</w:t>
            </w:r>
            <w:r>
              <w:rPr>
                <w:spacing w:val="-10"/>
                <w:sz w:val="24"/>
              </w:rPr>
              <w:t> </w:t>
            </w:r>
            <w:r>
              <w:rPr>
                <w:sz w:val="24"/>
              </w:rPr>
              <w:t>în</w:t>
            </w:r>
            <w:r>
              <w:rPr>
                <w:spacing w:val="-10"/>
                <w:sz w:val="24"/>
              </w:rPr>
              <w:t> </w:t>
            </w:r>
            <w:r>
              <w:rPr>
                <w:sz w:val="24"/>
              </w:rPr>
              <w:t>contextul</w:t>
            </w:r>
            <w:r>
              <w:rPr>
                <w:spacing w:val="-11"/>
                <w:sz w:val="24"/>
              </w:rPr>
              <w:t> </w:t>
            </w:r>
            <w:r>
              <w:rPr>
                <w:sz w:val="24"/>
              </w:rPr>
              <w:t>în</w:t>
            </w:r>
            <w:r>
              <w:rPr>
                <w:spacing w:val="-11"/>
                <w:sz w:val="24"/>
              </w:rPr>
              <w:t> </w:t>
            </w:r>
            <w:r>
              <w:rPr>
                <w:sz w:val="24"/>
              </w:rPr>
              <w:t>care</w:t>
            </w:r>
            <w:r>
              <w:rPr>
                <w:spacing w:val="-10"/>
                <w:sz w:val="24"/>
              </w:rPr>
              <w:t> </w:t>
            </w:r>
            <w:r>
              <w:rPr>
                <w:sz w:val="24"/>
              </w:rPr>
              <w:t>producerea</w:t>
            </w:r>
            <w:r>
              <w:rPr>
                <w:spacing w:val="-11"/>
                <w:sz w:val="24"/>
              </w:rPr>
              <w:t> </w:t>
            </w:r>
            <w:r>
              <w:rPr>
                <w:sz w:val="24"/>
              </w:rPr>
              <w:t>riscului</w:t>
            </w:r>
            <w:r>
              <w:rPr>
                <w:spacing w:val="-11"/>
                <w:sz w:val="24"/>
              </w:rPr>
              <w:t> </w:t>
            </w:r>
            <w:r>
              <w:rPr>
                <w:sz w:val="24"/>
              </w:rPr>
              <w:t>asigurat nu</w:t>
            </w:r>
            <w:r>
              <w:rPr>
                <w:spacing w:val="-17"/>
                <w:sz w:val="24"/>
              </w:rPr>
              <w:t> </w:t>
            </w:r>
            <w:r>
              <w:rPr>
                <w:sz w:val="24"/>
              </w:rPr>
              <w:t>conduce</w:t>
            </w:r>
            <w:r>
              <w:rPr>
                <w:spacing w:val="-17"/>
                <w:sz w:val="24"/>
              </w:rPr>
              <w:t> </w:t>
            </w:r>
            <w:r>
              <w:rPr>
                <w:sz w:val="24"/>
              </w:rPr>
              <w:t>de</w:t>
            </w:r>
            <w:r>
              <w:rPr>
                <w:spacing w:val="-17"/>
                <w:sz w:val="24"/>
              </w:rPr>
              <w:t> </w:t>
            </w:r>
            <w:r>
              <w:rPr>
                <w:sz w:val="24"/>
              </w:rPr>
              <w:t>fiecare</w:t>
            </w:r>
            <w:r>
              <w:rPr>
                <w:spacing w:val="-17"/>
                <w:sz w:val="24"/>
              </w:rPr>
              <w:t> </w:t>
            </w:r>
            <w:r>
              <w:rPr>
                <w:sz w:val="24"/>
              </w:rPr>
              <w:t>dată</w:t>
            </w:r>
            <w:r>
              <w:rPr>
                <w:spacing w:val="-18"/>
                <w:sz w:val="24"/>
              </w:rPr>
              <w:t> </w:t>
            </w:r>
            <w:r>
              <w:rPr>
                <w:sz w:val="24"/>
              </w:rPr>
              <w:t>la</w:t>
            </w:r>
            <w:r>
              <w:rPr>
                <w:spacing w:val="-17"/>
                <w:sz w:val="24"/>
              </w:rPr>
              <w:t> </w:t>
            </w:r>
            <w:r>
              <w:rPr>
                <w:sz w:val="24"/>
              </w:rPr>
              <w:t>pierderi</w:t>
            </w:r>
            <w:r>
              <w:rPr>
                <w:spacing w:val="-15"/>
                <w:sz w:val="24"/>
              </w:rPr>
              <w:t> </w:t>
            </w:r>
            <w:r>
              <w:rPr>
                <w:sz w:val="24"/>
              </w:rPr>
              <w:t>cantitative</w:t>
            </w:r>
            <w:r>
              <w:rPr>
                <w:spacing w:val="-17"/>
                <w:sz w:val="24"/>
              </w:rPr>
              <w:t> </w:t>
            </w:r>
            <w:r>
              <w:rPr>
                <w:sz w:val="24"/>
              </w:rPr>
              <w:t>de</w:t>
            </w:r>
            <w:r>
              <w:rPr>
                <w:spacing w:val="-15"/>
                <w:sz w:val="24"/>
              </w:rPr>
              <w:t> </w:t>
            </w:r>
            <w:r>
              <w:rPr>
                <w:sz w:val="24"/>
              </w:rPr>
              <w:t>recoltă,</w:t>
            </w:r>
            <w:r>
              <w:rPr>
                <w:spacing w:val="-13"/>
                <w:sz w:val="24"/>
              </w:rPr>
              <w:t> </w:t>
            </w:r>
            <w:r>
              <w:rPr>
                <w:sz w:val="24"/>
              </w:rPr>
              <w:t>afectând-se</w:t>
            </w:r>
            <w:r>
              <w:rPr>
                <w:spacing w:val="-17"/>
                <w:sz w:val="24"/>
              </w:rPr>
              <w:t> </w:t>
            </w:r>
            <w:r>
              <w:rPr>
                <w:sz w:val="24"/>
              </w:rPr>
              <w:t>doar</w:t>
            </w:r>
            <w:r>
              <w:rPr>
                <w:spacing w:val="-15"/>
                <w:sz w:val="24"/>
              </w:rPr>
              <w:t> </w:t>
            </w:r>
            <w:r>
              <w:rPr>
                <w:sz w:val="24"/>
              </w:rPr>
              <w:t>calitatea</w:t>
            </w:r>
            <w:r>
              <w:rPr>
                <w:spacing w:val="-14"/>
                <w:sz w:val="24"/>
              </w:rPr>
              <w:t> </w:t>
            </w:r>
            <w:r>
              <w:rPr>
                <w:sz w:val="24"/>
              </w:rPr>
              <w:t>ei</w:t>
            </w:r>
            <w:r>
              <w:rPr>
                <w:spacing w:val="-15"/>
                <w:sz w:val="24"/>
              </w:rPr>
              <w:t> </w:t>
            </w:r>
            <w:r>
              <w:rPr>
                <w:sz w:val="24"/>
              </w:rPr>
              <w:t>(aspectul</w:t>
            </w:r>
            <w:r>
              <w:rPr>
                <w:spacing w:val="-16"/>
                <w:sz w:val="24"/>
              </w:rPr>
              <w:t> </w:t>
            </w:r>
            <w:r>
              <w:rPr>
                <w:sz w:val="24"/>
              </w:rPr>
              <w:t>exterior al</w:t>
            </w:r>
            <w:r>
              <w:rPr>
                <w:spacing w:val="-12"/>
                <w:sz w:val="24"/>
              </w:rPr>
              <w:t> </w:t>
            </w:r>
            <w:r>
              <w:rPr>
                <w:sz w:val="24"/>
              </w:rPr>
              <w:t>producției,</w:t>
            </w:r>
            <w:r>
              <w:rPr>
                <w:spacing w:val="-12"/>
                <w:sz w:val="24"/>
              </w:rPr>
              <w:t> </w:t>
            </w:r>
            <w:r>
              <w:rPr>
                <w:sz w:val="24"/>
              </w:rPr>
              <w:t>etc.).</w:t>
            </w:r>
            <w:r>
              <w:rPr>
                <w:spacing w:val="-10"/>
                <w:sz w:val="24"/>
              </w:rPr>
              <w:t> </w:t>
            </w:r>
            <w:r>
              <w:rPr>
                <w:spacing w:val="-3"/>
                <w:sz w:val="24"/>
              </w:rPr>
              <w:t>În</w:t>
            </w:r>
            <w:r>
              <w:rPr>
                <w:spacing w:val="-12"/>
                <w:sz w:val="24"/>
              </w:rPr>
              <w:t> </w:t>
            </w:r>
            <w:r>
              <w:rPr>
                <w:sz w:val="24"/>
              </w:rPr>
              <w:t>acestea</w:t>
            </w:r>
            <w:r>
              <w:rPr>
                <w:spacing w:val="-13"/>
                <w:sz w:val="24"/>
              </w:rPr>
              <w:t> </w:t>
            </w:r>
            <w:r>
              <w:rPr>
                <w:sz w:val="24"/>
              </w:rPr>
              <w:t>cazuri,</w:t>
            </w:r>
            <w:r>
              <w:rPr>
                <w:spacing w:val="-12"/>
                <w:sz w:val="24"/>
              </w:rPr>
              <w:t> </w:t>
            </w:r>
            <w:r>
              <w:rPr>
                <w:sz w:val="24"/>
              </w:rPr>
              <w:t>asiguratorul</w:t>
            </w:r>
            <w:r>
              <w:rPr>
                <w:spacing w:val="-12"/>
                <w:sz w:val="24"/>
              </w:rPr>
              <w:t> </w:t>
            </w:r>
            <w:r>
              <w:rPr>
                <w:sz w:val="24"/>
              </w:rPr>
              <w:t>nu</w:t>
            </w:r>
            <w:r>
              <w:rPr>
                <w:spacing w:val="-11"/>
                <w:sz w:val="24"/>
              </w:rPr>
              <w:t> </w:t>
            </w:r>
            <w:r>
              <w:rPr>
                <w:sz w:val="24"/>
              </w:rPr>
              <w:t>este</w:t>
            </w:r>
            <w:r>
              <w:rPr>
                <w:spacing w:val="-13"/>
                <w:sz w:val="24"/>
              </w:rPr>
              <w:t> </w:t>
            </w:r>
            <w:r>
              <w:rPr>
                <w:sz w:val="24"/>
              </w:rPr>
              <w:t>în</w:t>
            </w:r>
            <w:r>
              <w:rPr>
                <w:spacing w:val="-12"/>
                <w:sz w:val="24"/>
              </w:rPr>
              <w:t> </w:t>
            </w:r>
            <w:r>
              <w:rPr>
                <w:sz w:val="24"/>
              </w:rPr>
              <w:t>drept</w:t>
            </w:r>
            <w:r>
              <w:rPr>
                <w:spacing w:val="-12"/>
                <w:sz w:val="24"/>
              </w:rPr>
              <w:t> </w:t>
            </w:r>
            <w:r>
              <w:rPr>
                <w:sz w:val="24"/>
              </w:rPr>
              <w:t>să</w:t>
            </w:r>
            <w:r>
              <w:rPr>
                <w:spacing w:val="-13"/>
                <w:sz w:val="24"/>
              </w:rPr>
              <w:t> </w:t>
            </w:r>
            <w:r>
              <w:rPr>
                <w:sz w:val="24"/>
              </w:rPr>
              <w:t>plătească</w:t>
            </w:r>
            <w:r>
              <w:rPr>
                <w:spacing w:val="-13"/>
                <w:sz w:val="24"/>
              </w:rPr>
              <w:t> </w:t>
            </w:r>
            <w:r>
              <w:rPr>
                <w:sz w:val="24"/>
              </w:rPr>
              <w:t>despăgubiri</w:t>
            </w:r>
            <w:r>
              <w:rPr>
                <w:spacing w:val="-11"/>
                <w:sz w:val="24"/>
              </w:rPr>
              <w:t> </w:t>
            </w:r>
            <w:r>
              <w:rPr>
                <w:sz w:val="24"/>
              </w:rPr>
              <w:t>producătorului agricol, atât timp cît acesta s-a asigurat de pierderile cantitative de recoltă. Or, de cele mai multe ori, lipsa calității producției agricole face imposibilă și comercializarea, afectând-se în așa fel veniturile producătorilor</w:t>
            </w:r>
            <w:r>
              <w:rPr>
                <w:spacing w:val="-2"/>
                <w:sz w:val="24"/>
              </w:rPr>
              <w:t> </w:t>
            </w:r>
            <w:r>
              <w:rPr>
                <w:sz w:val="24"/>
              </w:rPr>
              <w:t>agricole.</w:t>
            </w:r>
          </w:p>
          <w:p>
            <w:pPr>
              <w:pStyle w:val="TableParagraph"/>
              <w:spacing w:before="0"/>
              <w:ind w:left="45" w:right="27" w:firstLine="566"/>
              <w:jc w:val="both"/>
              <w:rPr>
                <w:sz w:val="24"/>
              </w:rPr>
            </w:pPr>
            <w:r>
              <w:rPr>
                <w:sz w:val="24"/>
              </w:rPr>
              <w:t>Un amendament aparte prevede eliminarea unei erori mecanice admise în lege, deoarece art. 23 al Legii 243-XV permite subvenționarea asigurării plantațiilor multianuale, iar art. 5 al aceleiași legi nu le prevede ca obiect al asigurării.</w:t>
            </w:r>
          </w:p>
          <w:p>
            <w:pPr>
              <w:pStyle w:val="TableParagraph"/>
              <w:spacing w:before="0"/>
              <w:ind w:left="45" w:right="26" w:firstLine="566"/>
              <w:jc w:val="both"/>
              <w:rPr>
                <w:sz w:val="24"/>
              </w:rPr>
            </w:pPr>
            <w:r>
              <w:rPr>
                <w:sz w:val="24"/>
              </w:rPr>
              <w:t>Un amendament aparte, de asemenea prevede revenirea la nivelul de 15% din valoarea primelor subscrise pe contractului de asigurare, care pot fi utilizate de către asigurator pentru acoperirea cheltuielilor de gestiune a contractelor. Revenirea la această cotă este dictată de faptul că nivelul mic al primelor de asigurare încheiate de asiguratori nu permite acoperirea tuturor costurilor suportate în legătură cu gestiunea acestor tipuri de contracte. Estimările sunt reflectate în anexa nr. 1.</w:t>
            </w:r>
          </w:p>
          <w:p>
            <w:pPr>
              <w:pStyle w:val="TableParagraph"/>
              <w:spacing w:before="0"/>
              <w:ind w:left="45" w:right="24" w:firstLine="566"/>
              <w:jc w:val="both"/>
              <w:rPr>
                <w:sz w:val="24"/>
              </w:rPr>
            </w:pPr>
            <w:r>
              <w:rPr>
                <w:sz w:val="24"/>
              </w:rPr>
              <w:t>Alt amendament, prevede posibilitatea achitării de către beneficiarul asigurării a primei de asigurare.</w:t>
            </w:r>
            <w:r>
              <w:rPr>
                <w:spacing w:val="-12"/>
                <w:sz w:val="24"/>
              </w:rPr>
              <w:t> </w:t>
            </w:r>
            <w:r>
              <w:rPr>
                <w:sz w:val="24"/>
              </w:rPr>
              <w:t>După</w:t>
            </w:r>
            <w:r>
              <w:rPr>
                <w:spacing w:val="-13"/>
                <w:sz w:val="24"/>
              </w:rPr>
              <w:t> </w:t>
            </w:r>
            <w:r>
              <w:rPr>
                <w:sz w:val="24"/>
              </w:rPr>
              <w:t>cum</w:t>
            </w:r>
            <w:r>
              <w:rPr>
                <w:spacing w:val="-11"/>
                <w:sz w:val="24"/>
              </w:rPr>
              <w:t> </w:t>
            </w:r>
            <w:r>
              <w:rPr>
                <w:sz w:val="24"/>
              </w:rPr>
              <w:t>s-a</w:t>
            </w:r>
            <w:r>
              <w:rPr>
                <w:spacing w:val="-11"/>
                <w:sz w:val="24"/>
              </w:rPr>
              <w:t> </w:t>
            </w:r>
            <w:r>
              <w:rPr>
                <w:sz w:val="24"/>
              </w:rPr>
              <w:t>menționat</w:t>
            </w:r>
            <w:r>
              <w:rPr>
                <w:spacing w:val="-11"/>
                <w:sz w:val="24"/>
              </w:rPr>
              <w:t> </w:t>
            </w:r>
            <w:r>
              <w:rPr>
                <w:sz w:val="24"/>
              </w:rPr>
              <w:t>mai</w:t>
            </w:r>
            <w:r>
              <w:rPr>
                <w:spacing w:val="-12"/>
                <w:sz w:val="24"/>
              </w:rPr>
              <w:t> </w:t>
            </w:r>
            <w:r>
              <w:rPr>
                <w:sz w:val="24"/>
              </w:rPr>
              <w:t>sus,</w:t>
            </w:r>
            <w:r>
              <w:rPr>
                <w:spacing w:val="-11"/>
                <w:sz w:val="24"/>
              </w:rPr>
              <w:t> </w:t>
            </w:r>
            <w:r>
              <w:rPr>
                <w:sz w:val="24"/>
              </w:rPr>
              <w:t>în</w:t>
            </w:r>
            <w:r>
              <w:rPr>
                <w:spacing w:val="-12"/>
                <w:sz w:val="24"/>
              </w:rPr>
              <w:t> </w:t>
            </w:r>
            <w:r>
              <w:rPr>
                <w:sz w:val="24"/>
              </w:rPr>
              <w:t>calitate</w:t>
            </w:r>
            <w:r>
              <w:rPr>
                <w:spacing w:val="-13"/>
                <w:sz w:val="24"/>
              </w:rPr>
              <w:t> </w:t>
            </w:r>
            <w:r>
              <w:rPr>
                <w:sz w:val="24"/>
              </w:rPr>
              <w:t>de</w:t>
            </w:r>
            <w:r>
              <w:rPr>
                <w:spacing w:val="-12"/>
                <w:sz w:val="24"/>
              </w:rPr>
              <w:t> </w:t>
            </w:r>
            <w:r>
              <w:rPr>
                <w:sz w:val="24"/>
              </w:rPr>
              <w:t>beneficiar</w:t>
            </w:r>
            <w:r>
              <w:rPr>
                <w:spacing w:val="-13"/>
                <w:sz w:val="24"/>
              </w:rPr>
              <w:t> </w:t>
            </w:r>
            <w:r>
              <w:rPr>
                <w:sz w:val="24"/>
              </w:rPr>
              <w:t>al</w:t>
            </w:r>
            <w:r>
              <w:rPr>
                <w:spacing w:val="-11"/>
                <w:sz w:val="24"/>
              </w:rPr>
              <w:t> </w:t>
            </w:r>
            <w:r>
              <w:rPr>
                <w:sz w:val="24"/>
              </w:rPr>
              <w:t>asigurării</w:t>
            </w:r>
            <w:r>
              <w:rPr>
                <w:spacing w:val="-12"/>
                <w:sz w:val="24"/>
              </w:rPr>
              <w:t> </w:t>
            </w:r>
            <w:r>
              <w:rPr>
                <w:sz w:val="24"/>
              </w:rPr>
              <w:t>poate</w:t>
            </w:r>
            <w:r>
              <w:rPr>
                <w:spacing w:val="-12"/>
                <w:sz w:val="24"/>
              </w:rPr>
              <w:t> </w:t>
            </w:r>
            <w:r>
              <w:rPr>
                <w:sz w:val="24"/>
              </w:rPr>
              <w:t>apărea</w:t>
            </w:r>
            <w:r>
              <w:rPr>
                <w:spacing w:val="-13"/>
                <w:sz w:val="24"/>
              </w:rPr>
              <w:t> </w:t>
            </w:r>
            <w:r>
              <w:rPr>
                <w:sz w:val="24"/>
              </w:rPr>
              <w:t>atât</w:t>
            </w:r>
            <w:r>
              <w:rPr>
                <w:spacing w:val="-11"/>
                <w:sz w:val="24"/>
              </w:rPr>
              <w:t> </w:t>
            </w:r>
            <w:r>
              <w:rPr>
                <w:sz w:val="24"/>
              </w:rPr>
              <w:t>băncile comerciale</w:t>
            </w:r>
            <w:r>
              <w:rPr>
                <w:spacing w:val="-12"/>
                <w:sz w:val="24"/>
              </w:rPr>
              <w:t> </w:t>
            </w:r>
            <w:r>
              <w:rPr>
                <w:sz w:val="24"/>
              </w:rPr>
              <w:t>cât</w:t>
            </w:r>
            <w:r>
              <w:rPr>
                <w:spacing w:val="-11"/>
                <w:sz w:val="24"/>
              </w:rPr>
              <w:t> </w:t>
            </w:r>
            <w:r>
              <w:rPr>
                <w:sz w:val="24"/>
              </w:rPr>
              <w:t>și</w:t>
            </w:r>
            <w:r>
              <w:rPr>
                <w:spacing w:val="-11"/>
                <w:sz w:val="24"/>
              </w:rPr>
              <w:t> </w:t>
            </w:r>
            <w:r>
              <w:rPr>
                <w:sz w:val="24"/>
              </w:rPr>
              <w:t>furnizorii</w:t>
            </w:r>
            <w:r>
              <w:rPr>
                <w:spacing w:val="-11"/>
                <w:sz w:val="24"/>
              </w:rPr>
              <w:t> </w:t>
            </w:r>
            <w:r>
              <w:rPr>
                <w:sz w:val="24"/>
              </w:rPr>
              <w:t>de</w:t>
            </w:r>
            <w:r>
              <w:rPr>
                <w:spacing w:val="-12"/>
                <w:sz w:val="24"/>
              </w:rPr>
              <w:t> </w:t>
            </w:r>
            <w:r>
              <w:rPr>
                <w:sz w:val="24"/>
              </w:rPr>
              <w:t>produse</w:t>
            </w:r>
            <w:r>
              <w:rPr>
                <w:spacing w:val="-12"/>
                <w:sz w:val="24"/>
              </w:rPr>
              <w:t> </w:t>
            </w:r>
            <w:r>
              <w:rPr>
                <w:sz w:val="24"/>
              </w:rPr>
              <w:t>de</w:t>
            </w:r>
            <w:r>
              <w:rPr>
                <w:spacing w:val="-12"/>
                <w:sz w:val="24"/>
              </w:rPr>
              <w:t> </w:t>
            </w:r>
            <w:r>
              <w:rPr>
                <w:sz w:val="24"/>
              </w:rPr>
              <w:t>uz</w:t>
            </w:r>
            <w:r>
              <w:rPr>
                <w:spacing w:val="-10"/>
                <w:sz w:val="24"/>
              </w:rPr>
              <w:t> </w:t>
            </w:r>
            <w:r>
              <w:rPr>
                <w:sz w:val="24"/>
              </w:rPr>
              <w:t>fitosanitar,</w:t>
            </w:r>
            <w:r>
              <w:rPr>
                <w:spacing w:val="-11"/>
                <w:sz w:val="24"/>
              </w:rPr>
              <w:t> </w:t>
            </w:r>
            <w:r>
              <w:rPr>
                <w:sz w:val="24"/>
              </w:rPr>
              <w:t>de</w:t>
            </w:r>
            <w:r>
              <w:rPr>
                <w:spacing w:val="-12"/>
                <w:sz w:val="24"/>
              </w:rPr>
              <w:t> </w:t>
            </w:r>
            <w:r>
              <w:rPr>
                <w:sz w:val="24"/>
              </w:rPr>
              <w:t>semințe,</w:t>
            </w:r>
            <w:r>
              <w:rPr>
                <w:spacing w:val="-11"/>
                <w:sz w:val="24"/>
              </w:rPr>
              <w:t> </w:t>
            </w:r>
            <w:r>
              <w:rPr>
                <w:sz w:val="24"/>
              </w:rPr>
              <w:t>servicii</w:t>
            </w:r>
            <w:r>
              <w:rPr>
                <w:spacing w:val="-8"/>
                <w:sz w:val="24"/>
              </w:rPr>
              <w:t> </w:t>
            </w:r>
            <w:r>
              <w:rPr>
                <w:sz w:val="24"/>
              </w:rPr>
              <w:t>agrotehnice</w:t>
            </w:r>
            <w:r>
              <w:rPr>
                <w:spacing w:val="-10"/>
                <w:sz w:val="24"/>
              </w:rPr>
              <w:t> </w:t>
            </w:r>
            <w:r>
              <w:rPr>
                <w:sz w:val="24"/>
              </w:rPr>
              <w:t>și</w:t>
            </w:r>
            <w:r>
              <w:rPr>
                <w:spacing w:val="-11"/>
                <w:sz w:val="24"/>
              </w:rPr>
              <w:t> </w:t>
            </w:r>
            <w:r>
              <w:rPr>
                <w:sz w:val="24"/>
              </w:rPr>
              <w:t>transport,</w:t>
            </w:r>
            <w:r>
              <w:rPr>
                <w:spacing w:val="-9"/>
                <w:sz w:val="24"/>
              </w:rPr>
              <w:t> </w:t>
            </w:r>
            <w:r>
              <w:rPr>
                <w:sz w:val="24"/>
              </w:rPr>
              <w:t>care în</w:t>
            </w:r>
            <w:r>
              <w:rPr>
                <w:spacing w:val="-5"/>
                <w:sz w:val="24"/>
              </w:rPr>
              <w:t> </w:t>
            </w:r>
            <w:r>
              <w:rPr>
                <w:sz w:val="24"/>
              </w:rPr>
              <w:t>raporturile</w:t>
            </w:r>
            <w:r>
              <w:rPr>
                <w:spacing w:val="-5"/>
                <w:sz w:val="24"/>
              </w:rPr>
              <w:t> </w:t>
            </w:r>
            <w:r>
              <w:rPr>
                <w:sz w:val="24"/>
              </w:rPr>
              <w:t>comerciale</w:t>
            </w:r>
            <w:r>
              <w:rPr>
                <w:spacing w:val="-3"/>
                <w:sz w:val="24"/>
              </w:rPr>
              <w:t> </w:t>
            </w:r>
            <w:r>
              <w:rPr>
                <w:sz w:val="24"/>
              </w:rPr>
              <w:t>sunt</w:t>
            </w:r>
            <w:r>
              <w:rPr>
                <w:spacing w:val="-3"/>
                <w:sz w:val="24"/>
              </w:rPr>
              <w:t> </w:t>
            </w:r>
            <w:r>
              <w:rPr>
                <w:sz w:val="24"/>
              </w:rPr>
              <w:t>creditorii</w:t>
            </w:r>
            <w:r>
              <w:rPr>
                <w:spacing w:val="-4"/>
                <w:sz w:val="24"/>
              </w:rPr>
              <w:t> </w:t>
            </w:r>
            <w:r>
              <w:rPr>
                <w:sz w:val="24"/>
              </w:rPr>
              <w:t>producătorului</w:t>
            </w:r>
            <w:r>
              <w:rPr>
                <w:spacing w:val="-3"/>
                <w:sz w:val="24"/>
              </w:rPr>
              <w:t> </w:t>
            </w:r>
            <w:r>
              <w:rPr>
                <w:sz w:val="24"/>
              </w:rPr>
              <w:t>agricol</w:t>
            </w:r>
            <w:r>
              <w:rPr>
                <w:spacing w:val="-3"/>
                <w:sz w:val="24"/>
              </w:rPr>
              <w:t> </w:t>
            </w:r>
            <w:r>
              <w:rPr>
                <w:sz w:val="24"/>
              </w:rPr>
              <w:t>și</w:t>
            </w:r>
            <w:r>
              <w:rPr>
                <w:spacing w:val="-4"/>
                <w:sz w:val="24"/>
              </w:rPr>
              <w:t> </w:t>
            </w:r>
            <w:r>
              <w:rPr>
                <w:sz w:val="24"/>
              </w:rPr>
              <w:t>au</w:t>
            </w:r>
            <w:r>
              <w:rPr>
                <w:spacing w:val="-4"/>
                <w:sz w:val="24"/>
              </w:rPr>
              <w:t> </w:t>
            </w:r>
            <w:r>
              <w:rPr>
                <w:sz w:val="24"/>
              </w:rPr>
              <w:t>interes</w:t>
            </w:r>
            <w:r>
              <w:rPr>
                <w:spacing w:val="-5"/>
                <w:sz w:val="24"/>
              </w:rPr>
              <w:t> </w:t>
            </w:r>
            <w:r>
              <w:rPr>
                <w:sz w:val="24"/>
              </w:rPr>
              <w:t>în</w:t>
            </w:r>
            <w:r>
              <w:rPr>
                <w:spacing w:val="-4"/>
                <w:sz w:val="24"/>
              </w:rPr>
              <w:t> </w:t>
            </w:r>
            <w:r>
              <w:rPr>
                <w:sz w:val="24"/>
              </w:rPr>
              <w:t>obținerea</w:t>
            </w:r>
            <w:r>
              <w:rPr>
                <w:spacing w:val="-5"/>
                <w:sz w:val="24"/>
              </w:rPr>
              <w:t> </w:t>
            </w:r>
            <w:r>
              <w:rPr>
                <w:sz w:val="24"/>
              </w:rPr>
              <w:t>de</w:t>
            </w:r>
            <w:r>
              <w:rPr>
                <w:spacing w:val="-3"/>
                <w:sz w:val="24"/>
              </w:rPr>
              <w:t> </w:t>
            </w:r>
            <w:r>
              <w:rPr>
                <w:sz w:val="24"/>
              </w:rPr>
              <w:t>către</w:t>
            </w:r>
            <w:r>
              <w:rPr>
                <w:spacing w:val="-5"/>
                <w:sz w:val="24"/>
              </w:rPr>
              <w:t> </w:t>
            </w:r>
            <w:r>
              <w:rPr>
                <w:sz w:val="24"/>
              </w:rPr>
              <w:t>acesta</w:t>
            </w:r>
            <w:r>
              <w:rPr>
                <w:spacing w:val="-6"/>
                <w:sz w:val="24"/>
              </w:rPr>
              <w:t> </w:t>
            </w:r>
            <w:r>
              <w:rPr>
                <w:sz w:val="24"/>
              </w:rPr>
              <w:t>a recoltei asigurate și stingerea creanțelor. În special, în situația în care se produce riscul asigurat, acesta are</w:t>
            </w:r>
            <w:r>
              <w:rPr>
                <w:spacing w:val="-12"/>
                <w:sz w:val="24"/>
              </w:rPr>
              <w:t> </w:t>
            </w:r>
            <w:r>
              <w:rPr>
                <w:sz w:val="24"/>
              </w:rPr>
              <w:t>garanția</w:t>
            </w:r>
            <w:r>
              <w:rPr>
                <w:spacing w:val="-12"/>
                <w:sz w:val="24"/>
              </w:rPr>
              <w:t> </w:t>
            </w:r>
            <w:r>
              <w:rPr>
                <w:sz w:val="24"/>
              </w:rPr>
              <w:t>că</w:t>
            </w:r>
            <w:r>
              <w:rPr>
                <w:spacing w:val="-14"/>
                <w:sz w:val="24"/>
              </w:rPr>
              <w:t> </w:t>
            </w:r>
            <w:r>
              <w:rPr>
                <w:sz w:val="24"/>
              </w:rPr>
              <w:t>își</w:t>
            </w:r>
            <w:r>
              <w:rPr>
                <w:spacing w:val="-12"/>
                <w:sz w:val="24"/>
              </w:rPr>
              <w:t> </w:t>
            </w:r>
            <w:r>
              <w:rPr>
                <w:sz w:val="24"/>
              </w:rPr>
              <w:t>va</w:t>
            </w:r>
            <w:r>
              <w:rPr>
                <w:spacing w:val="-14"/>
                <w:sz w:val="24"/>
              </w:rPr>
              <w:t> </w:t>
            </w:r>
            <w:r>
              <w:rPr>
                <w:sz w:val="24"/>
              </w:rPr>
              <w:t>satisface</w:t>
            </w:r>
            <w:r>
              <w:rPr>
                <w:spacing w:val="-12"/>
                <w:sz w:val="24"/>
              </w:rPr>
              <w:t> </w:t>
            </w:r>
            <w:r>
              <w:rPr>
                <w:sz w:val="24"/>
              </w:rPr>
              <w:t>creanța</w:t>
            </w:r>
            <w:r>
              <w:rPr>
                <w:spacing w:val="-13"/>
                <w:sz w:val="24"/>
              </w:rPr>
              <w:t> </w:t>
            </w:r>
            <w:r>
              <w:rPr>
                <w:sz w:val="24"/>
              </w:rPr>
              <w:t>din</w:t>
            </w:r>
            <w:r>
              <w:rPr>
                <w:spacing w:val="-13"/>
                <w:sz w:val="24"/>
              </w:rPr>
              <w:t> </w:t>
            </w:r>
            <w:r>
              <w:rPr>
                <w:sz w:val="24"/>
              </w:rPr>
              <w:t>suma</w:t>
            </w:r>
            <w:r>
              <w:rPr>
                <w:spacing w:val="-14"/>
                <w:sz w:val="24"/>
              </w:rPr>
              <w:t> </w:t>
            </w:r>
            <w:r>
              <w:rPr>
                <w:sz w:val="24"/>
              </w:rPr>
              <w:t>despăgubirii</w:t>
            </w:r>
            <w:r>
              <w:rPr>
                <w:spacing w:val="-12"/>
                <w:sz w:val="24"/>
              </w:rPr>
              <w:t> </w:t>
            </w:r>
            <w:r>
              <w:rPr>
                <w:sz w:val="24"/>
              </w:rPr>
              <w:t>de</w:t>
            </w:r>
            <w:r>
              <w:rPr>
                <w:spacing w:val="-14"/>
                <w:sz w:val="24"/>
              </w:rPr>
              <w:t> </w:t>
            </w:r>
            <w:r>
              <w:rPr>
                <w:sz w:val="24"/>
              </w:rPr>
              <w:t>asigurare,</w:t>
            </w:r>
            <w:r>
              <w:rPr>
                <w:spacing w:val="-13"/>
                <w:sz w:val="24"/>
              </w:rPr>
              <w:t> </w:t>
            </w:r>
            <w:r>
              <w:rPr>
                <w:sz w:val="24"/>
              </w:rPr>
              <w:t>ceea</w:t>
            </w:r>
            <w:r>
              <w:rPr>
                <w:spacing w:val="-13"/>
                <w:sz w:val="24"/>
              </w:rPr>
              <w:t> </w:t>
            </w:r>
            <w:r>
              <w:rPr>
                <w:sz w:val="24"/>
              </w:rPr>
              <w:t>ce</w:t>
            </w:r>
            <w:r>
              <w:rPr>
                <w:spacing w:val="-14"/>
                <w:sz w:val="24"/>
              </w:rPr>
              <w:t> </w:t>
            </w:r>
            <w:r>
              <w:rPr>
                <w:sz w:val="24"/>
              </w:rPr>
              <w:t>îl</w:t>
            </w:r>
            <w:r>
              <w:rPr>
                <w:spacing w:val="-13"/>
                <w:sz w:val="24"/>
              </w:rPr>
              <w:t> </w:t>
            </w:r>
            <w:r>
              <w:rPr>
                <w:sz w:val="24"/>
              </w:rPr>
              <w:t>motivează</w:t>
            </w:r>
            <w:r>
              <w:rPr>
                <w:spacing w:val="-13"/>
                <w:sz w:val="24"/>
              </w:rPr>
              <w:t> </w:t>
            </w:r>
            <w:r>
              <w:rPr>
                <w:sz w:val="24"/>
              </w:rPr>
              <w:t>pe</w:t>
            </w:r>
            <w:r>
              <w:rPr>
                <w:spacing w:val="-14"/>
                <w:sz w:val="24"/>
              </w:rPr>
              <w:t> </w:t>
            </w:r>
            <w:r>
              <w:rPr>
                <w:sz w:val="24"/>
              </w:rPr>
              <w:t>creditor să achite prima de asigurare în interesul</w:t>
            </w:r>
            <w:r>
              <w:rPr>
                <w:spacing w:val="-6"/>
                <w:sz w:val="24"/>
              </w:rPr>
              <w:t> </w:t>
            </w:r>
            <w:r>
              <w:rPr>
                <w:sz w:val="24"/>
              </w:rPr>
              <w:t>asiguratului.</w:t>
            </w:r>
          </w:p>
          <w:p>
            <w:pPr>
              <w:pStyle w:val="TableParagraph"/>
              <w:spacing w:before="1"/>
              <w:ind w:left="45" w:right="25" w:firstLine="566"/>
              <w:jc w:val="both"/>
              <w:rPr>
                <w:sz w:val="24"/>
              </w:rPr>
            </w:pPr>
            <w:r>
              <w:rPr>
                <w:sz w:val="24"/>
              </w:rPr>
              <w:t>De asemenea, se propune introducerea posibilității achitării primei de asigurare în mai mult de două tranșe, ceea ce va reduce povoara financiară asupra producătorului agricol asigurat.</w:t>
            </w:r>
          </w:p>
          <w:p>
            <w:pPr>
              <w:pStyle w:val="TableParagraph"/>
              <w:spacing w:before="0"/>
              <w:ind w:left="45" w:right="26" w:firstLine="566"/>
              <w:jc w:val="both"/>
              <w:rPr>
                <w:sz w:val="24"/>
              </w:rPr>
            </w:pPr>
            <w:r>
              <w:rPr>
                <w:sz w:val="24"/>
              </w:rPr>
              <w:t>Totodată, alt amendament reglementează posibilitatea achitării primei de asigurare sau a primei tranșe a acesteia pentru recolta culturilor de toamnă cel târziu până la 1 mai al anului recoltării, întrucât instituirea termenului până la 01 decembrie indisponibilizează o sumă de bani ai asiguratului pe o perioadă de până la jumătate de an, pentru riscuri care se vor produce în anul viitor, de asemenea reprezentând o limitare nejustificată a dreptului de achitare a primei și tranșelor de asigurare, în special, în cazul când asiguratul nu dispune de lichidități.</w:t>
            </w:r>
          </w:p>
          <w:p>
            <w:pPr>
              <w:pStyle w:val="TableParagraph"/>
              <w:spacing w:before="0"/>
              <w:ind w:left="45" w:right="25" w:firstLine="566"/>
              <w:jc w:val="both"/>
              <w:rPr>
                <w:sz w:val="24"/>
              </w:rPr>
            </w:pPr>
            <w:r>
              <w:rPr>
                <w:sz w:val="24"/>
              </w:rPr>
              <w:t>La</w:t>
            </w:r>
            <w:r>
              <w:rPr>
                <w:spacing w:val="-6"/>
                <w:sz w:val="24"/>
              </w:rPr>
              <w:t> </w:t>
            </w:r>
            <w:r>
              <w:rPr>
                <w:sz w:val="24"/>
              </w:rPr>
              <w:t>fel,</w:t>
            </w:r>
            <w:r>
              <w:rPr>
                <w:spacing w:val="-5"/>
                <w:sz w:val="24"/>
              </w:rPr>
              <w:t> </w:t>
            </w:r>
            <w:r>
              <w:rPr>
                <w:sz w:val="24"/>
              </w:rPr>
              <w:t>se</w:t>
            </w:r>
            <w:r>
              <w:rPr>
                <w:spacing w:val="-6"/>
                <w:sz w:val="24"/>
              </w:rPr>
              <w:t> </w:t>
            </w:r>
            <w:r>
              <w:rPr>
                <w:sz w:val="24"/>
              </w:rPr>
              <w:t>propune</w:t>
            </w:r>
            <w:r>
              <w:rPr>
                <w:spacing w:val="-6"/>
                <w:sz w:val="24"/>
              </w:rPr>
              <w:t> </w:t>
            </w:r>
            <w:r>
              <w:rPr>
                <w:sz w:val="24"/>
              </w:rPr>
              <w:t>ca</w:t>
            </w:r>
            <w:r>
              <w:rPr>
                <w:spacing w:val="-5"/>
                <w:sz w:val="24"/>
              </w:rPr>
              <w:t> </w:t>
            </w:r>
            <w:r>
              <w:rPr>
                <w:sz w:val="24"/>
              </w:rPr>
              <w:t>pentru</w:t>
            </w:r>
            <w:r>
              <w:rPr>
                <w:spacing w:val="-5"/>
                <w:sz w:val="24"/>
              </w:rPr>
              <w:t> </w:t>
            </w:r>
            <w:r>
              <w:rPr>
                <w:sz w:val="24"/>
              </w:rPr>
              <w:t>cazurile</w:t>
            </w:r>
            <w:r>
              <w:rPr>
                <w:spacing w:val="-6"/>
                <w:sz w:val="24"/>
              </w:rPr>
              <w:t> </w:t>
            </w:r>
            <w:r>
              <w:rPr>
                <w:sz w:val="24"/>
              </w:rPr>
              <w:t>când</w:t>
            </w:r>
            <w:r>
              <w:rPr>
                <w:spacing w:val="-5"/>
                <w:sz w:val="24"/>
              </w:rPr>
              <w:t> </w:t>
            </w:r>
            <w:r>
              <w:rPr>
                <w:sz w:val="24"/>
              </w:rPr>
              <w:t>asiguratorul</w:t>
            </w:r>
            <w:r>
              <w:rPr>
                <w:spacing w:val="-4"/>
                <w:sz w:val="24"/>
              </w:rPr>
              <w:t> </w:t>
            </w:r>
            <w:r>
              <w:rPr>
                <w:sz w:val="24"/>
              </w:rPr>
              <w:t>trebuie</w:t>
            </w:r>
            <w:r>
              <w:rPr>
                <w:spacing w:val="-5"/>
                <w:sz w:val="24"/>
              </w:rPr>
              <w:t> </w:t>
            </w:r>
            <w:r>
              <w:rPr>
                <w:sz w:val="24"/>
              </w:rPr>
              <w:t>să</w:t>
            </w:r>
            <w:r>
              <w:rPr>
                <w:spacing w:val="-6"/>
                <w:sz w:val="24"/>
              </w:rPr>
              <w:t> </w:t>
            </w:r>
            <w:r>
              <w:rPr>
                <w:sz w:val="24"/>
              </w:rPr>
              <w:t>achite</w:t>
            </w:r>
            <w:r>
              <w:rPr>
                <w:spacing w:val="-6"/>
                <w:sz w:val="24"/>
              </w:rPr>
              <w:t> </w:t>
            </w:r>
            <w:r>
              <w:rPr>
                <w:sz w:val="24"/>
              </w:rPr>
              <w:t>despăgubirea</w:t>
            </w:r>
            <w:r>
              <w:rPr>
                <w:spacing w:val="-6"/>
                <w:sz w:val="24"/>
              </w:rPr>
              <w:t> </w:t>
            </w:r>
            <w:r>
              <w:rPr>
                <w:sz w:val="24"/>
              </w:rPr>
              <w:t>de</w:t>
            </w:r>
            <w:r>
              <w:rPr>
                <w:spacing w:val="-5"/>
                <w:sz w:val="24"/>
              </w:rPr>
              <w:t> </w:t>
            </w:r>
            <w:r>
              <w:rPr>
                <w:sz w:val="24"/>
              </w:rPr>
              <w:t>asigurare, iar partea primei subvenționată încă nu a fost încasată de la stat, se prevede clar achitarea de către Asiguratori a despăgubirii proporțional primei de asigurare încasate la momentul plății, după care, la încasarea părții subvenționate – să fie achitată și partea restantă a despăgubirii de</w:t>
            </w:r>
            <w:r>
              <w:rPr>
                <w:spacing w:val="-11"/>
                <w:sz w:val="24"/>
              </w:rPr>
              <w:t> </w:t>
            </w:r>
            <w:r>
              <w:rPr>
                <w:sz w:val="24"/>
              </w:rPr>
              <w:t>asigurare.</w:t>
            </w:r>
          </w:p>
          <w:p>
            <w:pPr>
              <w:pStyle w:val="TableParagraph"/>
              <w:spacing w:before="0"/>
              <w:ind w:left="45" w:right="26" w:firstLine="566"/>
              <w:jc w:val="both"/>
              <w:rPr>
                <w:sz w:val="24"/>
              </w:rPr>
            </w:pPr>
            <w:r>
              <w:rPr>
                <w:sz w:val="24"/>
              </w:rPr>
              <w:t>La fel, se propune o prevedere, care ar permite Guvernului în funcție de necesitate/posibilitate să majoreze nivelul de subvenționare a primelor de asigurare de la 50% până la 70% în scopul stimulării mecanismului de asigurare, extinderii suprafețelor cu culturi agricole asigurate și totodată diminuarea poverii financiare asupra producătorilor agricoli.</w:t>
            </w:r>
          </w:p>
          <w:p>
            <w:pPr>
              <w:pStyle w:val="TableParagraph"/>
              <w:spacing w:line="270" w:lineRule="atLeast" w:before="0"/>
              <w:ind w:left="45" w:right="23" w:firstLine="566"/>
              <w:jc w:val="both"/>
              <w:rPr>
                <w:sz w:val="24"/>
              </w:rPr>
            </w:pPr>
            <w:r>
              <w:rPr>
                <w:sz w:val="24"/>
              </w:rPr>
              <w:t>A fost delimitată componența comisiei de investigare a cazului asigurat în funcție de bunurile asigurate. Totodată, au fost excluse AIPA și Direcția Agricolă Raională din componența comisiei de constatare</w:t>
            </w:r>
            <w:r>
              <w:rPr>
                <w:spacing w:val="-14"/>
                <w:sz w:val="24"/>
              </w:rPr>
              <w:t> </w:t>
            </w:r>
            <w:r>
              <w:rPr>
                <w:sz w:val="24"/>
              </w:rPr>
              <w:t>a</w:t>
            </w:r>
            <w:r>
              <w:rPr>
                <w:spacing w:val="-17"/>
                <w:sz w:val="24"/>
              </w:rPr>
              <w:t> </w:t>
            </w:r>
            <w:r>
              <w:rPr>
                <w:sz w:val="24"/>
              </w:rPr>
              <w:t>producerii</w:t>
            </w:r>
            <w:r>
              <w:rPr>
                <w:spacing w:val="-15"/>
                <w:sz w:val="24"/>
              </w:rPr>
              <w:t> </w:t>
            </w:r>
            <w:r>
              <w:rPr>
                <w:sz w:val="24"/>
              </w:rPr>
              <w:t>cazului</w:t>
            </w:r>
            <w:r>
              <w:rPr>
                <w:spacing w:val="-15"/>
                <w:sz w:val="24"/>
              </w:rPr>
              <w:t> </w:t>
            </w:r>
            <w:r>
              <w:rPr>
                <w:sz w:val="24"/>
              </w:rPr>
              <w:t>asigurat,</w:t>
            </w:r>
            <w:r>
              <w:rPr>
                <w:spacing w:val="-16"/>
                <w:sz w:val="24"/>
              </w:rPr>
              <w:t> </w:t>
            </w:r>
            <w:r>
              <w:rPr>
                <w:sz w:val="24"/>
              </w:rPr>
              <w:t>întrucât</w:t>
            </w:r>
            <w:r>
              <w:rPr>
                <w:spacing w:val="-15"/>
                <w:sz w:val="24"/>
              </w:rPr>
              <w:t> </w:t>
            </w:r>
            <w:r>
              <w:rPr>
                <w:sz w:val="24"/>
              </w:rPr>
              <w:t>acestea</w:t>
            </w:r>
            <w:r>
              <w:rPr>
                <w:spacing w:val="-17"/>
                <w:sz w:val="24"/>
              </w:rPr>
              <w:t> </w:t>
            </w:r>
            <w:r>
              <w:rPr>
                <w:sz w:val="24"/>
              </w:rPr>
              <w:t>nu</w:t>
            </w:r>
            <w:r>
              <w:rPr>
                <w:spacing w:val="-13"/>
                <w:sz w:val="24"/>
              </w:rPr>
              <w:t> </w:t>
            </w:r>
            <w:r>
              <w:rPr>
                <w:sz w:val="24"/>
              </w:rPr>
              <w:t>dispun</w:t>
            </w:r>
            <w:r>
              <w:rPr>
                <w:spacing w:val="-16"/>
                <w:sz w:val="24"/>
              </w:rPr>
              <w:t> </w:t>
            </w:r>
            <w:r>
              <w:rPr>
                <w:sz w:val="24"/>
              </w:rPr>
              <w:t>de</w:t>
            </w:r>
            <w:r>
              <w:rPr>
                <w:spacing w:val="-14"/>
                <w:sz w:val="24"/>
              </w:rPr>
              <w:t> </w:t>
            </w:r>
            <w:r>
              <w:rPr>
                <w:sz w:val="24"/>
              </w:rPr>
              <w:t>competențe,</w:t>
            </w:r>
            <w:r>
              <w:rPr>
                <w:spacing w:val="-15"/>
                <w:sz w:val="24"/>
              </w:rPr>
              <w:t> </w:t>
            </w:r>
            <w:r>
              <w:rPr>
                <w:sz w:val="24"/>
              </w:rPr>
              <w:t>sau</w:t>
            </w:r>
            <w:r>
              <w:rPr>
                <w:spacing w:val="-13"/>
                <w:sz w:val="24"/>
              </w:rPr>
              <w:t> </w:t>
            </w:r>
            <w:r>
              <w:rPr>
                <w:sz w:val="24"/>
              </w:rPr>
              <w:t>chiar</w:t>
            </w:r>
            <w:r>
              <w:rPr>
                <w:spacing w:val="-14"/>
                <w:sz w:val="24"/>
              </w:rPr>
              <w:t> </w:t>
            </w:r>
            <w:r>
              <w:rPr>
                <w:sz w:val="24"/>
              </w:rPr>
              <w:t>aportul</w:t>
            </w:r>
            <w:r>
              <w:rPr>
                <w:spacing w:val="-15"/>
                <w:sz w:val="24"/>
              </w:rPr>
              <w:t> </w:t>
            </w:r>
            <w:r>
              <w:rPr>
                <w:sz w:val="24"/>
              </w:rPr>
              <w:t>AIPA se</w:t>
            </w:r>
            <w:r>
              <w:rPr>
                <w:spacing w:val="-14"/>
                <w:sz w:val="24"/>
              </w:rPr>
              <w:t> </w:t>
            </w:r>
            <w:r>
              <w:rPr>
                <w:sz w:val="24"/>
              </w:rPr>
              <w:t>limitează</w:t>
            </w:r>
            <w:r>
              <w:rPr>
                <w:spacing w:val="-14"/>
                <w:sz w:val="24"/>
              </w:rPr>
              <w:t> </w:t>
            </w:r>
            <w:r>
              <w:rPr>
                <w:sz w:val="24"/>
              </w:rPr>
              <w:t>până</w:t>
            </w:r>
            <w:r>
              <w:rPr>
                <w:spacing w:val="-14"/>
                <w:sz w:val="24"/>
              </w:rPr>
              <w:t> </w:t>
            </w:r>
            <w:r>
              <w:rPr>
                <w:sz w:val="24"/>
              </w:rPr>
              <w:t>la</w:t>
            </w:r>
            <w:r>
              <w:rPr>
                <w:spacing w:val="-14"/>
                <w:sz w:val="24"/>
              </w:rPr>
              <w:t> </w:t>
            </w:r>
            <w:r>
              <w:rPr>
                <w:sz w:val="24"/>
              </w:rPr>
              <w:t>momentul</w:t>
            </w:r>
            <w:r>
              <w:rPr>
                <w:spacing w:val="-13"/>
                <w:sz w:val="24"/>
              </w:rPr>
              <w:t> </w:t>
            </w:r>
            <w:r>
              <w:rPr>
                <w:sz w:val="24"/>
              </w:rPr>
              <w:t>subvenționării</w:t>
            </w:r>
            <w:r>
              <w:rPr>
                <w:spacing w:val="-13"/>
                <w:sz w:val="24"/>
              </w:rPr>
              <w:t> </w:t>
            </w:r>
            <w:r>
              <w:rPr>
                <w:sz w:val="24"/>
              </w:rPr>
              <w:t>primei</w:t>
            </w:r>
            <w:r>
              <w:rPr>
                <w:spacing w:val="-13"/>
                <w:sz w:val="24"/>
              </w:rPr>
              <w:t> </w:t>
            </w:r>
            <w:r>
              <w:rPr>
                <w:sz w:val="24"/>
              </w:rPr>
              <w:t>de</w:t>
            </w:r>
            <w:r>
              <w:rPr>
                <w:spacing w:val="-14"/>
                <w:sz w:val="24"/>
              </w:rPr>
              <w:t> </w:t>
            </w:r>
            <w:r>
              <w:rPr>
                <w:sz w:val="24"/>
              </w:rPr>
              <w:t>asigurare,</w:t>
            </w:r>
            <w:r>
              <w:rPr>
                <w:spacing w:val="-13"/>
                <w:sz w:val="24"/>
              </w:rPr>
              <w:t> </w:t>
            </w:r>
            <w:r>
              <w:rPr>
                <w:sz w:val="24"/>
              </w:rPr>
              <w:t>indiferent</w:t>
            </w:r>
            <w:r>
              <w:rPr>
                <w:spacing w:val="-10"/>
                <w:sz w:val="24"/>
              </w:rPr>
              <w:t> </w:t>
            </w:r>
            <w:r>
              <w:rPr>
                <w:sz w:val="24"/>
              </w:rPr>
              <w:t>dacă</w:t>
            </w:r>
            <w:r>
              <w:rPr>
                <w:spacing w:val="-14"/>
                <w:sz w:val="24"/>
              </w:rPr>
              <w:t> </w:t>
            </w:r>
            <w:r>
              <w:rPr>
                <w:sz w:val="24"/>
              </w:rPr>
              <w:t>s-a</w:t>
            </w:r>
            <w:r>
              <w:rPr>
                <w:spacing w:val="-14"/>
                <w:sz w:val="24"/>
              </w:rPr>
              <w:t> </w:t>
            </w:r>
            <w:r>
              <w:rPr>
                <w:sz w:val="24"/>
              </w:rPr>
              <w:t>produs</w:t>
            </w:r>
            <w:r>
              <w:rPr>
                <w:spacing w:val="-13"/>
                <w:sz w:val="24"/>
              </w:rPr>
              <w:t> </w:t>
            </w:r>
            <w:r>
              <w:rPr>
                <w:sz w:val="24"/>
              </w:rPr>
              <w:t>sau</w:t>
            </w:r>
            <w:r>
              <w:rPr>
                <w:spacing w:val="-13"/>
                <w:sz w:val="24"/>
              </w:rPr>
              <w:t> </w:t>
            </w:r>
            <w:r>
              <w:rPr>
                <w:sz w:val="24"/>
              </w:rPr>
              <w:t>nu</w:t>
            </w:r>
            <w:r>
              <w:rPr>
                <w:spacing w:val="-13"/>
                <w:sz w:val="24"/>
              </w:rPr>
              <w:t> </w:t>
            </w:r>
            <w:r>
              <w:rPr>
                <w:sz w:val="24"/>
              </w:rPr>
              <w:t>riscul asigurat. În locul acestora în schimb, a fost inclusă ANSA, care dispune de o rețea extinsă de specialiști competenți în toată</w:t>
            </w:r>
            <w:r>
              <w:rPr>
                <w:spacing w:val="-2"/>
                <w:sz w:val="24"/>
              </w:rPr>
              <w:t> </w:t>
            </w:r>
            <w:r>
              <w:rPr>
                <w:sz w:val="24"/>
              </w:rPr>
              <w:t>Republica.</w:t>
            </w:r>
          </w:p>
        </w:tc>
      </w:tr>
    </w:tbl>
    <w:p>
      <w:pPr>
        <w:spacing w:after="0" w:line="270" w:lineRule="atLeast"/>
        <w:jc w:val="both"/>
        <w:rPr>
          <w:sz w:val="24"/>
        </w:rPr>
        <w:sectPr>
          <w:pgSz w:w="11910" w:h="16850"/>
          <w:pgMar w:top="420" w:bottom="280" w:left="600" w:right="440"/>
        </w:sectPr>
      </w:pPr>
    </w:p>
    <w:tbl>
      <w:tblPr>
        <w:tblW w:w="0" w:type="auto"/>
        <w:jc w:val="left"/>
        <w:tblInd w:w="68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056"/>
      </w:tblGrid>
      <w:tr>
        <w:trPr>
          <w:trHeight w:val="2913" w:hRule="atLeast"/>
        </w:trPr>
        <w:tc>
          <w:tcPr>
            <w:tcW w:w="10056" w:type="dxa"/>
          </w:tcPr>
          <w:p>
            <w:pPr>
              <w:pStyle w:val="TableParagraph"/>
              <w:spacing w:before="13"/>
              <w:ind w:left="45" w:right="0"/>
              <w:jc w:val="left"/>
              <w:rPr>
                <w:b/>
                <w:sz w:val="24"/>
              </w:rPr>
            </w:pPr>
            <w:r>
              <w:rPr>
                <w:b/>
                <w:sz w:val="24"/>
              </w:rPr>
              <w:t>5. Fundamentarea economico-financiară:</w:t>
            </w:r>
          </w:p>
          <w:p>
            <w:pPr>
              <w:pStyle w:val="TableParagraph"/>
              <w:spacing w:before="199"/>
              <w:ind w:left="45" w:right="23"/>
              <w:jc w:val="both"/>
              <w:rPr>
                <w:sz w:val="24"/>
              </w:rPr>
            </w:pPr>
            <w:r>
              <w:rPr>
                <w:sz w:val="24"/>
              </w:rPr>
              <w:t>Implementarea acestor prevederi va necesita cheltuieli suplimentare, în condițiile creșterii numărului de fermieri care vor recurge la asigurarea riscurilor de producție, aceste cheltuieli urmînd a fi acoperite în limita Fondul național de dezvoltare agricolă și mediului rural, arobată anual în bugetul de stat. Datele pentru</w:t>
            </w:r>
            <w:r>
              <w:rPr>
                <w:spacing w:val="-5"/>
                <w:sz w:val="24"/>
              </w:rPr>
              <w:t> </w:t>
            </w:r>
            <w:r>
              <w:rPr>
                <w:sz w:val="24"/>
              </w:rPr>
              <w:t>ultimii</w:t>
            </w:r>
            <w:r>
              <w:rPr>
                <w:spacing w:val="-3"/>
                <w:sz w:val="24"/>
              </w:rPr>
              <w:t> </w:t>
            </w:r>
            <w:r>
              <w:rPr>
                <w:sz w:val="24"/>
              </w:rPr>
              <w:t>4</w:t>
            </w:r>
            <w:r>
              <w:rPr>
                <w:spacing w:val="-4"/>
                <w:sz w:val="24"/>
              </w:rPr>
              <w:t> </w:t>
            </w:r>
            <w:r>
              <w:rPr>
                <w:sz w:val="24"/>
              </w:rPr>
              <w:t>ani</w:t>
            </w:r>
            <w:r>
              <w:rPr>
                <w:spacing w:val="-3"/>
                <w:sz w:val="24"/>
              </w:rPr>
              <w:t> </w:t>
            </w:r>
            <w:r>
              <w:rPr>
                <w:sz w:val="24"/>
              </w:rPr>
              <w:t>de</w:t>
            </w:r>
            <w:r>
              <w:rPr>
                <w:spacing w:val="-6"/>
                <w:sz w:val="24"/>
              </w:rPr>
              <w:t> </w:t>
            </w:r>
            <w:r>
              <w:rPr>
                <w:sz w:val="24"/>
              </w:rPr>
              <w:t>asigurare</w:t>
            </w:r>
            <w:r>
              <w:rPr>
                <w:spacing w:val="-5"/>
                <w:sz w:val="24"/>
              </w:rPr>
              <w:t> </w:t>
            </w:r>
            <w:r>
              <w:rPr>
                <w:sz w:val="24"/>
              </w:rPr>
              <w:t>subvenționată,</w:t>
            </w:r>
            <w:r>
              <w:rPr>
                <w:spacing w:val="-4"/>
                <w:sz w:val="24"/>
              </w:rPr>
              <w:t> </w:t>
            </w:r>
            <w:r>
              <w:rPr>
                <w:sz w:val="24"/>
              </w:rPr>
              <w:t>ne</w:t>
            </w:r>
            <w:r>
              <w:rPr>
                <w:spacing w:val="-2"/>
                <w:sz w:val="24"/>
              </w:rPr>
              <w:t> </w:t>
            </w:r>
            <w:r>
              <w:rPr>
                <w:sz w:val="24"/>
              </w:rPr>
              <w:t>arată</w:t>
            </w:r>
            <w:r>
              <w:rPr>
                <w:spacing w:val="-2"/>
                <w:sz w:val="24"/>
              </w:rPr>
              <w:t> </w:t>
            </w:r>
            <w:r>
              <w:rPr>
                <w:sz w:val="24"/>
              </w:rPr>
              <w:t>că</w:t>
            </w:r>
            <w:r>
              <w:rPr>
                <w:spacing w:val="-6"/>
                <w:sz w:val="24"/>
              </w:rPr>
              <w:t> </w:t>
            </w:r>
            <w:r>
              <w:rPr>
                <w:sz w:val="24"/>
              </w:rPr>
              <w:t>din</w:t>
            </w:r>
            <w:r>
              <w:rPr>
                <w:spacing w:val="-1"/>
                <w:sz w:val="24"/>
              </w:rPr>
              <w:t> </w:t>
            </w:r>
            <w:r>
              <w:rPr>
                <w:sz w:val="24"/>
              </w:rPr>
              <w:t>FNDAMR,</w:t>
            </w:r>
            <w:r>
              <w:rPr>
                <w:spacing w:val="-4"/>
                <w:sz w:val="24"/>
              </w:rPr>
              <w:t> </w:t>
            </w:r>
            <w:r>
              <w:rPr>
                <w:sz w:val="24"/>
              </w:rPr>
              <w:t>anual,</w:t>
            </w:r>
            <w:r>
              <w:rPr>
                <w:spacing w:val="-4"/>
                <w:sz w:val="24"/>
              </w:rPr>
              <w:t> </w:t>
            </w:r>
            <w:r>
              <w:rPr>
                <w:sz w:val="24"/>
              </w:rPr>
              <w:t>se</w:t>
            </w:r>
            <w:r>
              <w:rPr>
                <w:spacing w:val="-5"/>
                <w:sz w:val="24"/>
              </w:rPr>
              <w:t> </w:t>
            </w:r>
            <w:r>
              <w:rPr>
                <w:sz w:val="24"/>
              </w:rPr>
              <w:t>valorifică</w:t>
            </w:r>
            <w:r>
              <w:rPr>
                <w:spacing w:val="-6"/>
                <w:sz w:val="24"/>
              </w:rPr>
              <w:t> </w:t>
            </w:r>
            <w:r>
              <w:rPr>
                <w:sz w:val="24"/>
              </w:rPr>
              <w:t>între</w:t>
            </w:r>
            <w:r>
              <w:rPr>
                <w:spacing w:val="-5"/>
                <w:sz w:val="24"/>
              </w:rPr>
              <w:t> </w:t>
            </w:r>
            <w:r>
              <w:rPr>
                <w:sz w:val="24"/>
              </w:rPr>
              <w:t>4-10 mln. Lei. Ca rezultat al creșterii interesului din partea fermierilor față de asigurările subvenționate, reieșind, inclusiv din consultările cu reprezentații asiguratorilor, asigurările vor deveni mai atractive, costurile vor scădea, fapt care se va răsfrînge pozitiv și asupra modului de valorificare a fondurilor statului alocate în acest</w:t>
            </w:r>
            <w:r>
              <w:rPr>
                <w:spacing w:val="-2"/>
                <w:sz w:val="24"/>
              </w:rPr>
              <w:t> </w:t>
            </w:r>
            <w:r>
              <w:rPr>
                <w:sz w:val="24"/>
              </w:rPr>
              <w:t>sens.</w:t>
            </w:r>
          </w:p>
        </w:tc>
      </w:tr>
      <w:tr>
        <w:trPr>
          <w:trHeight w:val="306" w:hRule="atLeast"/>
        </w:trPr>
        <w:tc>
          <w:tcPr>
            <w:tcW w:w="10056" w:type="dxa"/>
          </w:tcPr>
          <w:p>
            <w:pPr>
              <w:pStyle w:val="TableParagraph"/>
              <w:spacing w:line="273" w:lineRule="exact" w:before="13"/>
              <w:ind w:left="45" w:right="0"/>
              <w:jc w:val="left"/>
              <w:rPr>
                <w:b/>
                <w:sz w:val="24"/>
              </w:rPr>
            </w:pPr>
            <w:r>
              <w:rPr>
                <w:b/>
                <w:sz w:val="24"/>
              </w:rPr>
              <w:t>5. Modul de încorporare a actului în cadrul normativ în vigoare</w:t>
            </w:r>
          </w:p>
        </w:tc>
      </w:tr>
      <w:tr>
        <w:trPr>
          <w:trHeight w:val="1686" w:hRule="atLeast"/>
        </w:trPr>
        <w:tc>
          <w:tcPr>
            <w:tcW w:w="10056" w:type="dxa"/>
          </w:tcPr>
          <w:p>
            <w:pPr>
              <w:pStyle w:val="TableParagraph"/>
              <w:spacing w:before="13"/>
              <w:ind w:left="45" w:right="0"/>
              <w:jc w:val="left"/>
              <w:rPr>
                <w:sz w:val="24"/>
              </w:rPr>
            </w:pPr>
            <w:r>
              <w:rPr>
                <w:sz w:val="24"/>
              </w:rPr>
              <w:t>În urma adoptării la Lege a amendamentelor propuse, se vor modifica următoarele hotărâri ale Guvernului:</w:t>
            </w:r>
          </w:p>
          <w:p>
            <w:pPr>
              <w:pStyle w:val="TableParagraph"/>
              <w:numPr>
                <w:ilvl w:val="0"/>
                <w:numId w:val="3"/>
              </w:numPr>
              <w:tabs>
                <w:tab w:pos="274" w:val="left" w:leader="none"/>
              </w:tabs>
              <w:spacing w:line="240" w:lineRule="auto" w:before="0" w:after="0"/>
              <w:ind w:left="45" w:right="30" w:firstLine="0"/>
              <w:jc w:val="left"/>
              <w:rPr>
                <w:sz w:val="24"/>
              </w:rPr>
            </w:pPr>
            <w:r>
              <w:rPr>
                <w:sz w:val="24"/>
              </w:rPr>
              <w:t>Hotărîrea</w:t>
            </w:r>
            <w:r>
              <w:rPr>
                <w:spacing w:val="-16"/>
                <w:sz w:val="24"/>
              </w:rPr>
              <w:t> </w:t>
            </w:r>
            <w:r>
              <w:rPr>
                <w:sz w:val="24"/>
              </w:rPr>
              <w:t>Guvernului</w:t>
            </w:r>
            <w:r>
              <w:rPr>
                <w:spacing w:val="-14"/>
                <w:sz w:val="24"/>
              </w:rPr>
              <w:t> </w:t>
            </w:r>
            <w:r>
              <w:rPr>
                <w:sz w:val="24"/>
              </w:rPr>
              <w:t>nr.</w:t>
            </w:r>
            <w:r>
              <w:rPr>
                <w:spacing w:val="-14"/>
                <w:sz w:val="24"/>
              </w:rPr>
              <w:t> </w:t>
            </w:r>
            <w:r>
              <w:rPr>
                <w:sz w:val="24"/>
              </w:rPr>
              <w:t>217/2005</w:t>
            </w:r>
            <w:r>
              <w:rPr>
                <w:spacing w:val="-15"/>
                <w:sz w:val="24"/>
              </w:rPr>
              <w:t> </w:t>
            </w:r>
            <w:r>
              <w:rPr>
                <w:sz w:val="24"/>
              </w:rPr>
              <w:t>pentru</w:t>
            </w:r>
            <w:r>
              <w:rPr>
                <w:spacing w:val="-14"/>
                <w:sz w:val="24"/>
              </w:rPr>
              <w:t> </w:t>
            </w:r>
            <w:r>
              <w:rPr>
                <w:sz w:val="24"/>
              </w:rPr>
              <w:t>aprobarea</w:t>
            </w:r>
            <w:r>
              <w:rPr>
                <w:spacing w:val="-15"/>
                <w:sz w:val="24"/>
              </w:rPr>
              <w:t> </w:t>
            </w:r>
            <w:r>
              <w:rPr>
                <w:sz w:val="24"/>
              </w:rPr>
              <w:t>Regulamentului</w:t>
            </w:r>
            <w:r>
              <w:rPr>
                <w:spacing w:val="-15"/>
                <w:sz w:val="24"/>
              </w:rPr>
              <w:t> </w:t>
            </w:r>
            <w:r>
              <w:rPr>
                <w:sz w:val="24"/>
              </w:rPr>
              <w:t>privind</w:t>
            </w:r>
            <w:r>
              <w:rPr>
                <w:spacing w:val="-14"/>
                <w:sz w:val="24"/>
              </w:rPr>
              <w:t> </w:t>
            </w:r>
            <w:r>
              <w:rPr>
                <w:sz w:val="24"/>
              </w:rPr>
              <w:t>subvenţionarea</w:t>
            </w:r>
            <w:r>
              <w:rPr>
                <w:spacing w:val="-15"/>
                <w:sz w:val="24"/>
              </w:rPr>
              <w:t> </w:t>
            </w:r>
            <w:r>
              <w:rPr>
                <w:sz w:val="24"/>
              </w:rPr>
              <w:t>asigurării riscurilor de producţie în</w:t>
            </w:r>
            <w:r>
              <w:rPr>
                <w:spacing w:val="-4"/>
                <w:sz w:val="24"/>
              </w:rPr>
              <w:t> </w:t>
            </w:r>
            <w:r>
              <w:rPr>
                <w:sz w:val="24"/>
              </w:rPr>
              <w:t>agricultură;</w:t>
            </w:r>
          </w:p>
          <w:p>
            <w:pPr>
              <w:pStyle w:val="TableParagraph"/>
              <w:numPr>
                <w:ilvl w:val="0"/>
                <w:numId w:val="3"/>
              </w:numPr>
              <w:tabs>
                <w:tab w:pos="283" w:val="left" w:leader="none"/>
              </w:tabs>
              <w:spacing w:line="240" w:lineRule="auto" w:before="0" w:after="0"/>
              <w:ind w:left="282" w:right="0" w:hanging="237"/>
              <w:jc w:val="left"/>
              <w:rPr>
                <w:sz w:val="24"/>
              </w:rPr>
            </w:pPr>
            <w:r>
              <w:rPr>
                <w:sz w:val="24"/>
              </w:rPr>
              <w:t>Hotărîrea Guvernului nr. 455/2017 cu privire la modul de repartizare a mijloacelor Fondului</w:t>
            </w:r>
            <w:r>
              <w:rPr>
                <w:spacing w:val="-36"/>
                <w:sz w:val="24"/>
              </w:rPr>
              <w:t> </w:t>
            </w:r>
            <w:r>
              <w:rPr>
                <w:sz w:val="24"/>
              </w:rPr>
              <w:t>Naţional</w:t>
            </w:r>
          </w:p>
          <w:p>
            <w:pPr>
              <w:pStyle w:val="TableParagraph"/>
              <w:spacing w:line="273" w:lineRule="exact" w:before="0"/>
              <w:ind w:left="45" w:right="0"/>
              <w:jc w:val="left"/>
              <w:rPr>
                <w:sz w:val="24"/>
              </w:rPr>
            </w:pPr>
            <w:r>
              <w:rPr>
                <w:sz w:val="24"/>
              </w:rPr>
              <w:t>de Dezvoltare a Agriculturii şi Mediului Rural.</w:t>
            </w:r>
          </w:p>
        </w:tc>
      </w:tr>
    </w:tbl>
    <w:p>
      <w:pPr>
        <w:pStyle w:val="BodyText"/>
        <w:rPr>
          <w:b/>
          <w:sz w:val="20"/>
        </w:rPr>
      </w:pPr>
    </w:p>
    <w:p>
      <w:pPr>
        <w:pStyle w:val="BodyText"/>
        <w:spacing w:before="8"/>
        <w:rPr>
          <w:b/>
        </w:rPr>
      </w:pPr>
    </w:p>
    <w:p>
      <w:pPr>
        <w:tabs>
          <w:tab w:pos="8464" w:val="left" w:leader="none"/>
        </w:tabs>
        <w:spacing w:before="89"/>
        <w:ind w:left="7197" w:right="0" w:firstLine="0"/>
        <w:jc w:val="left"/>
        <w:rPr>
          <w:b/>
          <w:sz w:val="28"/>
        </w:rPr>
      </w:pPr>
      <w:r>
        <w:rPr>
          <w:b/>
          <w:sz w:val="28"/>
        </w:rPr>
        <w:t>Deputat</w:t>
        <w:tab/>
        <w:t>Nicolae</w:t>
      </w:r>
      <w:r>
        <w:rPr>
          <w:b/>
          <w:spacing w:val="-3"/>
          <w:sz w:val="28"/>
        </w:rPr>
        <w:t> </w:t>
      </w:r>
      <w:r>
        <w:rPr>
          <w:b/>
          <w:sz w:val="28"/>
        </w:rPr>
        <w:t>CIUBUC</w:t>
      </w:r>
    </w:p>
    <w:p>
      <w:pPr>
        <w:spacing w:after="0"/>
        <w:jc w:val="left"/>
        <w:rPr>
          <w:sz w:val="28"/>
        </w:rPr>
        <w:sectPr>
          <w:pgSz w:w="11910" w:h="16850"/>
          <w:pgMar w:top="420" w:bottom="280" w:left="600" w:right="440"/>
        </w:sectPr>
      </w:pPr>
    </w:p>
    <w:p>
      <w:pPr>
        <w:spacing w:before="71"/>
        <w:ind w:left="12605" w:right="1155" w:firstLine="763"/>
        <w:jc w:val="right"/>
        <w:rPr>
          <w:sz w:val="22"/>
        </w:rPr>
      </w:pPr>
      <w:r>
        <w:rPr>
          <w:sz w:val="22"/>
        </w:rPr>
        <w:t>Anexa nr. 1</w:t>
      </w:r>
      <w:r>
        <w:rPr>
          <w:w w:val="100"/>
          <w:sz w:val="22"/>
        </w:rPr>
        <w:t> </w:t>
      </w:r>
      <w:r>
        <w:rPr>
          <w:sz w:val="22"/>
        </w:rPr>
        <w:t>La Nota informativă</w:t>
      </w:r>
    </w:p>
    <w:p>
      <w:pPr>
        <w:pStyle w:val="BodyText"/>
        <w:spacing w:before="1"/>
        <w:rPr>
          <w:sz w:val="26"/>
        </w:rPr>
      </w:pPr>
    </w:p>
    <w:p>
      <w:pPr>
        <w:spacing w:before="1"/>
        <w:ind w:left="4968" w:right="0" w:firstLine="0"/>
        <w:jc w:val="left"/>
        <w:rPr>
          <w:b/>
          <w:sz w:val="22"/>
        </w:rPr>
      </w:pPr>
      <w:r>
        <w:rPr>
          <w:b/>
          <w:sz w:val="22"/>
        </w:rPr>
        <w:t>Estimarea cheltuielilor de gestiune a companiei de asigurări</w:t>
      </w:r>
    </w:p>
    <w:p>
      <w:pPr>
        <w:tabs>
          <w:tab w:pos="8703" w:val="left" w:leader="none"/>
          <w:tab w:pos="10435" w:val="left" w:leader="none"/>
          <w:tab w:pos="12463" w:val="left" w:leader="none"/>
          <w:tab w:pos="14266" w:val="left" w:leader="none"/>
        </w:tabs>
        <w:spacing w:before="23"/>
        <w:ind w:left="6999" w:right="0" w:firstLine="0"/>
        <w:jc w:val="left"/>
        <w:rPr>
          <w:b/>
          <w:sz w:val="22"/>
        </w:rPr>
      </w:pPr>
      <w:r>
        <w:rPr>
          <w:b/>
          <w:sz w:val="22"/>
        </w:rPr>
        <w:t>1</w:t>
      </w:r>
      <w:r>
        <w:rPr>
          <w:b/>
          <w:spacing w:val="-1"/>
          <w:sz w:val="22"/>
        </w:rPr>
        <w:t> </w:t>
      </w:r>
      <w:r>
        <w:rPr>
          <w:b/>
          <w:sz w:val="22"/>
        </w:rPr>
        <w:t>persoană</w:t>
        <w:tab/>
        <w:t>1 persoană</w:t>
        <w:tab/>
        <w:t>2</w:t>
      </w:r>
      <w:r>
        <w:rPr>
          <w:b/>
          <w:spacing w:val="-1"/>
          <w:sz w:val="22"/>
        </w:rPr>
        <w:t> </w:t>
      </w:r>
      <w:r>
        <w:rPr>
          <w:b/>
          <w:sz w:val="22"/>
        </w:rPr>
        <w:t>persoane</w:t>
        <w:tab/>
        <w:t>3 persoane</w:t>
        <w:tab/>
        <w:t>3</w:t>
      </w:r>
      <w:r>
        <w:rPr>
          <w:b/>
          <w:spacing w:val="-1"/>
          <w:sz w:val="22"/>
        </w:rPr>
        <w:t> </w:t>
      </w:r>
      <w:r>
        <w:rPr>
          <w:b/>
          <w:sz w:val="22"/>
        </w:rPr>
        <w:t>persoane</w:t>
      </w:r>
    </w:p>
    <w:p>
      <w:pPr>
        <w:pStyle w:val="BodyText"/>
        <w:spacing w:before="2"/>
        <w:rPr>
          <w:b/>
        </w:rPr>
      </w:pPr>
    </w:p>
    <w:tbl>
      <w:tblPr>
        <w:tblW w:w="0" w:type="auto"/>
        <w:jc w:val="left"/>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523"/>
        <w:gridCol w:w="1757"/>
        <w:gridCol w:w="1759"/>
        <w:gridCol w:w="1757"/>
        <w:gridCol w:w="1757"/>
        <w:gridCol w:w="1759"/>
      </w:tblGrid>
      <w:tr>
        <w:trPr>
          <w:trHeight w:val="479" w:hRule="atLeast"/>
        </w:trPr>
        <w:tc>
          <w:tcPr>
            <w:tcW w:w="6523" w:type="dxa"/>
          </w:tcPr>
          <w:p>
            <w:pPr>
              <w:pStyle w:val="TableParagraph"/>
              <w:spacing w:before="113"/>
              <w:ind w:left="110" w:right="0"/>
              <w:jc w:val="left"/>
              <w:rPr>
                <w:b/>
                <w:sz w:val="22"/>
              </w:rPr>
            </w:pPr>
            <w:r>
              <w:rPr>
                <w:b/>
                <w:sz w:val="22"/>
              </w:rPr>
              <w:t>Prima subscrisa (estimări companie asigurări)</w:t>
            </w:r>
          </w:p>
        </w:tc>
        <w:tc>
          <w:tcPr>
            <w:tcW w:w="1757" w:type="dxa"/>
            <w:shd w:val="clear" w:color="auto" w:fill="FFFF00"/>
          </w:tcPr>
          <w:p>
            <w:pPr>
              <w:pStyle w:val="TableParagraph"/>
              <w:spacing w:line="257" w:lineRule="exact" w:before="203"/>
              <w:ind w:right="96"/>
              <w:rPr>
                <w:b/>
                <w:sz w:val="24"/>
              </w:rPr>
            </w:pPr>
            <w:r>
              <w:rPr>
                <w:b/>
                <w:sz w:val="24"/>
              </w:rPr>
              <w:t>1,000,000</w:t>
            </w:r>
          </w:p>
        </w:tc>
        <w:tc>
          <w:tcPr>
            <w:tcW w:w="1759" w:type="dxa"/>
            <w:shd w:val="clear" w:color="auto" w:fill="FFFF00"/>
          </w:tcPr>
          <w:p>
            <w:pPr>
              <w:pStyle w:val="TableParagraph"/>
              <w:spacing w:line="257" w:lineRule="exact" w:before="203"/>
              <w:ind w:right="97"/>
              <w:rPr>
                <w:b/>
                <w:sz w:val="24"/>
              </w:rPr>
            </w:pPr>
            <w:r>
              <w:rPr>
                <w:b/>
                <w:sz w:val="24"/>
              </w:rPr>
              <w:t>2,000,000</w:t>
            </w:r>
          </w:p>
        </w:tc>
        <w:tc>
          <w:tcPr>
            <w:tcW w:w="1757" w:type="dxa"/>
            <w:shd w:val="clear" w:color="auto" w:fill="FFFF00"/>
          </w:tcPr>
          <w:p>
            <w:pPr>
              <w:pStyle w:val="TableParagraph"/>
              <w:spacing w:line="257" w:lineRule="exact" w:before="203"/>
              <w:ind w:right="96"/>
              <w:rPr>
                <w:b/>
                <w:sz w:val="24"/>
              </w:rPr>
            </w:pPr>
            <w:r>
              <w:rPr>
                <w:b/>
                <w:sz w:val="24"/>
              </w:rPr>
              <w:t>5,000,000</w:t>
            </w:r>
          </w:p>
        </w:tc>
        <w:tc>
          <w:tcPr>
            <w:tcW w:w="1757" w:type="dxa"/>
            <w:shd w:val="clear" w:color="auto" w:fill="FFFF00"/>
          </w:tcPr>
          <w:p>
            <w:pPr>
              <w:pStyle w:val="TableParagraph"/>
              <w:spacing w:line="257" w:lineRule="exact" w:before="203"/>
              <w:ind w:right="95"/>
              <w:rPr>
                <w:b/>
                <w:sz w:val="24"/>
              </w:rPr>
            </w:pPr>
            <w:r>
              <w:rPr>
                <w:b/>
                <w:sz w:val="24"/>
              </w:rPr>
              <w:t>10,000,000</w:t>
            </w:r>
          </w:p>
        </w:tc>
        <w:tc>
          <w:tcPr>
            <w:tcW w:w="1759" w:type="dxa"/>
            <w:shd w:val="clear" w:color="auto" w:fill="FFFF00"/>
          </w:tcPr>
          <w:p>
            <w:pPr>
              <w:pStyle w:val="TableParagraph"/>
              <w:spacing w:line="257" w:lineRule="exact" w:before="203"/>
              <w:ind w:right="96"/>
              <w:rPr>
                <w:b/>
                <w:sz w:val="24"/>
              </w:rPr>
            </w:pPr>
            <w:r>
              <w:rPr>
                <w:b/>
                <w:sz w:val="24"/>
              </w:rPr>
              <w:t>20,000,000</w:t>
            </w:r>
          </w:p>
        </w:tc>
      </w:tr>
      <w:tr>
        <w:trPr>
          <w:trHeight w:val="299" w:hRule="atLeast"/>
        </w:trPr>
        <w:tc>
          <w:tcPr>
            <w:tcW w:w="6523" w:type="dxa"/>
          </w:tcPr>
          <w:p>
            <w:pPr>
              <w:pStyle w:val="TableParagraph"/>
              <w:spacing w:before="22"/>
              <w:ind w:left="110" w:right="0"/>
              <w:jc w:val="left"/>
              <w:rPr>
                <w:b/>
                <w:sz w:val="22"/>
              </w:rPr>
            </w:pPr>
            <w:r>
              <w:rPr>
                <w:b/>
                <w:sz w:val="22"/>
              </w:rPr>
              <w:t>Comision intermediari (7%)</w:t>
            </w:r>
          </w:p>
        </w:tc>
        <w:tc>
          <w:tcPr>
            <w:tcW w:w="1757" w:type="dxa"/>
          </w:tcPr>
          <w:p>
            <w:pPr>
              <w:pStyle w:val="TableParagraph"/>
              <w:spacing w:line="233" w:lineRule="exact"/>
              <w:rPr>
                <w:b/>
                <w:sz w:val="22"/>
              </w:rPr>
            </w:pPr>
            <w:r>
              <w:rPr>
                <w:b/>
                <w:sz w:val="22"/>
              </w:rPr>
              <w:t>70,000</w:t>
            </w:r>
          </w:p>
        </w:tc>
        <w:tc>
          <w:tcPr>
            <w:tcW w:w="1759" w:type="dxa"/>
          </w:tcPr>
          <w:p>
            <w:pPr>
              <w:pStyle w:val="TableParagraph"/>
              <w:spacing w:line="233" w:lineRule="exact"/>
              <w:rPr>
                <w:b/>
                <w:sz w:val="22"/>
              </w:rPr>
            </w:pPr>
            <w:r>
              <w:rPr>
                <w:b/>
                <w:sz w:val="22"/>
              </w:rPr>
              <w:t>140,000</w:t>
            </w:r>
          </w:p>
        </w:tc>
        <w:tc>
          <w:tcPr>
            <w:tcW w:w="1757" w:type="dxa"/>
          </w:tcPr>
          <w:p>
            <w:pPr>
              <w:pStyle w:val="TableParagraph"/>
              <w:spacing w:line="233" w:lineRule="exact"/>
              <w:rPr>
                <w:b/>
                <w:sz w:val="22"/>
              </w:rPr>
            </w:pPr>
            <w:r>
              <w:rPr>
                <w:b/>
                <w:sz w:val="22"/>
              </w:rPr>
              <w:t>350,000</w:t>
            </w:r>
          </w:p>
        </w:tc>
        <w:tc>
          <w:tcPr>
            <w:tcW w:w="1757" w:type="dxa"/>
          </w:tcPr>
          <w:p>
            <w:pPr>
              <w:pStyle w:val="TableParagraph"/>
              <w:spacing w:line="233" w:lineRule="exact"/>
              <w:ind w:right="91"/>
              <w:rPr>
                <w:b/>
                <w:sz w:val="22"/>
              </w:rPr>
            </w:pPr>
            <w:r>
              <w:rPr>
                <w:b/>
                <w:sz w:val="22"/>
              </w:rPr>
              <w:t>700,000</w:t>
            </w:r>
          </w:p>
        </w:tc>
        <w:tc>
          <w:tcPr>
            <w:tcW w:w="1759" w:type="dxa"/>
          </w:tcPr>
          <w:p>
            <w:pPr>
              <w:pStyle w:val="TableParagraph"/>
              <w:spacing w:line="233" w:lineRule="exact"/>
              <w:rPr>
                <w:b/>
                <w:sz w:val="22"/>
              </w:rPr>
            </w:pPr>
            <w:r>
              <w:rPr>
                <w:b/>
                <w:sz w:val="22"/>
              </w:rPr>
              <w:t>1,400,000</w:t>
            </w:r>
          </w:p>
        </w:tc>
      </w:tr>
      <w:tr>
        <w:trPr>
          <w:trHeight w:val="301" w:hRule="atLeast"/>
        </w:trPr>
        <w:tc>
          <w:tcPr>
            <w:tcW w:w="6523" w:type="dxa"/>
          </w:tcPr>
          <w:p>
            <w:pPr>
              <w:pStyle w:val="TableParagraph"/>
              <w:spacing w:before="22"/>
              <w:ind w:left="110" w:right="0"/>
              <w:jc w:val="left"/>
              <w:rPr>
                <w:b/>
                <w:sz w:val="22"/>
              </w:rPr>
            </w:pPr>
            <w:r>
              <w:rPr>
                <w:b/>
                <w:sz w:val="22"/>
              </w:rPr>
              <w:t>Defalcari CNPF (0,75%)</w:t>
            </w:r>
          </w:p>
        </w:tc>
        <w:tc>
          <w:tcPr>
            <w:tcW w:w="1757" w:type="dxa"/>
          </w:tcPr>
          <w:p>
            <w:pPr>
              <w:pStyle w:val="TableParagraph"/>
              <w:spacing w:line="236" w:lineRule="exact"/>
              <w:rPr>
                <w:b/>
                <w:sz w:val="22"/>
              </w:rPr>
            </w:pPr>
            <w:r>
              <w:rPr>
                <w:b/>
                <w:sz w:val="22"/>
              </w:rPr>
              <w:t>7,500</w:t>
            </w:r>
          </w:p>
        </w:tc>
        <w:tc>
          <w:tcPr>
            <w:tcW w:w="1759" w:type="dxa"/>
          </w:tcPr>
          <w:p>
            <w:pPr>
              <w:pStyle w:val="TableParagraph"/>
              <w:spacing w:line="236" w:lineRule="exact"/>
              <w:rPr>
                <w:b/>
                <w:sz w:val="22"/>
              </w:rPr>
            </w:pPr>
            <w:r>
              <w:rPr>
                <w:b/>
                <w:sz w:val="22"/>
              </w:rPr>
              <w:t>15,000</w:t>
            </w:r>
          </w:p>
        </w:tc>
        <w:tc>
          <w:tcPr>
            <w:tcW w:w="1757" w:type="dxa"/>
          </w:tcPr>
          <w:p>
            <w:pPr>
              <w:pStyle w:val="TableParagraph"/>
              <w:spacing w:line="236" w:lineRule="exact"/>
              <w:rPr>
                <w:b/>
                <w:sz w:val="22"/>
              </w:rPr>
            </w:pPr>
            <w:r>
              <w:rPr>
                <w:b/>
                <w:sz w:val="22"/>
              </w:rPr>
              <w:t>37,500</w:t>
            </w:r>
          </w:p>
        </w:tc>
        <w:tc>
          <w:tcPr>
            <w:tcW w:w="1757" w:type="dxa"/>
          </w:tcPr>
          <w:p>
            <w:pPr>
              <w:pStyle w:val="TableParagraph"/>
              <w:spacing w:line="236" w:lineRule="exact"/>
              <w:ind w:right="91"/>
              <w:rPr>
                <w:b/>
                <w:sz w:val="22"/>
              </w:rPr>
            </w:pPr>
            <w:r>
              <w:rPr>
                <w:b/>
                <w:sz w:val="22"/>
              </w:rPr>
              <w:t>75,000</w:t>
            </w:r>
          </w:p>
        </w:tc>
        <w:tc>
          <w:tcPr>
            <w:tcW w:w="1759" w:type="dxa"/>
          </w:tcPr>
          <w:p>
            <w:pPr>
              <w:pStyle w:val="TableParagraph"/>
              <w:spacing w:line="236" w:lineRule="exact"/>
              <w:rPr>
                <w:b/>
                <w:sz w:val="22"/>
              </w:rPr>
            </w:pPr>
            <w:r>
              <w:rPr>
                <w:b/>
                <w:sz w:val="22"/>
              </w:rPr>
              <w:t>150,000</w:t>
            </w:r>
          </w:p>
        </w:tc>
      </w:tr>
      <w:tr>
        <w:trPr>
          <w:trHeight w:val="299" w:hRule="atLeast"/>
        </w:trPr>
        <w:tc>
          <w:tcPr>
            <w:tcW w:w="6523" w:type="dxa"/>
          </w:tcPr>
          <w:p>
            <w:pPr>
              <w:pStyle w:val="TableParagraph"/>
              <w:spacing w:before="22"/>
              <w:ind w:left="110" w:right="0"/>
              <w:jc w:val="left"/>
              <w:rPr>
                <w:sz w:val="22"/>
              </w:rPr>
            </w:pPr>
            <w:r>
              <w:rPr>
                <w:sz w:val="22"/>
              </w:rPr>
              <w:t>Salariu anual calculat</w:t>
            </w:r>
          </w:p>
        </w:tc>
        <w:tc>
          <w:tcPr>
            <w:tcW w:w="1757" w:type="dxa"/>
            <w:shd w:val="clear" w:color="auto" w:fill="F8CAAC"/>
          </w:tcPr>
          <w:p>
            <w:pPr>
              <w:pStyle w:val="TableParagraph"/>
              <w:spacing w:line="236" w:lineRule="exact" w:before="44"/>
              <w:rPr>
                <w:b/>
                <w:sz w:val="22"/>
              </w:rPr>
            </w:pPr>
            <w:r>
              <w:rPr>
                <w:b/>
                <w:sz w:val="22"/>
              </w:rPr>
              <w:t>120,000</w:t>
            </w:r>
          </w:p>
        </w:tc>
        <w:tc>
          <w:tcPr>
            <w:tcW w:w="1759" w:type="dxa"/>
            <w:shd w:val="clear" w:color="auto" w:fill="F8CAAC"/>
          </w:tcPr>
          <w:p>
            <w:pPr>
              <w:pStyle w:val="TableParagraph"/>
              <w:spacing w:line="236" w:lineRule="exact" w:before="44"/>
              <w:rPr>
                <w:b/>
                <w:sz w:val="22"/>
              </w:rPr>
            </w:pPr>
            <w:r>
              <w:rPr>
                <w:b/>
                <w:sz w:val="22"/>
              </w:rPr>
              <w:t>120,000</w:t>
            </w:r>
          </w:p>
        </w:tc>
        <w:tc>
          <w:tcPr>
            <w:tcW w:w="1757" w:type="dxa"/>
            <w:shd w:val="clear" w:color="auto" w:fill="F8CAAC"/>
          </w:tcPr>
          <w:p>
            <w:pPr>
              <w:pStyle w:val="TableParagraph"/>
              <w:spacing w:line="236" w:lineRule="exact" w:before="44"/>
              <w:rPr>
                <w:b/>
                <w:sz w:val="22"/>
              </w:rPr>
            </w:pPr>
            <w:r>
              <w:rPr>
                <w:b/>
                <w:sz w:val="22"/>
              </w:rPr>
              <w:t>240,000</w:t>
            </w:r>
          </w:p>
        </w:tc>
        <w:tc>
          <w:tcPr>
            <w:tcW w:w="1757" w:type="dxa"/>
            <w:shd w:val="clear" w:color="auto" w:fill="F8CAAC"/>
          </w:tcPr>
          <w:p>
            <w:pPr>
              <w:pStyle w:val="TableParagraph"/>
              <w:spacing w:line="236" w:lineRule="exact" w:before="44"/>
              <w:ind w:right="91"/>
              <w:rPr>
                <w:b/>
                <w:sz w:val="22"/>
              </w:rPr>
            </w:pPr>
            <w:r>
              <w:rPr>
                <w:b/>
                <w:sz w:val="22"/>
              </w:rPr>
              <w:t>360,000</w:t>
            </w:r>
          </w:p>
        </w:tc>
        <w:tc>
          <w:tcPr>
            <w:tcW w:w="1759" w:type="dxa"/>
            <w:shd w:val="clear" w:color="auto" w:fill="F8CAAC"/>
          </w:tcPr>
          <w:p>
            <w:pPr>
              <w:pStyle w:val="TableParagraph"/>
              <w:spacing w:line="236" w:lineRule="exact" w:before="44"/>
              <w:rPr>
                <w:b/>
                <w:sz w:val="22"/>
              </w:rPr>
            </w:pPr>
            <w:r>
              <w:rPr>
                <w:b/>
                <w:sz w:val="22"/>
              </w:rPr>
              <w:t>360,000</w:t>
            </w:r>
          </w:p>
        </w:tc>
      </w:tr>
      <w:tr>
        <w:trPr>
          <w:trHeight w:val="299" w:hRule="atLeast"/>
        </w:trPr>
        <w:tc>
          <w:tcPr>
            <w:tcW w:w="6523" w:type="dxa"/>
          </w:tcPr>
          <w:p>
            <w:pPr>
              <w:pStyle w:val="TableParagraph"/>
              <w:spacing w:before="22"/>
              <w:ind w:left="110" w:right="0"/>
              <w:jc w:val="left"/>
              <w:rPr>
                <w:sz w:val="22"/>
              </w:rPr>
            </w:pPr>
            <w:r>
              <w:rPr>
                <w:sz w:val="22"/>
              </w:rPr>
              <w:t>Cheltuieli aferente salariului:</w:t>
            </w:r>
          </w:p>
        </w:tc>
        <w:tc>
          <w:tcPr>
            <w:tcW w:w="1757" w:type="dxa"/>
            <w:shd w:val="clear" w:color="auto" w:fill="F8CAAC"/>
          </w:tcPr>
          <w:p>
            <w:pPr>
              <w:pStyle w:val="TableParagraph"/>
              <w:spacing w:line="233" w:lineRule="exact"/>
              <w:rPr>
                <w:b/>
                <w:sz w:val="22"/>
              </w:rPr>
            </w:pPr>
            <w:r>
              <w:rPr>
                <w:b/>
                <w:sz w:val="22"/>
              </w:rPr>
              <w:t>27,000</w:t>
            </w:r>
          </w:p>
        </w:tc>
        <w:tc>
          <w:tcPr>
            <w:tcW w:w="1759" w:type="dxa"/>
            <w:shd w:val="clear" w:color="auto" w:fill="F8CAAC"/>
          </w:tcPr>
          <w:p>
            <w:pPr>
              <w:pStyle w:val="TableParagraph"/>
              <w:spacing w:line="233" w:lineRule="exact"/>
              <w:rPr>
                <w:b/>
                <w:sz w:val="22"/>
              </w:rPr>
            </w:pPr>
            <w:r>
              <w:rPr>
                <w:b/>
                <w:sz w:val="22"/>
              </w:rPr>
              <w:t>27,000</w:t>
            </w:r>
          </w:p>
        </w:tc>
        <w:tc>
          <w:tcPr>
            <w:tcW w:w="1757" w:type="dxa"/>
            <w:shd w:val="clear" w:color="auto" w:fill="F8CAAC"/>
          </w:tcPr>
          <w:p>
            <w:pPr>
              <w:pStyle w:val="TableParagraph"/>
              <w:spacing w:line="233" w:lineRule="exact"/>
              <w:rPr>
                <w:b/>
                <w:sz w:val="22"/>
              </w:rPr>
            </w:pPr>
            <w:r>
              <w:rPr>
                <w:b/>
                <w:sz w:val="22"/>
              </w:rPr>
              <w:t>54,000</w:t>
            </w:r>
          </w:p>
        </w:tc>
        <w:tc>
          <w:tcPr>
            <w:tcW w:w="1757" w:type="dxa"/>
            <w:shd w:val="clear" w:color="auto" w:fill="F8CAAC"/>
          </w:tcPr>
          <w:p>
            <w:pPr>
              <w:pStyle w:val="TableParagraph"/>
              <w:spacing w:line="233" w:lineRule="exact"/>
              <w:ind w:right="91"/>
              <w:rPr>
                <w:b/>
                <w:sz w:val="22"/>
              </w:rPr>
            </w:pPr>
            <w:r>
              <w:rPr>
                <w:b/>
                <w:sz w:val="22"/>
              </w:rPr>
              <w:t>81,000</w:t>
            </w:r>
          </w:p>
        </w:tc>
        <w:tc>
          <w:tcPr>
            <w:tcW w:w="1759" w:type="dxa"/>
            <w:shd w:val="clear" w:color="auto" w:fill="F8CAAC"/>
          </w:tcPr>
          <w:p>
            <w:pPr>
              <w:pStyle w:val="TableParagraph"/>
              <w:spacing w:line="233" w:lineRule="exact"/>
              <w:rPr>
                <w:b/>
                <w:sz w:val="22"/>
              </w:rPr>
            </w:pPr>
            <w:r>
              <w:rPr>
                <w:b/>
                <w:sz w:val="22"/>
              </w:rPr>
              <w:t>81,000</w:t>
            </w:r>
          </w:p>
        </w:tc>
      </w:tr>
      <w:tr>
        <w:trPr>
          <w:trHeight w:val="299" w:hRule="atLeast"/>
        </w:trPr>
        <w:tc>
          <w:tcPr>
            <w:tcW w:w="6523" w:type="dxa"/>
          </w:tcPr>
          <w:p>
            <w:pPr>
              <w:pStyle w:val="TableParagraph"/>
              <w:spacing w:before="22"/>
              <w:ind w:right="92"/>
              <w:rPr>
                <w:i/>
                <w:sz w:val="22"/>
              </w:rPr>
            </w:pPr>
            <w:r>
              <w:rPr>
                <w:i/>
                <w:sz w:val="22"/>
              </w:rPr>
              <w:t>Fondul Social</w:t>
            </w:r>
          </w:p>
        </w:tc>
        <w:tc>
          <w:tcPr>
            <w:tcW w:w="1757" w:type="dxa"/>
            <w:shd w:val="clear" w:color="auto" w:fill="F8CAAC"/>
          </w:tcPr>
          <w:p>
            <w:pPr>
              <w:pStyle w:val="TableParagraph"/>
              <w:spacing w:line="233" w:lineRule="exact"/>
              <w:rPr>
                <w:sz w:val="22"/>
              </w:rPr>
            </w:pPr>
            <w:r>
              <w:rPr>
                <w:sz w:val="22"/>
              </w:rPr>
              <w:t>21,600</w:t>
            </w:r>
          </w:p>
        </w:tc>
        <w:tc>
          <w:tcPr>
            <w:tcW w:w="1759" w:type="dxa"/>
            <w:shd w:val="clear" w:color="auto" w:fill="F8CAAC"/>
          </w:tcPr>
          <w:p>
            <w:pPr>
              <w:pStyle w:val="TableParagraph"/>
              <w:spacing w:line="233" w:lineRule="exact"/>
              <w:rPr>
                <w:sz w:val="22"/>
              </w:rPr>
            </w:pPr>
            <w:r>
              <w:rPr>
                <w:sz w:val="22"/>
              </w:rPr>
              <w:t>21,600</w:t>
            </w:r>
          </w:p>
        </w:tc>
        <w:tc>
          <w:tcPr>
            <w:tcW w:w="1757" w:type="dxa"/>
            <w:shd w:val="clear" w:color="auto" w:fill="F8CAAC"/>
          </w:tcPr>
          <w:p>
            <w:pPr>
              <w:pStyle w:val="TableParagraph"/>
              <w:spacing w:line="233" w:lineRule="exact"/>
              <w:rPr>
                <w:sz w:val="22"/>
              </w:rPr>
            </w:pPr>
            <w:r>
              <w:rPr>
                <w:sz w:val="22"/>
              </w:rPr>
              <w:t>43,200</w:t>
            </w:r>
          </w:p>
        </w:tc>
        <w:tc>
          <w:tcPr>
            <w:tcW w:w="1757" w:type="dxa"/>
            <w:shd w:val="clear" w:color="auto" w:fill="F8CAAC"/>
          </w:tcPr>
          <w:p>
            <w:pPr>
              <w:pStyle w:val="TableParagraph"/>
              <w:spacing w:line="233" w:lineRule="exact"/>
              <w:ind w:right="91"/>
              <w:rPr>
                <w:sz w:val="22"/>
              </w:rPr>
            </w:pPr>
            <w:r>
              <w:rPr>
                <w:sz w:val="22"/>
              </w:rPr>
              <w:t>64,800</w:t>
            </w:r>
          </w:p>
        </w:tc>
        <w:tc>
          <w:tcPr>
            <w:tcW w:w="1759" w:type="dxa"/>
            <w:shd w:val="clear" w:color="auto" w:fill="F8CAAC"/>
          </w:tcPr>
          <w:p>
            <w:pPr>
              <w:pStyle w:val="TableParagraph"/>
              <w:spacing w:line="233" w:lineRule="exact"/>
              <w:rPr>
                <w:sz w:val="22"/>
              </w:rPr>
            </w:pPr>
            <w:r>
              <w:rPr>
                <w:sz w:val="22"/>
              </w:rPr>
              <w:t>64,800</w:t>
            </w:r>
          </w:p>
        </w:tc>
      </w:tr>
      <w:tr>
        <w:trPr>
          <w:trHeight w:val="299" w:hRule="atLeast"/>
        </w:trPr>
        <w:tc>
          <w:tcPr>
            <w:tcW w:w="6523" w:type="dxa"/>
          </w:tcPr>
          <w:p>
            <w:pPr>
              <w:pStyle w:val="TableParagraph"/>
              <w:spacing w:before="22"/>
              <w:ind w:right="91"/>
              <w:rPr>
                <w:i/>
                <w:sz w:val="22"/>
              </w:rPr>
            </w:pPr>
            <w:r>
              <w:rPr>
                <w:i/>
                <w:sz w:val="22"/>
              </w:rPr>
              <w:t>Asigurarea medicala</w:t>
            </w:r>
          </w:p>
        </w:tc>
        <w:tc>
          <w:tcPr>
            <w:tcW w:w="1757" w:type="dxa"/>
            <w:shd w:val="clear" w:color="auto" w:fill="F8CAAC"/>
          </w:tcPr>
          <w:p>
            <w:pPr>
              <w:pStyle w:val="TableParagraph"/>
              <w:spacing w:line="233" w:lineRule="exact"/>
              <w:rPr>
                <w:sz w:val="22"/>
              </w:rPr>
            </w:pPr>
            <w:r>
              <w:rPr>
                <w:sz w:val="22"/>
              </w:rPr>
              <w:t>5,400</w:t>
            </w:r>
          </w:p>
        </w:tc>
        <w:tc>
          <w:tcPr>
            <w:tcW w:w="1759" w:type="dxa"/>
            <w:shd w:val="clear" w:color="auto" w:fill="F8CAAC"/>
          </w:tcPr>
          <w:p>
            <w:pPr>
              <w:pStyle w:val="TableParagraph"/>
              <w:spacing w:line="233" w:lineRule="exact"/>
              <w:rPr>
                <w:sz w:val="22"/>
              </w:rPr>
            </w:pPr>
            <w:r>
              <w:rPr>
                <w:sz w:val="22"/>
              </w:rPr>
              <w:t>5,400</w:t>
            </w:r>
          </w:p>
        </w:tc>
        <w:tc>
          <w:tcPr>
            <w:tcW w:w="1757" w:type="dxa"/>
            <w:shd w:val="clear" w:color="auto" w:fill="F8CAAC"/>
          </w:tcPr>
          <w:p>
            <w:pPr>
              <w:pStyle w:val="TableParagraph"/>
              <w:spacing w:line="233" w:lineRule="exact"/>
              <w:rPr>
                <w:sz w:val="22"/>
              </w:rPr>
            </w:pPr>
            <w:r>
              <w:rPr>
                <w:sz w:val="22"/>
              </w:rPr>
              <w:t>10,800</w:t>
            </w:r>
          </w:p>
        </w:tc>
        <w:tc>
          <w:tcPr>
            <w:tcW w:w="1757" w:type="dxa"/>
            <w:shd w:val="clear" w:color="auto" w:fill="F8CAAC"/>
          </w:tcPr>
          <w:p>
            <w:pPr>
              <w:pStyle w:val="TableParagraph"/>
              <w:spacing w:line="233" w:lineRule="exact"/>
              <w:ind w:right="91"/>
              <w:rPr>
                <w:sz w:val="22"/>
              </w:rPr>
            </w:pPr>
            <w:r>
              <w:rPr>
                <w:sz w:val="22"/>
              </w:rPr>
              <w:t>16,200</w:t>
            </w:r>
          </w:p>
        </w:tc>
        <w:tc>
          <w:tcPr>
            <w:tcW w:w="1759" w:type="dxa"/>
            <w:shd w:val="clear" w:color="auto" w:fill="F8CAAC"/>
          </w:tcPr>
          <w:p>
            <w:pPr>
              <w:pStyle w:val="TableParagraph"/>
              <w:spacing w:line="233" w:lineRule="exact"/>
              <w:rPr>
                <w:sz w:val="22"/>
              </w:rPr>
            </w:pPr>
            <w:r>
              <w:rPr>
                <w:sz w:val="22"/>
              </w:rPr>
              <w:t>16,200</w:t>
            </w:r>
          </w:p>
        </w:tc>
      </w:tr>
      <w:tr>
        <w:trPr>
          <w:trHeight w:val="299" w:hRule="atLeast"/>
        </w:trPr>
        <w:tc>
          <w:tcPr>
            <w:tcW w:w="6523" w:type="dxa"/>
          </w:tcPr>
          <w:p>
            <w:pPr>
              <w:pStyle w:val="TableParagraph"/>
              <w:spacing w:before="22"/>
              <w:ind w:left="110" w:right="0"/>
              <w:jc w:val="left"/>
              <w:rPr>
                <w:sz w:val="22"/>
              </w:rPr>
            </w:pPr>
            <w:r>
              <w:rPr>
                <w:sz w:val="22"/>
              </w:rPr>
              <w:t>Locatiune</w:t>
            </w:r>
          </w:p>
        </w:tc>
        <w:tc>
          <w:tcPr>
            <w:tcW w:w="1757" w:type="dxa"/>
          </w:tcPr>
          <w:p>
            <w:pPr>
              <w:pStyle w:val="TableParagraph"/>
              <w:spacing w:line="233" w:lineRule="exact"/>
              <w:rPr>
                <w:sz w:val="22"/>
              </w:rPr>
            </w:pPr>
            <w:r>
              <w:rPr>
                <w:sz w:val="22"/>
              </w:rPr>
              <w:t>24,700</w:t>
            </w:r>
          </w:p>
        </w:tc>
        <w:tc>
          <w:tcPr>
            <w:tcW w:w="1759" w:type="dxa"/>
          </w:tcPr>
          <w:p>
            <w:pPr>
              <w:pStyle w:val="TableParagraph"/>
              <w:spacing w:line="233" w:lineRule="exact"/>
              <w:rPr>
                <w:sz w:val="22"/>
              </w:rPr>
            </w:pPr>
            <w:r>
              <w:rPr>
                <w:sz w:val="22"/>
              </w:rPr>
              <w:t>24,700</w:t>
            </w:r>
          </w:p>
        </w:tc>
        <w:tc>
          <w:tcPr>
            <w:tcW w:w="1757" w:type="dxa"/>
          </w:tcPr>
          <w:p>
            <w:pPr>
              <w:pStyle w:val="TableParagraph"/>
              <w:spacing w:line="233" w:lineRule="exact"/>
              <w:rPr>
                <w:sz w:val="22"/>
              </w:rPr>
            </w:pPr>
            <w:r>
              <w:rPr>
                <w:sz w:val="22"/>
              </w:rPr>
              <w:t>49,400</w:t>
            </w:r>
          </w:p>
        </w:tc>
        <w:tc>
          <w:tcPr>
            <w:tcW w:w="1757" w:type="dxa"/>
          </w:tcPr>
          <w:p>
            <w:pPr>
              <w:pStyle w:val="TableParagraph"/>
              <w:spacing w:line="233" w:lineRule="exact"/>
              <w:ind w:right="91"/>
              <w:rPr>
                <w:sz w:val="22"/>
              </w:rPr>
            </w:pPr>
            <w:r>
              <w:rPr>
                <w:sz w:val="22"/>
              </w:rPr>
              <w:t>74,100</w:t>
            </w:r>
          </w:p>
        </w:tc>
        <w:tc>
          <w:tcPr>
            <w:tcW w:w="1759" w:type="dxa"/>
          </w:tcPr>
          <w:p>
            <w:pPr>
              <w:pStyle w:val="TableParagraph"/>
              <w:spacing w:line="233" w:lineRule="exact"/>
              <w:rPr>
                <w:sz w:val="22"/>
              </w:rPr>
            </w:pPr>
            <w:r>
              <w:rPr>
                <w:sz w:val="22"/>
              </w:rPr>
              <w:t>74,100</w:t>
            </w:r>
          </w:p>
        </w:tc>
      </w:tr>
      <w:tr>
        <w:trPr>
          <w:trHeight w:val="302" w:hRule="atLeast"/>
        </w:trPr>
        <w:tc>
          <w:tcPr>
            <w:tcW w:w="6523" w:type="dxa"/>
          </w:tcPr>
          <w:p>
            <w:pPr>
              <w:pStyle w:val="TableParagraph"/>
              <w:spacing w:before="22"/>
              <w:ind w:left="110" w:right="0"/>
              <w:jc w:val="left"/>
              <w:rPr>
                <w:sz w:val="22"/>
              </w:rPr>
            </w:pPr>
            <w:r>
              <w:rPr>
                <w:sz w:val="22"/>
              </w:rPr>
              <w:t>Servicii comunale</w:t>
            </w:r>
          </w:p>
        </w:tc>
        <w:tc>
          <w:tcPr>
            <w:tcW w:w="1757" w:type="dxa"/>
          </w:tcPr>
          <w:p>
            <w:pPr>
              <w:pStyle w:val="TableParagraph"/>
              <w:spacing w:line="236" w:lineRule="exact"/>
              <w:rPr>
                <w:sz w:val="22"/>
              </w:rPr>
            </w:pPr>
            <w:r>
              <w:rPr>
                <w:sz w:val="22"/>
              </w:rPr>
              <w:t>2,000</w:t>
            </w:r>
          </w:p>
        </w:tc>
        <w:tc>
          <w:tcPr>
            <w:tcW w:w="1759" w:type="dxa"/>
          </w:tcPr>
          <w:p>
            <w:pPr>
              <w:pStyle w:val="TableParagraph"/>
              <w:spacing w:line="236" w:lineRule="exact"/>
              <w:rPr>
                <w:sz w:val="22"/>
              </w:rPr>
            </w:pPr>
            <w:r>
              <w:rPr>
                <w:sz w:val="22"/>
              </w:rPr>
              <w:t>2,000</w:t>
            </w:r>
          </w:p>
        </w:tc>
        <w:tc>
          <w:tcPr>
            <w:tcW w:w="1757" w:type="dxa"/>
          </w:tcPr>
          <w:p>
            <w:pPr>
              <w:pStyle w:val="TableParagraph"/>
              <w:spacing w:line="236" w:lineRule="exact"/>
              <w:rPr>
                <w:sz w:val="22"/>
              </w:rPr>
            </w:pPr>
            <w:r>
              <w:rPr>
                <w:sz w:val="22"/>
              </w:rPr>
              <w:t>4,000</w:t>
            </w:r>
          </w:p>
        </w:tc>
        <w:tc>
          <w:tcPr>
            <w:tcW w:w="1757" w:type="dxa"/>
          </w:tcPr>
          <w:p>
            <w:pPr>
              <w:pStyle w:val="TableParagraph"/>
              <w:spacing w:line="236" w:lineRule="exact"/>
              <w:ind w:right="91"/>
              <w:rPr>
                <w:sz w:val="22"/>
              </w:rPr>
            </w:pPr>
            <w:r>
              <w:rPr>
                <w:sz w:val="22"/>
              </w:rPr>
              <w:t>6,000</w:t>
            </w:r>
          </w:p>
        </w:tc>
        <w:tc>
          <w:tcPr>
            <w:tcW w:w="1759" w:type="dxa"/>
          </w:tcPr>
          <w:p>
            <w:pPr>
              <w:pStyle w:val="TableParagraph"/>
              <w:spacing w:line="236" w:lineRule="exact"/>
              <w:rPr>
                <w:sz w:val="22"/>
              </w:rPr>
            </w:pPr>
            <w:r>
              <w:rPr>
                <w:sz w:val="22"/>
              </w:rPr>
              <w:t>6,000</w:t>
            </w:r>
          </w:p>
        </w:tc>
      </w:tr>
      <w:tr>
        <w:trPr>
          <w:trHeight w:val="299" w:hRule="atLeast"/>
        </w:trPr>
        <w:tc>
          <w:tcPr>
            <w:tcW w:w="6523" w:type="dxa"/>
          </w:tcPr>
          <w:p>
            <w:pPr>
              <w:pStyle w:val="TableParagraph"/>
              <w:spacing w:before="22"/>
              <w:ind w:left="110" w:right="0"/>
              <w:jc w:val="left"/>
              <w:rPr>
                <w:sz w:val="22"/>
              </w:rPr>
            </w:pPr>
            <w:r>
              <w:rPr>
                <w:sz w:val="22"/>
              </w:rPr>
              <w:t>Cheltuieli de intretinere incaperi</w:t>
            </w:r>
          </w:p>
        </w:tc>
        <w:tc>
          <w:tcPr>
            <w:tcW w:w="1757" w:type="dxa"/>
          </w:tcPr>
          <w:p>
            <w:pPr>
              <w:pStyle w:val="TableParagraph"/>
              <w:spacing w:line="236" w:lineRule="exact" w:before="44"/>
              <w:ind w:right="96"/>
              <w:rPr>
                <w:sz w:val="22"/>
              </w:rPr>
            </w:pPr>
            <w:r>
              <w:rPr>
                <w:sz w:val="22"/>
              </w:rPr>
              <w:t>800</w:t>
            </w:r>
          </w:p>
        </w:tc>
        <w:tc>
          <w:tcPr>
            <w:tcW w:w="1759" w:type="dxa"/>
          </w:tcPr>
          <w:p>
            <w:pPr>
              <w:pStyle w:val="TableParagraph"/>
              <w:spacing w:line="236" w:lineRule="exact" w:before="44"/>
              <w:ind w:right="97"/>
              <w:rPr>
                <w:sz w:val="22"/>
              </w:rPr>
            </w:pPr>
            <w:r>
              <w:rPr>
                <w:sz w:val="22"/>
              </w:rPr>
              <w:t>800</w:t>
            </w:r>
          </w:p>
        </w:tc>
        <w:tc>
          <w:tcPr>
            <w:tcW w:w="1757" w:type="dxa"/>
          </w:tcPr>
          <w:p>
            <w:pPr>
              <w:pStyle w:val="TableParagraph"/>
              <w:spacing w:line="236" w:lineRule="exact" w:before="44"/>
              <w:rPr>
                <w:sz w:val="22"/>
              </w:rPr>
            </w:pPr>
            <w:r>
              <w:rPr>
                <w:sz w:val="22"/>
              </w:rPr>
              <w:t>1,600</w:t>
            </w:r>
          </w:p>
        </w:tc>
        <w:tc>
          <w:tcPr>
            <w:tcW w:w="1757" w:type="dxa"/>
          </w:tcPr>
          <w:p>
            <w:pPr>
              <w:pStyle w:val="TableParagraph"/>
              <w:spacing w:line="236" w:lineRule="exact" w:before="44"/>
              <w:ind w:right="91"/>
              <w:rPr>
                <w:sz w:val="22"/>
              </w:rPr>
            </w:pPr>
            <w:r>
              <w:rPr>
                <w:sz w:val="22"/>
              </w:rPr>
              <w:t>2,400</w:t>
            </w:r>
          </w:p>
        </w:tc>
        <w:tc>
          <w:tcPr>
            <w:tcW w:w="1759" w:type="dxa"/>
          </w:tcPr>
          <w:p>
            <w:pPr>
              <w:pStyle w:val="TableParagraph"/>
              <w:spacing w:line="236" w:lineRule="exact" w:before="44"/>
              <w:rPr>
                <w:sz w:val="22"/>
              </w:rPr>
            </w:pPr>
            <w:r>
              <w:rPr>
                <w:sz w:val="22"/>
              </w:rPr>
              <w:t>2,400</w:t>
            </w:r>
          </w:p>
        </w:tc>
      </w:tr>
      <w:tr>
        <w:trPr>
          <w:trHeight w:val="611" w:hRule="atLeast"/>
        </w:trPr>
        <w:tc>
          <w:tcPr>
            <w:tcW w:w="6523" w:type="dxa"/>
          </w:tcPr>
          <w:p>
            <w:pPr>
              <w:pStyle w:val="TableParagraph"/>
              <w:spacing w:before="178"/>
              <w:ind w:left="110" w:right="0"/>
              <w:jc w:val="left"/>
              <w:rPr>
                <w:i/>
                <w:sz w:val="22"/>
              </w:rPr>
            </w:pPr>
            <w:r>
              <w:rPr>
                <w:sz w:val="22"/>
              </w:rPr>
              <w:t>Cheltuieli de intretinere auto </w:t>
            </w:r>
            <w:r>
              <w:rPr>
                <w:i/>
                <w:sz w:val="22"/>
              </w:rPr>
              <w:t>(asigurare, deservire, schimbare roti etc.)</w:t>
            </w:r>
          </w:p>
        </w:tc>
        <w:tc>
          <w:tcPr>
            <w:tcW w:w="1757" w:type="dxa"/>
          </w:tcPr>
          <w:p>
            <w:pPr>
              <w:pStyle w:val="TableParagraph"/>
              <w:spacing w:before="1"/>
              <w:ind w:right="0"/>
              <w:jc w:val="left"/>
              <w:rPr>
                <w:b/>
                <w:sz w:val="31"/>
              </w:rPr>
            </w:pPr>
          </w:p>
          <w:p>
            <w:pPr>
              <w:pStyle w:val="TableParagraph"/>
              <w:spacing w:line="233" w:lineRule="exact" w:before="1"/>
              <w:rPr>
                <w:sz w:val="22"/>
              </w:rPr>
            </w:pPr>
            <w:r>
              <w:rPr>
                <w:sz w:val="22"/>
              </w:rPr>
              <w:t>9,179</w:t>
            </w:r>
          </w:p>
        </w:tc>
        <w:tc>
          <w:tcPr>
            <w:tcW w:w="1759" w:type="dxa"/>
          </w:tcPr>
          <w:p>
            <w:pPr>
              <w:pStyle w:val="TableParagraph"/>
              <w:spacing w:before="1"/>
              <w:ind w:right="0"/>
              <w:jc w:val="left"/>
              <w:rPr>
                <w:b/>
                <w:sz w:val="31"/>
              </w:rPr>
            </w:pPr>
          </w:p>
          <w:p>
            <w:pPr>
              <w:pStyle w:val="TableParagraph"/>
              <w:spacing w:line="233" w:lineRule="exact" w:before="1"/>
              <w:rPr>
                <w:sz w:val="22"/>
              </w:rPr>
            </w:pPr>
            <w:r>
              <w:rPr>
                <w:sz w:val="22"/>
              </w:rPr>
              <w:t>9,179</w:t>
            </w:r>
          </w:p>
        </w:tc>
        <w:tc>
          <w:tcPr>
            <w:tcW w:w="1757" w:type="dxa"/>
          </w:tcPr>
          <w:p>
            <w:pPr>
              <w:pStyle w:val="TableParagraph"/>
              <w:spacing w:before="1"/>
              <w:ind w:right="0"/>
              <w:jc w:val="left"/>
              <w:rPr>
                <w:b/>
                <w:sz w:val="31"/>
              </w:rPr>
            </w:pPr>
          </w:p>
          <w:p>
            <w:pPr>
              <w:pStyle w:val="TableParagraph"/>
              <w:spacing w:line="233" w:lineRule="exact" w:before="1"/>
              <w:rPr>
                <w:sz w:val="22"/>
              </w:rPr>
            </w:pPr>
            <w:r>
              <w:rPr>
                <w:sz w:val="22"/>
              </w:rPr>
              <w:t>9,179</w:t>
            </w:r>
          </w:p>
        </w:tc>
        <w:tc>
          <w:tcPr>
            <w:tcW w:w="1757" w:type="dxa"/>
          </w:tcPr>
          <w:p>
            <w:pPr>
              <w:pStyle w:val="TableParagraph"/>
              <w:spacing w:before="1"/>
              <w:ind w:right="0"/>
              <w:jc w:val="left"/>
              <w:rPr>
                <w:b/>
                <w:sz w:val="31"/>
              </w:rPr>
            </w:pPr>
          </w:p>
          <w:p>
            <w:pPr>
              <w:pStyle w:val="TableParagraph"/>
              <w:spacing w:line="233" w:lineRule="exact" w:before="1"/>
              <w:ind w:right="91"/>
              <w:rPr>
                <w:sz w:val="22"/>
              </w:rPr>
            </w:pPr>
            <w:r>
              <w:rPr>
                <w:sz w:val="22"/>
              </w:rPr>
              <w:t>14,179</w:t>
            </w:r>
          </w:p>
        </w:tc>
        <w:tc>
          <w:tcPr>
            <w:tcW w:w="1759" w:type="dxa"/>
          </w:tcPr>
          <w:p>
            <w:pPr>
              <w:pStyle w:val="TableParagraph"/>
              <w:spacing w:before="1"/>
              <w:ind w:right="0"/>
              <w:jc w:val="left"/>
              <w:rPr>
                <w:b/>
                <w:sz w:val="31"/>
              </w:rPr>
            </w:pPr>
          </w:p>
          <w:p>
            <w:pPr>
              <w:pStyle w:val="TableParagraph"/>
              <w:spacing w:line="233" w:lineRule="exact" w:before="1"/>
              <w:rPr>
                <w:sz w:val="22"/>
              </w:rPr>
            </w:pPr>
            <w:r>
              <w:rPr>
                <w:sz w:val="22"/>
              </w:rPr>
              <w:t>14,179</w:t>
            </w:r>
          </w:p>
        </w:tc>
      </w:tr>
      <w:tr>
        <w:trPr>
          <w:trHeight w:val="299" w:hRule="atLeast"/>
        </w:trPr>
        <w:tc>
          <w:tcPr>
            <w:tcW w:w="6523" w:type="dxa"/>
          </w:tcPr>
          <w:p>
            <w:pPr>
              <w:pStyle w:val="TableParagraph"/>
              <w:spacing w:before="22"/>
              <w:ind w:left="110" w:right="0"/>
              <w:jc w:val="left"/>
              <w:rPr>
                <w:sz w:val="22"/>
              </w:rPr>
            </w:pPr>
            <w:r>
              <w:rPr>
                <w:sz w:val="22"/>
              </w:rPr>
              <w:t>Amortizarea auto</w:t>
            </w:r>
          </w:p>
        </w:tc>
        <w:tc>
          <w:tcPr>
            <w:tcW w:w="1757" w:type="dxa"/>
          </w:tcPr>
          <w:p>
            <w:pPr>
              <w:pStyle w:val="TableParagraph"/>
              <w:spacing w:line="233" w:lineRule="exact"/>
              <w:rPr>
                <w:sz w:val="22"/>
              </w:rPr>
            </w:pPr>
            <w:r>
              <w:rPr>
                <w:sz w:val="22"/>
              </w:rPr>
              <w:t>32,318</w:t>
            </w:r>
          </w:p>
        </w:tc>
        <w:tc>
          <w:tcPr>
            <w:tcW w:w="1759" w:type="dxa"/>
          </w:tcPr>
          <w:p>
            <w:pPr>
              <w:pStyle w:val="TableParagraph"/>
              <w:spacing w:line="233" w:lineRule="exact"/>
              <w:rPr>
                <w:sz w:val="22"/>
              </w:rPr>
            </w:pPr>
            <w:r>
              <w:rPr>
                <w:sz w:val="22"/>
              </w:rPr>
              <w:t>32,318</w:t>
            </w:r>
          </w:p>
        </w:tc>
        <w:tc>
          <w:tcPr>
            <w:tcW w:w="1757" w:type="dxa"/>
          </w:tcPr>
          <w:p>
            <w:pPr>
              <w:pStyle w:val="TableParagraph"/>
              <w:spacing w:line="233" w:lineRule="exact"/>
              <w:rPr>
                <w:sz w:val="22"/>
              </w:rPr>
            </w:pPr>
            <w:r>
              <w:rPr>
                <w:sz w:val="22"/>
              </w:rPr>
              <w:t>32,318</w:t>
            </w:r>
          </w:p>
        </w:tc>
        <w:tc>
          <w:tcPr>
            <w:tcW w:w="1757" w:type="dxa"/>
          </w:tcPr>
          <w:p>
            <w:pPr>
              <w:pStyle w:val="TableParagraph"/>
              <w:spacing w:line="233" w:lineRule="exact"/>
              <w:ind w:right="91"/>
              <w:rPr>
                <w:sz w:val="22"/>
              </w:rPr>
            </w:pPr>
            <w:r>
              <w:rPr>
                <w:sz w:val="22"/>
              </w:rPr>
              <w:t>32,318</w:t>
            </w:r>
          </w:p>
        </w:tc>
        <w:tc>
          <w:tcPr>
            <w:tcW w:w="1759" w:type="dxa"/>
          </w:tcPr>
          <w:p>
            <w:pPr>
              <w:pStyle w:val="TableParagraph"/>
              <w:spacing w:line="233" w:lineRule="exact"/>
              <w:rPr>
                <w:sz w:val="22"/>
              </w:rPr>
            </w:pPr>
            <w:r>
              <w:rPr>
                <w:sz w:val="22"/>
              </w:rPr>
              <w:t>32,318</w:t>
            </w:r>
          </w:p>
        </w:tc>
      </w:tr>
      <w:tr>
        <w:trPr>
          <w:trHeight w:val="299" w:hRule="atLeast"/>
        </w:trPr>
        <w:tc>
          <w:tcPr>
            <w:tcW w:w="6523" w:type="dxa"/>
          </w:tcPr>
          <w:p>
            <w:pPr>
              <w:pStyle w:val="TableParagraph"/>
              <w:spacing w:before="22"/>
              <w:ind w:left="110" w:right="0"/>
              <w:jc w:val="left"/>
              <w:rPr>
                <w:i/>
                <w:sz w:val="22"/>
              </w:rPr>
            </w:pPr>
            <w:r>
              <w:rPr>
                <w:sz w:val="22"/>
              </w:rPr>
              <w:t>Combustibil </w:t>
            </w:r>
            <w:r>
              <w:rPr>
                <w:i/>
                <w:sz w:val="22"/>
              </w:rPr>
              <w:t>(inclusiv, deplasari)</w:t>
            </w:r>
          </w:p>
        </w:tc>
        <w:tc>
          <w:tcPr>
            <w:tcW w:w="1757" w:type="dxa"/>
            <w:shd w:val="clear" w:color="auto" w:fill="BCD6ED"/>
          </w:tcPr>
          <w:p>
            <w:pPr>
              <w:pStyle w:val="TableParagraph"/>
              <w:spacing w:line="233" w:lineRule="exact"/>
              <w:rPr>
                <w:sz w:val="22"/>
              </w:rPr>
            </w:pPr>
            <w:r>
              <w:rPr>
                <w:sz w:val="22"/>
              </w:rPr>
              <w:t>27,360</w:t>
            </w:r>
          </w:p>
        </w:tc>
        <w:tc>
          <w:tcPr>
            <w:tcW w:w="1759" w:type="dxa"/>
            <w:shd w:val="clear" w:color="auto" w:fill="BCD6ED"/>
          </w:tcPr>
          <w:p>
            <w:pPr>
              <w:pStyle w:val="TableParagraph"/>
              <w:spacing w:line="233" w:lineRule="exact"/>
              <w:rPr>
                <w:sz w:val="22"/>
              </w:rPr>
            </w:pPr>
            <w:r>
              <w:rPr>
                <w:sz w:val="22"/>
              </w:rPr>
              <w:t>27,360</w:t>
            </w:r>
          </w:p>
        </w:tc>
        <w:tc>
          <w:tcPr>
            <w:tcW w:w="1757" w:type="dxa"/>
            <w:shd w:val="clear" w:color="auto" w:fill="BCD6ED"/>
          </w:tcPr>
          <w:p>
            <w:pPr>
              <w:pStyle w:val="TableParagraph"/>
              <w:spacing w:line="233" w:lineRule="exact"/>
              <w:rPr>
                <w:sz w:val="22"/>
              </w:rPr>
            </w:pPr>
            <w:r>
              <w:rPr>
                <w:sz w:val="22"/>
              </w:rPr>
              <w:t>38,760</w:t>
            </w:r>
          </w:p>
        </w:tc>
        <w:tc>
          <w:tcPr>
            <w:tcW w:w="1757" w:type="dxa"/>
            <w:shd w:val="clear" w:color="auto" w:fill="BCD6ED"/>
          </w:tcPr>
          <w:p>
            <w:pPr>
              <w:pStyle w:val="TableParagraph"/>
              <w:spacing w:line="233" w:lineRule="exact"/>
              <w:ind w:right="91"/>
              <w:rPr>
                <w:sz w:val="22"/>
              </w:rPr>
            </w:pPr>
            <w:r>
              <w:rPr>
                <w:sz w:val="22"/>
              </w:rPr>
              <w:t>61,560</w:t>
            </w:r>
          </w:p>
        </w:tc>
        <w:tc>
          <w:tcPr>
            <w:tcW w:w="1759" w:type="dxa"/>
            <w:shd w:val="clear" w:color="auto" w:fill="BCD6ED"/>
          </w:tcPr>
          <w:p>
            <w:pPr>
              <w:pStyle w:val="TableParagraph"/>
              <w:spacing w:line="233" w:lineRule="exact"/>
              <w:rPr>
                <w:sz w:val="22"/>
              </w:rPr>
            </w:pPr>
            <w:r>
              <w:rPr>
                <w:sz w:val="22"/>
              </w:rPr>
              <w:t>84,360</w:t>
            </w:r>
          </w:p>
        </w:tc>
      </w:tr>
      <w:tr>
        <w:trPr>
          <w:trHeight w:val="299" w:hRule="atLeast"/>
        </w:trPr>
        <w:tc>
          <w:tcPr>
            <w:tcW w:w="6523" w:type="dxa"/>
          </w:tcPr>
          <w:p>
            <w:pPr>
              <w:pStyle w:val="TableParagraph"/>
              <w:spacing w:before="22"/>
              <w:ind w:left="110" w:right="0"/>
              <w:jc w:val="left"/>
              <w:rPr>
                <w:sz w:val="22"/>
              </w:rPr>
            </w:pPr>
            <w:r>
              <w:rPr>
                <w:sz w:val="22"/>
              </w:rPr>
              <w:t>Telefonie fixa</w:t>
            </w:r>
          </w:p>
        </w:tc>
        <w:tc>
          <w:tcPr>
            <w:tcW w:w="1757" w:type="dxa"/>
            <w:shd w:val="clear" w:color="auto" w:fill="BEBEBE"/>
          </w:tcPr>
          <w:p>
            <w:pPr>
              <w:pStyle w:val="TableParagraph"/>
              <w:spacing w:line="233" w:lineRule="exact"/>
              <w:ind w:right="96"/>
              <w:rPr>
                <w:sz w:val="22"/>
              </w:rPr>
            </w:pPr>
            <w:r>
              <w:rPr>
                <w:sz w:val="22"/>
              </w:rPr>
              <w:t>300</w:t>
            </w:r>
          </w:p>
        </w:tc>
        <w:tc>
          <w:tcPr>
            <w:tcW w:w="1759" w:type="dxa"/>
            <w:shd w:val="clear" w:color="auto" w:fill="C8C8C8"/>
          </w:tcPr>
          <w:p>
            <w:pPr>
              <w:pStyle w:val="TableParagraph"/>
              <w:spacing w:line="233" w:lineRule="exact"/>
              <w:ind w:right="97"/>
              <w:rPr>
                <w:sz w:val="22"/>
              </w:rPr>
            </w:pPr>
            <w:r>
              <w:rPr>
                <w:sz w:val="22"/>
              </w:rPr>
              <w:t>300</w:t>
            </w:r>
          </w:p>
        </w:tc>
        <w:tc>
          <w:tcPr>
            <w:tcW w:w="1757" w:type="dxa"/>
            <w:shd w:val="clear" w:color="auto" w:fill="C8C8C8"/>
          </w:tcPr>
          <w:p>
            <w:pPr>
              <w:pStyle w:val="TableParagraph"/>
              <w:spacing w:line="233" w:lineRule="exact"/>
              <w:ind w:right="96"/>
              <w:rPr>
                <w:sz w:val="22"/>
              </w:rPr>
            </w:pPr>
            <w:r>
              <w:rPr>
                <w:sz w:val="22"/>
              </w:rPr>
              <w:t>600</w:t>
            </w:r>
          </w:p>
        </w:tc>
        <w:tc>
          <w:tcPr>
            <w:tcW w:w="1757" w:type="dxa"/>
            <w:shd w:val="clear" w:color="auto" w:fill="C8C8C8"/>
          </w:tcPr>
          <w:p>
            <w:pPr>
              <w:pStyle w:val="TableParagraph"/>
              <w:spacing w:line="233" w:lineRule="exact"/>
              <w:ind w:right="95"/>
              <w:rPr>
                <w:sz w:val="22"/>
              </w:rPr>
            </w:pPr>
            <w:r>
              <w:rPr>
                <w:sz w:val="22"/>
              </w:rPr>
              <w:t>900</w:t>
            </w:r>
          </w:p>
        </w:tc>
        <w:tc>
          <w:tcPr>
            <w:tcW w:w="1759" w:type="dxa"/>
            <w:shd w:val="clear" w:color="auto" w:fill="C8C8C8"/>
          </w:tcPr>
          <w:p>
            <w:pPr>
              <w:pStyle w:val="TableParagraph"/>
              <w:spacing w:line="233" w:lineRule="exact"/>
              <w:ind w:right="96"/>
              <w:rPr>
                <w:sz w:val="22"/>
              </w:rPr>
            </w:pPr>
            <w:r>
              <w:rPr>
                <w:sz w:val="22"/>
              </w:rPr>
              <w:t>900</w:t>
            </w:r>
          </w:p>
        </w:tc>
      </w:tr>
      <w:tr>
        <w:trPr>
          <w:trHeight w:val="301" w:hRule="atLeast"/>
        </w:trPr>
        <w:tc>
          <w:tcPr>
            <w:tcW w:w="6523" w:type="dxa"/>
          </w:tcPr>
          <w:p>
            <w:pPr>
              <w:pStyle w:val="TableParagraph"/>
              <w:spacing w:before="22"/>
              <w:ind w:left="110" w:right="0"/>
              <w:jc w:val="left"/>
              <w:rPr>
                <w:sz w:val="22"/>
              </w:rPr>
            </w:pPr>
            <w:r>
              <w:rPr>
                <w:sz w:val="22"/>
              </w:rPr>
              <w:t>Telefonie mobila</w:t>
            </w:r>
          </w:p>
        </w:tc>
        <w:tc>
          <w:tcPr>
            <w:tcW w:w="1757" w:type="dxa"/>
            <w:shd w:val="clear" w:color="auto" w:fill="C5DFB4"/>
          </w:tcPr>
          <w:p>
            <w:pPr>
              <w:pStyle w:val="TableParagraph"/>
              <w:spacing w:line="236" w:lineRule="exact"/>
              <w:rPr>
                <w:sz w:val="22"/>
              </w:rPr>
            </w:pPr>
            <w:r>
              <w:rPr>
                <w:sz w:val="22"/>
              </w:rPr>
              <w:t>1,680</w:t>
            </w:r>
          </w:p>
        </w:tc>
        <w:tc>
          <w:tcPr>
            <w:tcW w:w="1759" w:type="dxa"/>
            <w:shd w:val="clear" w:color="auto" w:fill="C5DFB4"/>
          </w:tcPr>
          <w:p>
            <w:pPr>
              <w:pStyle w:val="TableParagraph"/>
              <w:spacing w:line="236" w:lineRule="exact"/>
              <w:rPr>
                <w:sz w:val="22"/>
              </w:rPr>
            </w:pPr>
            <w:r>
              <w:rPr>
                <w:sz w:val="22"/>
              </w:rPr>
              <w:t>1,680</w:t>
            </w:r>
          </w:p>
        </w:tc>
        <w:tc>
          <w:tcPr>
            <w:tcW w:w="1757" w:type="dxa"/>
            <w:shd w:val="clear" w:color="auto" w:fill="C5DFB4"/>
          </w:tcPr>
          <w:p>
            <w:pPr>
              <w:pStyle w:val="TableParagraph"/>
              <w:spacing w:line="236" w:lineRule="exact"/>
              <w:rPr>
                <w:sz w:val="22"/>
              </w:rPr>
            </w:pPr>
            <w:r>
              <w:rPr>
                <w:sz w:val="22"/>
              </w:rPr>
              <w:t>3,360</w:t>
            </w:r>
          </w:p>
        </w:tc>
        <w:tc>
          <w:tcPr>
            <w:tcW w:w="1757" w:type="dxa"/>
            <w:shd w:val="clear" w:color="auto" w:fill="C5DFB4"/>
          </w:tcPr>
          <w:p>
            <w:pPr>
              <w:pStyle w:val="TableParagraph"/>
              <w:spacing w:line="236" w:lineRule="exact"/>
              <w:ind w:right="91"/>
              <w:rPr>
                <w:sz w:val="22"/>
              </w:rPr>
            </w:pPr>
            <w:r>
              <w:rPr>
                <w:sz w:val="22"/>
              </w:rPr>
              <w:t>5,040</w:t>
            </w:r>
          </w:p>
        </w:tc>
        <w:tc>
          <w:tcPr>
            <w:tcW w:w="1759" w:type="dxa"/>
            <w:shd w:val="clear" w:color="auto" w:fill="C5DFB4"/>
          </w:tcPr>
          <w:p>
            <w:pPr>
              <w:pStyle w:val="TableParagraph"/>
              <w:spacing w:line="236" w:lineRule="exact"/>
              <w:rPr>
                <w:sz w:val="22"/>
              </w:rPr>
            </w:pPr>
            <w:r>
              <w:rPr>
                <w:sz w:val="22"/>
              </w:rPr>
              <w:t>5,040</w:t>
            </w:r>
          </w:p>
        </w:tc>
      </w:tr>
      <w:tr>
        <w:trPr>
          <w:trHeight w:val="299" w:hRule="atLeast"/>
        </w:trPr>
        <w:tc>
          <w:tcPr>
            <w:tcW w:w="6523" w:type="dxa"/>
          </w:tcPr>
          <w:p>
            <w:pPr>
              <w:pStyle w:val="TableParagraph"/>
              <w:spacing w:before="22"/>
              <w:ind w:left="110" w:right="0"/>
              <w:jc w:val="left"/>
              <w:rPr>
                <w:sz w:val="22"/>
              </w:rPr>
            </w:pPr>
            <w:r>
              <w:rPr>
                <w:sz w:val="22"/>
              </w:rPr>
              <w:t>Internet</w:t>
            </w:r>
          </w:p>
        </w:tc>
        <w:tc>
          <w:tcPr>
            <w:tcW w:w="1757" w:type="dxa"/>
            <w:shd w:val="clear" w:color="auto" w:fill="BEBEBE"/>
          </w:tcPr>
          <w:p>
            <w:pPr>
              <w:pStyle w:val="TableParagraph"/>
              <w:spacing w:line="236" w:lineRule="exact" w:before="44"/>
              <w:ind w:right="96"/>
              <w:rPr>
                <w:sz w:val="22"/>
              </w:rPr>
            </w:pPr>
            <w:r>
              <w:rPr>
                <w:sz w:val="22"/>
              </w:rPr>
              <w:t>300</w:t>
            </w:r>
          </w:p>
        </w:tc>
        <w:tc>
          <w:tcPr>
            <w:tcW w:w="1759" w:type="dxa"/>
            <w:shd w:val="clear" w:color="auto" w:fill="BEBEBE"/>
          </w:tcPr>
          <w:p>
            <w:pPr>
              <w:pStyle w:val="TableParagraph"/>
              <w:spacing w:line="236" w:lineRule="exact" w:before="44"/>
              <w:ind w:right="97"/>
              <w:rPr>
                <w:sz w:val="22"/>
              </w:rPr>
            </w:pPr>
            <w:r>
              <w:rPr>
                <w:sz w:val="22"/>
              </w:rPr>
              <w:t>300</w:t>
            </w:r>
          </w:p>
        </w:tc>
        <w:tc>
          <w:tcPr>
            <w:tcW w:w="1757" w:type="dxa"/>
            <w:shd w:val="clear" w:color="auto" w:fill="BEBEBE"/>
          </w:tcPr>
          <w:p>
            <w:pPr>
              <w:pStyle w:val="TableParagraph"/>
              <w:spacing w:line="236" w:lineRule="exact" w:before="44"/>
              <w:ind w:right="96"/>
              <w:rPr>
                <w:sz w:val="22"/>
              </w:rPr>
            </w:pPr>
            <w:r>
              <w:rPr>
                <w:sz w:val="22"/>
              </w:rPr>
              <w:t>600</w:t>
            </w:r>
          </w:p>
        </w:tc>
        <w:tc>
          <w:tcPr>
            <w:tcW w:w="1757" w:type="dxa"/>
            <w:shd w:val="clear" w:color="auto" w:fill="BEBEBE"/>
          </w:tcPr>
          <w:p>
            <w:pPr>
              <w:pStyle w:val="TableParagraph"/>
              <w:spacing w:line="236" w:lineRule="exact" w:before="44"/>
              <w:ind w:right="95"/>
              <w:rPr>
                <w:sz w:val="22"/>
              </w:rPr>
            </w:pPr>
            <w:r>
              <w:rPr>
                <w:sz w:val="22"/>
              </w:rPr>
              <w:t>900</w:t>
            </w:r>
          </w:p>
        </w:tc>
        <w:tc>
          <w:tcPr>
            <w:tcW w:w="1759" w:type="dxa"/>
            <w:shd w:val="clear" w:color="auto" w:fill="BEBEBE"/>
          </w:tcPr>
          <w:p>
            <w:pPr>
              <w:pStyle w:val="TableParagraph"/>
              <w:spacing w:line="236" w:lineRule="exact" w:before="44"/>
              <w:ind w:right="96"/>
              <w:rPr>
                <w:sz w:val="22"/>
              </w:rPr>
            </w:pPr>
            <w:r>
              <w:rPr>
                <w:sz w:val="22"/>
              </w:rPr>
              <w:t>900</w:t>
            </w:r>
          </w:p>
        </w:tc>
      </w:tr>
      <w:tr>
        <w:trPr>
          <w:trHeight w:val="299" w:hRule="atLeast"/>
        </w:trPr>
        <w:tc>
          <w:tcPr>
            <w:tcW w:w="6523" w:type="dxa"/>
          </w:tcPr>
          <w:p>
            <w:pPr>
              <w:pStyle w:val="TableParagraph"/>
              <w:spacing w:before="22"/>
              <w:ind w:left="110" w:right="0"/>
              <w:jc w:val="left"/>
              <w:rPr>
                <w:sz w:val="22"/>
              </w:rPr>
            </w:pPr>
            <w:r>
              <w:rPr>
                <w:sz w:val="22"/>
              </w:rPr>
              <w:t>Alte cheltuieli IT</w:t>
            </w:r>
          </w:p>
        </w:tc>
        <w:tc>
          <w:tcPr>
            <w:tcW w:w="1757" w:type="dxa"/>
            <w:shd w:val="clear" w:color="auto" w:fill="FFF1CC"/>
          </w:tcPr>
          <w:p>
            <w:pPr>
              <w:pStyle w:val="TableParagraph"/>
              <w:spacing w:line="233" w:lineRule="exact"/>
              <w:rPr>
                <w:sz w:val="22"/>
              </w:rPr>
            </w:pPr>
            <w:r>
              <w:rPr>
                <w:sz w:val="22"/>
              </w:rPr>
              <w:t>2,000</w:t>
            </w:r>
          </w:p>
        </w:tc>
        <w:tc>
          <w:tcPr>
            <w:tcW w:w="1759" w:type="dxa"/>
            <w:shd w:val="clear" w:color="auto" w:fill="FFF1CC"/>
          </w:tcPr>
          <w:p>
            <w:pPr>
              <w:pStyle w:val="TableParagraph"/>
              <w:spacing w:line="233" w:lineRule="exact"/>
              <w:rPr>
                <w:sz w:val="22"/>
              </w:rPr>
            </w:pPr>
            <w:r>
              <w:rPr>
                <w:sz w:val="22"/>
              </w:rPr>
              <w:t>2,000</w:t>
            </w:r>
          </w:p>
        </w:tc>
        <w:tc>
          <w:tcPr>
            <w:tcW w:w="1757" w:type="dxa"/>
            <w:shd w:val="clear" w:color="auto" w:fill="FFF1CC"/>
          </w:tcPr>
          <w:p>
            <w:pPr>
              <w:pStyle w:val="TableParagraph"/>
              <w:spacing w:line="233" w:lineRule="exact"/>
              <w:rPr>
                <w:sz w:val="22"/>
              </w:rPr>
            </w:pPr>
            <w:r>
              <w:rPr>
                <w:sz w:val="22"/>
              </w:rPr>
              <w:t>3,000</w:t>
            </w:r>
          </w:p>
        </w:tc>
        <w:tc>
          <w:tcPr>
            <w:tcW w:w="1757" w:type="dxa"/>
            <w:shd w:val="clear" w:color="auto" w:fill="FFF1CC"/>
          </w:tcPr>
          <w:p>
            <w:pPr>
              <w:pStyle w:val="TableParagraph"/>
              <w:spacing w:line="233" w:lineRule="exact"/>
              <w:ind w:right="91"/>
              <w:rPr>
                <w:sz w:val="22"/>
              </w:rPr>
            </w:pPr>
            <w:r>
              <w:rPr>
                <w:sz w:val="22"/>
              </w:rPr>
              <w:t>4,000</w:t>
            </w:r>
          </w:p>
        </w:tc>
        <w:tc>
          <w:tcPr>
            <w:tcW w:w="1759" w:type="dxa"/>
            <w:shd w:val="clear" w:color="auto" w:fill="FFF1CC"/>
          </w:tcPr>
          <w:p>
            <w:pPr>
              <w:pStyle w:val="TableParagraph"/>
              <w:spacing w:line="233" w:lineRule="exact"/>
              <w:rPr>
                <w:sz w:val="22"/>
              </w:rPr>
            </w:pPr>
            <w:r>
              <w:rPr>
                <w:sz w:val="22"/>
              </w:rPr>
              <w:t>4,000</w:t>
            </w:r>
          </w:p>
        </w:tc>
      </w:tr>
      <w:tr>
        <w:trPr>
          <w:trHeight w:val="299" w:hRule="atLeast"/>
        </w:trPr>
        <w:tc>
          <w:tcPr>
            <w:tcW w:w="6523" w:type="dxa"/>
          </w:tcPr>
          <w:p>
            <w:pPr>
              <w:pStyle w:val="TableParagraph"/>
              <w:spacing w:before="22"/>
              <w:ind w:left="110" w:right="0"/>
              <w:jc w:val="left"/>
              <w:rPr>
                <w:sz w:val="22"/>
              </w:rPr>
            </w:pPr>
            <w:r>
              <w:rPr>
                <w:sz w:val="22"/>
              </w:rPr>
              <w:t>Amortizari si casari</w:t>
            </w:r>
          </w:p>
        </w:tc>
        <w:tc>
          <w:tcPr>
            <w:tcW w:w="1757" w:type="dxa"/>
            <w:shd w:val="clear" w:color="auto" w:fill="FFE699"/>
          </w:tcPr>
          <w:p>
            <w:pPr>
              <w:pStyle w:val="TableParagraph"/>
              <w:spacing w:line="233" w:lineRule="exact"/>
              <w:rPr>
                <w:sz w:val="22"/>
              </w:rPr>
            </w:pPr>
            <w:r>
              <w:rPr>
                <w:sz w:val="22"/>
              </w:rPr>
              <w:t>3,000</w:t>
            </w:r>
          </w:p>
        </w:tc>
        <w:tc>
          <w:tcPr>
            <w:tcW w:w="1759" w:type="dxa"/>
            <w:shd w:val="clear" w:color="auto" w:fill="FFD966"/>
          </w:tcPr>
          <w:p>
            <w:pPr>
              <w:pStyle w:val="TableParagraph"/>
              <w:spacing w:line="233" w:lineRule="exact"/>
              <w:rPr>
                <w:sz w:val="22"/>
              </w:rPr>
            </w:pPr>
            <w:r>
              <w:rPr>
                <w:sz w:val="22"/>
              </w:rPr>
              <w:t>3,000</w:t>
            </w:r>
          </w:p>
        </w:tc>
        <w:tc>
          <w:tcPr>
            <w:tcW w:w="1757" w:type="dxa"/>
            <w:shd w:val="clear" w:color="auto" w:fill="FFD966"/>
          </w:tcPr>
          <w:p>
            <w:pPr>
              <w:pStyle w:val="TableParagraph"/>
              <w:spacing w:line="233" w:lineRule="exact"/>
              <w:rPr>
                <w:sz w:val="22"/>
              </w:rPr>
            </w:pPr>
            <w:r>
              <w:rPr>
                <w:sz w:val="22"/>
              </w:rPr>
              <w:t>4,000</w:t>
            </w:r>
          </w:p>
        </w:tc>
        <w:tc>
          <w:tcPr>
            <w:tcW w:w="1757" w:type="dxa"/>
            <w:shd w:val="clear" w:color="auto" w:fill="FFD966"/>
          </w:tcPr>
          <w:p>
            <w:pPr>
              <w:pStyle w:val="TableParagraph"/>
              <w:spacing w:line="233" w:lineRule="exact"/>
              <w:ind w:right="91"/>
              <w:rPr>
                <w:sz w:val="22"/>
              </w:rPr>
            </w:pPr>
            <w:r>
              <w:rPr>
                <w:sz w:val="22"/>
              </w:rPr>
              <w:t>5,000</w:t>
            </w:r>
          </w:p>
        </w:tc>
        <w:tc>
          <w:tcPr>
            <w:tcW w:w="1759" w:type="dxa"/>
            <w:shd w:val="clear" w:color="auto" w:fill="FFD966"/>
          </w:tcPr>
          <w:p>
            <w:pPr>
              <w:pStyle w:val="TableParagraph"/>
              <w:spacing w:line="233" w:lineRule="exact"/>
              <w:rPr>
                <w:sz w:val="22"/>
              </w:rPr>
            </w:pPr>
            <w:r>
              <w:rPr>
                <w:sz w:val="22"/>
              </w:rPr>
              <w:t>7,500</w:t>
            </w:r>
          </w:p>
        </w:tc>
      </w:tr>
      <w:tr>
        <w:trPr>
          <w:trHeight w:val="808" w:hRule="atLeast"/>
        </w:trPr>
        <w:tc>
          <w:tcPr>
            <w:tcW w:w="6523" w:type="dxa"/>
          </w:tcPr>
          <w:p>
            <w:pPr>
              <w:pStyle w:val="TableParagraph"/>
              <w:spacing w:before="149"/>
              <w:ind w:left="110" w:right="1195"/>
              <w:jc w:val="left"/>
              <w:rPr>
                <w:i/>
                <w:sz w:val="22"/>
              </w:rPr>
            </w:pPr>
            <w:r>
              <w:rPr>
                <w:sz w:val="22"/>
              </w:rPr>
              <w:t>Alte cheltuieli administrative </w:t>
            </w:r>
            <w:r>
              <w:rPr>
                <w:i/>
                <w:sz w:val="22"/>
              </w:rPr>
              <w:t>(rechizite de birou, hirtie A4, </w:t>
            </w:r>
            <w:r>
              <w:rPr>
                <w:i/>
                <w:sz w:val="22"/>
              </w:rPr>
              <w:t>echipament, apa potabila</w:t>
            </w:r>
          </w:p>
        </w:tc>
        <w:tc>
          <w:tcPr>
            <w:tcW w:w="1757" w:type="dxa"/>
            <w:shd w:val="clear" w:color="auto" w:fill="D9D9D9"/>
          </w:tcPr>
          <w:p>
            <w:pPr>
              <w:pStyle w:val="TableParagraph"/>
              <w:spacing w:before="0"/>
              <w:ind w:right="0"/>
              <w:jc w:val="left"/>
              <w:rPr>
                <w:b/>
                <w:sz w:val="24"/>
              </w:rPr>
            </w:pPr>
          </w:p>
          <w:p>
            <w:pPr>
              <w:pStyle w:val="TableParagraph"/>
              <w:spacing w:before="3"/>
              <w:ind w:right="0"/>
              <w:jc w:val="left"/>
              <w:rPr>
                <w:b/>
                <w:sz w:val="24"/>
              </w:rPr>
            </w:pPr>
          </w:p>
          <w:p>
            <w:pPr>
              <w:pStyle w:val="TableParagraph"/>
              <w:spacing w:line="233" w:lineRule="exact" w:before="0"/>
              <w:rPr>
                <w:sz w:val="22"/>
              </w:rPr>
            </w:pPr>
            <w:r>
              <w:rPr>
                <w:sz w:val="22"/>
              </w:rPr>
              <w:t>1,860</w:t>
            </w:r>
          </w:p>
        </w:tc>
        <w:tc>
          <w:tcPr>
            <w:tcW w:w="1759" w:type="dxa"/>
            <w:shd w:val="clear" w:color="auto" w:fill="DBDBDB"/>
          </w:tcPr>
          <w:p>
            <w:pPr>
              <w:pStyle w:val="TableParagraph"/>
              <w:spacing w:before="0"/>
              <w:ind w:right="0"/>
              <w:jc w:val="left"/>
              <w:rPr>
                <w:b/>
                <w:sz w:val="24"/>
              </w:rPr>
            </w:pPr>
          </w:p>
          <w:p>
            <w:pPr>
              <w:pStyle w:val="TableParagraph"/>
              <w:spacing w:before="3"/>
              <w:ind w:right="0"/>
              <w:jc w:val="left"/>
              <w:rPr>
                <w:b/>
                <w:sz w:val="24"/>
              </w:rPr>
            </w:pPr>
          </w:p>
          <w:p>
            <w:pPr>
              <w:pStyle w:val="TableParagraph"/>
              <w:spacing w:line="233" w:lineRule="exact" w:before="0"/>
              <w:rPr>
                <w:sz w:val="22"/>
              </w:rPr>
            </w:pPr>
            <w:r>
              <w:rPr>
                <w:sz w:val="22"/>
              </w:rPr>
              <w:t>1,860</w:t>
            </w:r>
          </w:p>
        </w:tc>
        <w:tc>
          <w:tcPr>
            <w:tcW w:w="1757" w:type="dxa"/>
            <w:shd w:val="clear" w:color="auto" w:fill="DBDBDB"/>
          </w:tcPr>
          <w:p>
            <w:pPr>
              <w:pStyle w:val="TableParagraph"/>
              <w:spacing w:before="0"/>
              <w:ind w:right="0"/>
              <w:jc w:val="left"/>
              <w:rPr>
                <w:b/>
                <w:sz w:val="24"/>
              </w:rPr>
            </w:pPr>
          </w:p>
          <w:p>
            <w:pPr>
              <w:pStyle w:val="TableParagraph"/>
              <w:spacing w:before="3"/>
              <w:ind w:right="0"/>
              <w:jc w:val="left"/>
              <w:rPr>
                <w:b/>
                <w:sz w:val="24"/>
              </w:rPr>
            </w:pPr>
          </w:p>
          <w:p>
            <w:pPr>
              <w:pStyle w:val="TableParagraph"/>
              <w:spacing w:line="233" w:lineRule="exact" w:before="0"/>
              <w:rPr>
                <w:sz w:val="22"/>
              </w:rPr>
            </w:pPr>
            <w:r>
              <w:rPr>
                <w:sz w:val="22"/>
              </w:rPr>
              <w:t>3,720</w:t>
            </w:r>
          </w:p>
        </w:tc>
        <w:tc>
          <w:tcPr>
            <w:tcW w:w="1757" w:type="dxa"/>
            <w:shd w:val="clear" w:color="auto" w:fill="DBDBDB"/>
          </w:tcPr>
          <w:p>
            <w:pPr>
              <w:pStyle w:val="TableParagraph"/>
              <w:spacing w:before="0"/>
              <w:ind w:right="0"/>
              <w:jc w:val="left"/>
              <w:rPr>
                <w:b/>
                <w:sz w:val="24"/>
              </w:rPr>
            </w:pPr>
          </w:p>
          <w:p>
            <w:pPr>
              <w:pStyle w:val="TableParagraph"/>
              <w:spacing w:before="3"/>
              <w:ind w:right="0"/>
              <w:jc w:val="left"/>
              <w:rPr>
                <w:b/>
                <w:sz w:val="24"/>
              </w:rPr>
            </w:pPr>
          </w:p>
          <w:p>
            <w:pPr>
              <w:pStyle w:val="TableParagraph"/>
              <w:spacing w:line="233" w:lineRule="exact" w:before="0"/>
              <w:ind w:right="91"/>
              <w:rPr>
                <w:sz w:val="22"/>
              </w:rPr>
            </w:pPr>
            <w:r>
              <w:rPr>
                <w:sz w:val="22"/>
              </w:rPr>
              <w:t>7,440</w:t>
            </w:r>
          </w:p>
        </w:tc>
        <w:tc>
          <w:tcPr>
            <w:tcW w:w="1759" w:type="dxa"/>
            <w:shd w:val="clear" w:color="auto" w:fill="DBDBDB"/>
          </w:tcPr>
          <w:p>
            <w:pPr>
              <w:pStyle w:val="TableParagraph"/>
              <w:spacing w:before="0"/>
              <w:ind w:right="0"/>
              <w:jc w:val="left"/>
              <w:rPr>
                <w:b/>
                <w:sz w:val="24"/>
              </w:rPr>
            </w:pPr>
          </w:p>
          <w:p>
            <w:pPr>
              <w:pStyle w:val="TableParagraph"/>
              <w:spacing w:before="3"/>
              <w:ind w:right="0"/>
              <w:jc w:val="left"/>
              <w:rPr>
                <w:b/>
                <w:sz w:val="24"/>
              </w:rPr>
            </w:pPr>
          </w:p>
          <w:p>
            <w:pPr>
              <w:pStyle w:val="TableParagraph"/>
              <w:spacing w:line="233" w:lineRule="exact" w:before="0"/>
              <w:rPr>
                <w:sz w:val="22"/>
              </w:rPr>
            </w:pPr>
            <w:r>
              <w:rPr>
                <w:sz w:val="22"/>
              </w:rPr>
              <w:t>14,880</w:t>
            </w:r>
          </w:p>
        </w:tc>
      </w:tr>
      <w:tr>
        <w:trPr>
          <w:trHeight w:val="594" w:hRule="atLeast"/>
        </w:trPr>
        <w:tc>
          <w:tcPr>
            <w:tcW w:w="6523" w:type="dxa"/>
          </w:tcPr>
          <w:p>
            <w:pPr>
              <w:pStyle w:val="TableParagraph"/>
              <w:spacing w:before="169"/>
              <w:ind w:left="110" w:right="0"/>
              <w:jc w:val="left"/>
              <w:rPr>
                <w:i/>
                <w:sz w:val="22"/>
              </w:rPr>
            </w:pPr>
            <w:r>
              <w:rPr>
                <w:sz w:val="22"/>
              </w:rPr>
              <w:t>Cheltuieli de marketing </w:t>
            </w:r>
            <w:r>
              <w:rPr>
                <w:i/>
                <w:sz w:val="22"/>
              </w:rPr>
              <w:t>(buclete, promovare pe internet, radio)</w:t>
            </w:r>
          </w:p>
        </w:tc>
        <w:tc>
          <w:tcPr>
            <w:tcW w:w="1757" w:type="dxa"/>
            <w:shd w:val="clear" w:color="auto" w:fill="8EA9DB"/>
          </w:tcPr>
          <w:p>
            <w:pPr>
              <w:pStyle w:val="TableParagraph"/>
              <w:spacing w:before="8"/>
              <w:ind w:right="0"/>
              <w:jc w:val="left"/>
              <w:rPr>
                <w:b/>
                <w:sz w:val="29"/>
              </w:rPr>
            </w:pPr>
          </w:p>
          <w:p>
            <w:pPr>
              <w:pStyle w:val="TableParagraph"/>
              <w:spacing w:line="233" w:lineRule="exact" w:before="0"/>
              <w:rPr>
                <w:sz w:val="22"/>
              </w:rPr>
            </w:pPr>
            <w:r>
              <w:rPr>
                <w:sz w:val="22"/>
              </w:rPr>
              <w:t>8,000</w:t>
            </w:r>
          </w:p>
        </w:tc>
        <w:tc>
          <w:tcPr>
            <w:tcW w:w="1759" w:type="dxa"/>
            <w:shd w:val="clear" w:color="auto" w:fill="8EA9DB"/>
          </w:tcPr>
          <w:p>
            <w:pPr>
              <w:pStyle w:val="TableParagraph"/>
              <w:spacing w:before="8"/>
              <w:ind w:right="0"/>
              <w:jc w:val="left"/>
              <w:rPr>
                <w:b/>
                <w:sz w:val="29"/>
              </w:rPr>
            </w:pPr>
          </w:p>
          <w:p>
            <w:pPr>
              <w:pStyle w:val="TableParagraph"/>
              <w:spacing w:line="233" w:lineRule="exact" w:before="0"/>
              <w:rPr>
                <w:sz w:val="22"/>
              </w:rPr>
            </w:pPr>
            <w:r>
              <w:rPr>
                <w:sz w:val="22"/>
              </w:rPr>
              <w:t>8,000</w:t>
            </w:r>
          </w:p>
        </w:tc>
        <w:tc>
          <w:tcPr>
            <w:tcW w:w="1757" w:type="dxa"/>
            <w:shd w:val="clear" w:color="auto" w:fill="8EA9DB"/>
          </w:tcPr>
          <w:p>
            <w:pPr>
              <w:pStyle w:val="TableParagraph"/>
              <w:spacing w:before="8"/>
              <w:ind w:right="0"/>
              <w:jc w:val="left"/>
              <w:rPr>
                <w:b/>
                <w:sz w:val="29"/>
              </w:rPr>
            </w:pPr>
          </w:p>
          <w:p>
            <w:pPr>
              <w:pStyle w:val="TableParagraph"/>
              <w:spacing w:line="233" w:lineRule="exact" w:before="0"/>
              <w:rPr>
                <w:sz w:val="22"/>
              </w:rPr>
            </w:pPr>
            <w:r>
              <w:rPr>
                <w:sz w:val="22"/>
              </w:rPr>
              <w:t>16,000</w:t>
            </w:r>
          </w:p>
        </w:tc>
        <w:tc>
          <w:tcPr>
            <w:tcW w:w="1757" w:type="dxa"/>
            <w:shd w:val="clear" w:color="auto" w:fill="8EA9DB"/>
          </w:tcPr>
          <w:p>
            <w:pPr>
              <w:pStyle w:val="TableParagraph"/>
              <w:spacing w:before="8"/>
              <w:ind w:right="0"/>
              <w:jc w:val="left"/>
              <w:rPr>
                <w:b/>
                <w:sz w:val="29"/>
              </w:rPr>
            </w:pPr>
          </w:p>
          <w:p>
            <w:pPr>
              <w:pStyle w:val="TableParagraph"/>
              <w:spacing w:line="233" w:lineRule="exact" w:before="0"/>
              <w:ind w:right="91"/>
              <w:rPr>
                <w:sz w:val="22"/>
              </w:rPr>
            </w:pPr>
            <w:r>
              <w:rPr>
                <w:sz w:val="22"/>
              </w:rPr>
              <w:t>24,000</w:t>
            </w:r>
          </w:p>
        </w:tc>
        <w:tc>
          <w:tcPr>
            <w:tcW w:w="1759" w:type="dxa"/>
            <w:shd w:val="clear" w:color="auto" w:fill="8EA9DB"/>
          </w:tcPr>
          <w:p>
            <w:pPr>
              <w:pStyle w:val="TableParagraph"/>
              <w:spacing w:before="8"/>
              <w:ind w:right="0"/>
              <w:jc w:val="left"/>
              <w:rPr>
                <w:b/>
                <w:sz w:val="29"/>
              </w:rPr>
            </w:pPr>
          </w:p>
          <w:p>
            <w:pPr>
              <w:pStyle w:val="TableParagraph"/>
              <w:spacing w:line="233" w:lineRule="exact" w:before="0"/>
              <w:rPr>
                <w:sz w:val="22"/>
              </w:rPr>
            </w:pPr>
            <w:r>
              <w:rPr>
                <w:sz w:val="22"/>
              </w:rPr>
              <w:t>32,000</w:t>
            </w:r>
          </w:p>
        </w:tc>
      </w:tr>
      <w:tr>
        <w:trPr>
          <w:trHeight w:val="299" w:hRule="atLeast"/>
        </w:trPr>
        <w:tc>
          <w:tcPr>
            <w:tcW w:w="6523" w:type="dxa"/>
          </w:tcPr>
          <w:p>
            <w:pPr>
              <w:pStyle w:val="TableParagraph"/>
              <w:spacing w:before="22"/>
              <w:ind w:left="110" w:right="0"/>
              <w:jc w:val="left"/>
              <w:rPr>
                <w:b/>
                <w:sz w:val="22"/>
              </w:rPr>
            </w:pPr>
            <w:r>
              <w:rPr>
                <w:b/>
                <w:sz w:val="22"/>
              </w:rPr>
              <w:t>Total Cheltuieli de gestiune</w:t>
            </w:r>
          </w:p>
        </w:tc>
        <w:tc>
          <w:tcPr>
            <w:tcW w:w="1757" w:type="dxa"/>
          </w:tcPr>
          <w:p>
            <w:pPr>
              <w:pStyle w:val="TableParagraph"/>
              <w:spacing w:line="233" w:lineRule="exact"/>
              <w:rPr>
                <w:b/>
                <w:sz w:val="22"/>
              </w:rPr>
            </w:pPr>
            <w:r>
              <w:rPr>
                <w:b/>
                <w:sz w:val="22"/>
              </w:rPr>
              <w:t>337,997</w:t>
            </w:r>
          </w:p>
        </w:tc>
        <w:tc>
          <w:tcPr>
            <w:tcW w:w="1759" w:type="dxa"/>
          </w:tcPr>
          <w:p>
            <w:pPr>
              <w:pStyle w:val="TableParagraph"/>
              <w:spacing w:line="233" w:lineRule="exact"/>
              <w:rPr>
                <w:b/>
                <w:sz w:val="22"/>
              </w:rPr>
            </w:pPr>
            <w:r>
              <w:rPr>
                <w:b/>
                <w:sz w:val="22"/>
              </w:rPr>
              <w:t>415,497</w:t>
            </w:r>
          </w:p>
        </w:tc>
        <w:tc>
          <w:tcPr>
            <w:tcW w:w="1757" w:type="dxa"/>
          </w:tcPr>
          <w:p>
            <w:pPr>
              <w:pStyle w:val="TableParagraph"/>
              <w:spacing w:line="233" w:lineRule="exact"/>
              <w:rPr>
                <w:b/>
                <w:sz w:val="22"/>
              </w:rPr>
            </w:pPr>
            <w:r>
              <w:rPr>
                <w:b/>
                <w:sz w:val="22"/>
              </w:rPr>
              <w:t>848,037</w:t>
            </w:r>
          </w:p>
        </w:tc>
        <w:tc>
          <w:tcPr>
            <w:tcW w:w="1757" w:type="dxa"/>
          </w:tcPr>
          <w:p>
            <w:pPr>
              <w:pStyle w:val="TableParagraph"/>
              <w:spacing w:line="233" w:lineRule="exact"/>
              <w:ind w:right="91"/>
              <w:rPr>
                <w:b/>
                <w:sz w:val="22"/>
              </w:rPr>
            </w:pPr>
            <w:r>
              <w:rPr>
                <w:b/>
                <w:sz w:val="22"/>
              </w:rPr>
              <w:t>1,453,837</w:t>
            </w:r>
          </w:p>
        </w:tc>
        <w:tc>
          <w:tcPr>
            <w:tcW w:w="1759" w:type="dxa"/>
          </w:tcPr>
          <w:p>
            <w:pPr>
              <w:pStyle w:val="TableParagraph"/>
              <w:spacing w:line="233" w:lineRule="exact"/>
              <w:rPr>
                <w:b/>
                <w:sz w:val="22"/>
              </w:rPr>
            </w:pPr>
            <w:r>
              <w:rPr>
                <w:b/>
                <w:sz w:val="22"/>
              </w:rPr>
              <w:t>2,269,577</w:t>
            </w:r>
          </w:p>
        </w:tc>
      </w:tr>
      <w:tr>
        <w:trPr>
          <w:trHeight w:val="301" w:hRule="atLeast"/>
        </w:trPr>
        <w:tc>
          <w:tcPr>
            <w:tcW w:w="6523" w:type="dxa"/>
          </w:tcPr>
          <w:p>
            <w:pPr>
              <w:pStyle w:val="TableParagraph"/>
              <w:spacing w:before="22"/>
              <w:ind w:left="110" w:right="0"/>
              <w:jc w:val="left"/>
              <w:rPr>
                <w:b/>
                <w:sz w:val="22"/>
              </w:rPr>
            </w:pPr>
            <w:r>
              <w:rPr>
                <w:b/>
                <w:sz w:val="22"/>
              </w:rPr>
              <w:t>Cota Cheltuieli de gestiune</w:t>
            </w:r>
          </w:p>
        </w:tc>
        <w:tc>
          <w:tcPr>
            <w:tcW w:w="1757" w:type="dxa"/>
            <w:shd w:val="clear" w:color="auto" w:fill="FFFF00"/>
          </w:tcPr>
          <w:p>
            <w:pPr>
              <w:pStyle w:val="TableParagraph"/>
              <w:spacing w:line="236" w:lineRule="exact"/>
              <w:rPr>
                <w:b/>
                <w:sz w:val="22"/>
              </w:rPr>
            </w:pPr>
            <w:r>
              <w:rPr>
                <w:b/>
                <w:sz w:val="22"/>
              </w:rPr>
              <w:t>33.80%</w:t>
            </w:r>
          </w:p>
        </w:tc>
        <w:tc>
          <w:tcPr>
            <w:tcW w:w="1759" w:type="dxa"/>
            <w:shd w:val="clear" w:color="auto" w:fill="FFFF00"/>
          </w:tcPr>
          <w:p>
            <w:pPr>
              <w:pStyle w:val="TableParagraph"/>
              <w:spacing w:line="236" w:lineRule="exact"/>
              <w:rPr>
                <w:b/>
                <w:sz w:val="22"/>
              </w:rPr>
            </w:pPr>
            <w:r>
              <w:rPr>
                <w:b/>
                <w:sz w:val="22"/>
              </w:rPr>
              <w:t>20.77%</w:t>
            </w:r>
          </w:p>
        </w:tc>
        <w:tc>
          <w:tcPr>
            <w:tcW w:w="1757" w:type="dxa"/>
            <w:shd w:val="clear" w:color="auto" w:fill="FFFF00"/>
          </w:tcPr>
          <w:p>
            <w:pPr>
              <w:pStyle w:val="TableParagraph"/>
              <w:spacing w:line="236" w:lineRule="exact"/>
              <w:rPr>
                <w:b/>
                <w:sz w:val="22"/>
              </w:rPr>
            </w:pPr>
            <w:r>
              <w:rPr>
                <w:b/>
                <w:sz w:val="22"/>
              </w:rPr>
              <w:t>16.96%</w:t>
            </w:r>
          </w:p>
        </w:tc>
        <w:tc>
          <w:tcPr>
            <w:tcW w:w="1757" w:type="dxa"/>
            <w:shd w:val="clear" w:color="auto" w:fill="FFFF00"/>
          </w:tcPr>
          <w:p>
            <w:pPr>
              <w:pStyle w:val="TableParagraph"/>
              <w:spacing w:line="236" w:lineRule="exact"/>
              <w:ind w:right="91"/>
              <w:rPr>
                <w:b/>
                <w:sz w:val="22"/>
              </w:rPr>
            </w:pPr>
            <w:r>
              <w:rPr>
                <w:b/>
                <w:sz w:val="22"/>
              </w:rPr>
              <w:t>14.54%</w:t>
            </w:r>
          </w:p>
        </w:tc>
        <w:tc>
          <w:tcPr>
            <w:tcW w:w="1759" w:type="dxa"/>
            <w:shd w:val="clear" w:color="auto" w:fill="FFFF00"/>
          </w:tcPr>
          <w:p>
            <w:pPr>
              <w:pStyle w:val="TableParagraph"/>
              <w:spacing w:line="236" w:lineRule="exact"/>
              <w:rPr>
                <w:b/>
                <w:sz w:val="22"/>
              </w:rPr>
            </w:pPr>
            <w:r>
              <w:rPr>
                <w:b/>
                <w:sz w:val="22"/>
              </w:rPr>
              <w:t>11.35%</w:t>
            </w:r>
          </w:p>
        </w:tc>
      </w:tr>
    </w:tbl>
    <w:p>
      <w:pPr>
        <w:spacing w:after="0" w:line="236" w:lineRule="exact"/>
        <w:rPr>
          <w:sz w:val="22"/>
        </w:rPr>
        <w:sectPr>
          <w:pgSz w:w="16850" w:h="11910" w:orient="landscape"/>
          <w:pgMar w:top="600" w:bottom="280" w:left="1000" w:right="280"/>
        </w:sectPr>
      </w:pPr>
    </w:p>
    <w:p>
      <w:pPr>
        <w:pStyle w:val="BodyText"/>
        <w:spacing w:before="4"/>
        <w:rPr>
          <w:sz w:val="17"/>
        </w:rPr>
      </w:pPr>
    </w:p>
    <w:sectPr>
      <w:pgSz w:w="11910" w:h="16840"/>
      <w:pgMar w:top="1580" w:bottom="280" w:left="1680" w:right="16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Georgia">
    <w:altName w:val="Georgia"/>
    <w:charset w:val="0"/>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decimal"/>
      <w:lvlText w:val="%1)"/>
      <w:lvlJc w:val="left"/>
      <w:pPr>
        <w:ind w:left="675" w:hanging="360"/>
        <w:jc w:val="left"/>
      </w:pPr>
      <w:rPr>
        <w:rFonts w:hint="default" w:ascii="Times New Roman" w:hAnsi="Times New Roman" w:eastAsia="Times New Roman" w:cs="Times New Roman"/>
        <w:spacing w:val="0"/>
        <w:w w:val="100"/>
        <w:sz w:val="28"/>
        <w:szCs w:val="28"/>
      </w:rPr>
    </w:lvl>
    <w:lvl w:ilvl="1">
      <w:start w:val="0"/>
      <w:numFmt w:val="bullet"/>
      <w:lvlText w:val="•"/>
      <w:lvlJc w:val="left"/>
      <w:pPr>
        <w:ind w:left="7160" w:hanging="360"/>
      </w:pPr>
      <w:rPr>
        <w:rFonts w:hint="default"/>
      </w:rPr>
    </w:lvl>
    <w:lvl w:ilvl="2">
      <w:start w:val="0"/>
      <w:numFmt w:val="bullet"/>
      <w:lvlText w:val="•"/>
      <w:lvlJc w:val="left"/>
      <w:pPr>
        <w:ind w:left="7527" w:hanging="360"/>
      </w:pPr>
      <w:rPr>
        <w:rFonts w:hint="default"/>
      </w:rPr>
    </w:lvl>
    <w:lvl w:ilvl="3">
      <w:start w:val="0"/>
      <w:numFmt w:val="bullet"/>
      <w:lvlText w:val="•"/>
      <w:lvlJc w:val="left"/>
      <w:pPr>
        <w:ind w:left="7894" w:hanging="360"/>
      </w:pPr>
      <w:rPr>
        <w:rFonts w:hint="default"/>
      </w:rPr>
    </w:lvl>
    <w:lvl w:ilvl="4">
      <w:start w:val="0"/>
      <w:numFmt w:val="bullet"/>
      <w:lvlText w:val="•"/>
      <w:lvlJc w:val="left"/>
      <w:pPr>
        <w:ind w:left="8262" w:hanging="360"/>
      </w:pPr>
      <w:rPr>
        <w:rFonts w:hint="default"/>
      </w:rPr>
    </w:lvl>
    <w:lvl w:ilvl="5">
      <w:start w:val="0"/>
      <w:numFmt w:val="bullet"/>
      <w:lvlText w:val="•"/>
      <w:lvlJc w:val="left"/>
      <w:pPr>
        <w:ind w:left="8629" w:hanging="360"/>
      </w:pPr>
      <w:rPr>
        <w:rFonts w:hint="default"/>
      </w:rPr>
    </w:lvl>
    <w:lvl w:ilvl="6">
      <w:start w:val="0"/>
      <w:numFmt w:val="bullet"/>
      <w:lvlText w:val="•"/>
      <w:lvlJc w:val="left"/>
      <w:pPr>
        <w:ind w:left="8996" w:hanging="360"/>
      </w:pPr>
      <w:rPr>
        <w:rFonts w:hint="default"/>
      </w:rPr>
    </w:lvl>
    <w:lvl w:ilvl="7">
      <w:start w:val="0"/>
      <w:numFmt w:val="bullet"/>
      <w:lvlText w:val="•"/>
      <w:lvlJc w:val="left"/>
      <w:pPr>
        <w:ind w:left="9364" w:hanging="360"/>
      </w:pPr>
      <w:rPr>
        <w:rFonts w:hint="default"/>
      </w:rPr>
    </w:lvl>
    <w:lvl w:ilvl="8">
      <w:start w:val="0"/>
      <w:numFmt w:val="bullet"/>
      <w:lvlText w:val="•"/>
      <w:lvlJc w:val="left"/>
      <w:pPr>
        <w:ind w:left="9731" w:hanging="360"/>
      </w:pPr>
      <w:rPr>
        <w:rFonts w:hint="default"/>
      </w:rPr>
    </w:lvl>
  </w:abstractNum>
  <w:abstractNum w:abstractNumId="2">
    <w:multiLevelType w:val="hybridMultilevel"/>
    <w:lvl w:ilvl="0">
      <w:start w:val="1"/>
      <w:numFmt w:val="decimal"/>
      <w:lvlText w:val="%1."/>
      <w:lvlJc w:val="left"/>
      <w:pPr>
        <w:ind w:left="45" w:hanging="228"/>
        <w:jc w:val="left"/>
      </w:pPr>
      <w:rPr>
        <w:rFonts w:hint="default" w:ascii="Times New Roman" w:hAnsi="Times New Roman" w:eastAsia="Times New Roman" w:cs="Times New Roman"/>
        <w:w w:val="100"/>
        <w:sz w:val="24"/>
        <w:szCs w:val="24"/>
      </w:rPr>
    </w:lvl>
    <w:lvl w:ilvl="1">
      <w:start w:val="0"/>
      <w:numFmt w:val="bullet"/>
      <w:lvlText w:val="•"/>
      <w:lvlJc w:val="left"/>
      <w:pPr>
        <w:ind w:left="1040" w:hanging="228"/>
      </w:pPr>
      <w:rPr>
        <w:rFonts w:hint="default"/>
      </w:rPr>
    </w:lvl>
    <w:lvl w:ilvl="2">
      <w:start w:val="0"/>
      <w:numFmt w:val="bullet"/>
      <w:lvlText w:val="•"/>
      <w:lvlJc w:val="left"/>
      <w:pPr>
        <w:ind w:left="2040" w:hanging="228"/>
      </w:pPr>
      <w:rPr>
        <w:rFonts w:hint="default"/>
      </w:rPr>
    </w:lvl>
    <w:lvl w:ilvl="3">
      <w:start w:val="0"/>
      <w:numFmt w:val="bullet"/>
      <w:lvlText w:val="•"/>
      <w:lvlJc w:val="left"/>
      <w:pPr>
        <w:ind w:left="3040" w:hanging="228"/>
      </w:pPr>
      <w:rPr>
        <w:rFonts w:hint="default"/>
      </w:rPr>
    </w:lvl>
    <w:lvl w:ilvl="4">
      <w:start w:val="0"/>
      <w:numFmt w:val="bullet"/>
      <w:lvlText w:val="•"/>
      <w:lvlJc w:val="left"/>
      <w:pPr>
        <w:ind w:left="4040" w:hanging="228"/>
      </w:pPr>
      <w:rPr>
        <w:rFonts w:hint="default"/>
      </w:rPr>
    </w:lvl>
    <w:lvl w:ilvl="5">
      <w:start w:val="0"/>
      <w:numFmt w:val="bullet"/>
      <w:lvlText w:val="•"/>
      <w:lvlJc w:val="left"/>
      <w:pPr>
        <w:ind w:left="5040" w:hanging="228"/>
      </w:pPr>
      <w:rPr>
        <w:rFonts w:hint="default"/>
      </w:rPr>
    </w:lvl>
    <w:lvl w:ilvl="6">
      <w:start w:val="0"/>
      <w:numFmt w:val="bullet"/>
      <w:lvlText w:val="•"/>
      <w:lvlJc w:val="left"/>
      <w:pPr>
        <w:ind w:left="6040" w:hanging="228"/>
      </w:pPr>
      <w:rPr>
        <w:rFonts w:hint="default"/>
      </w:rPr>
    </w:lvl>
    <w:lvl w:ilvl="7">
      <w:start w:val="0"/>
      <w:numFmt w:val="bullet"/>
      <w:lvlText w:val="•"/>
      <w:lvlJc w:val="left"/>
      <w:pPr>
        <w:ind w:left="7040" w:hanging="228"/>
      </w:pPr>
      <w:rPr>
        <w:rFonts w:hint="default"/>
      </w:rPr>
    </w:lvl>
    <w:lvl w:ilvl="8">
      <w:start w:val="0"/>
      <w:numFmt w:val="bullet"/>
      <w:lvlText w:val="•"/>
      <w:lvlJc w:val="left"/>
      <w:pPr>
        <w:ind w:left="8040" w:hanging="228"/>
      </w:pPr>
      <w:rPr>
        <w:rFonts w:hint="default"/>
      </w:rPr>
    </w:lvl>
  </w:abstractNum>
  <w:abstractNum w:abstractNumId="1">
    <w:multiLevelType w:val="hybridMultilevel"/>
    <w:lvl w:ilvl="0">
      <w:start w:val="1"/>
      <w:numFmt w:val="lowerLetter"/>
      <w:lvlText w:val="%1)"/>
      <w:lvlJc w:val="left"/>
      <w:pPr>
        <w:ind w:left="45" w:hanging="264"/>
        <w:jc w:val="left"/>
      </w:pPr>
      <w:rPr>
        <w:rFonts w:hint="default" w:ascii="Times New Roman" w:hAnsi="Times New Roman" w:eastAsia="Times New Roman" w:cs="Times New Roman"/>
        <w:spacing w:val="-1"/>
        <w:w w:val="100"/>
        <w:sz w:val="24"/>
        <w:szCs w:val="24"/>
      </w:rPr>
    </w:lvl>
    <w:lvl w:ilvl="1">
      <w:start w:val="0"/>
      <w:numFmt w:val="bullet"/>
      <w:lvlText w:val="•"/>
      <w:lvlJc w:val="left"/>
      <w:pPr>
        <w:ind w:left="1040" w:hanging="264"/>
      </w:pPr>
      <w:rPr>
        <w:rFonts w:hint="default"/>
      </w:rPr>
    </w:lvl>
    <w:lvl w:ilvl="2">
      <w:start w:val="0"/>
      <w:numFmt w:val="bullet"/>
      <w:lvlText w:val="•"/>
      <w:lvlJc w:val="left"/>
      <w:pPr>
        <w:ind w:left="2040" w:hanging="264"/>
      </w:pPr>
      <w:rPr>
        <w:rFonts w:hint="default"/>
      </w:rPr>
    </w:lvl>
    <w:lvl w:ilvl="3">
      <w:start w:val="0"/>
      <w:numFmt w:val="bullet"/>
      <w:lvlText w:val="•"/>
      <w:lvlJc w:val="left"/>
      <w:pPr>
        <w:ind w:left="3040" w:hanging="264"/>
      </w:pPr>
      <w:rPr>
        <w:rFonts w:hint="default"/>
      </w:rPr>
    </w:lvl>
    <w:lvl w:ilvl="4">
      <w:start w:val="0"/>
      <w:numFmt w:val="bullet"/>
      <w:lvlText w:val="•"/>
      <w:lvlJc w:val="left"/>
      <w:pPr>
        <w:ind w:left="4040" w:hanging="264"/>
      </w:pPr>
      <w:rPr>
        <w:rFonts w:hint="default"/>
      </w:rPr>
    </w:lvl>
    <w:lvl w:ilvl="5">
      <w:start w:val="0"/>
      <w:numFmt w:val="bullet"/>
      <w:lvlText w:val="•"/>
      <w:lvlJc w:val="left"/>
      <w:pPr>
        <w:ind w:left="5040" w:hanging="264"/>
      </w:pPr>
      <w:rPr>
        <w:rFonts w:hint="default"/>
      </w:rPr>
    </w:lvl>
    <w:lvl w:ilvl="6">
      <w:start w:val="0"/>
      <w:numFmt w:val="bullet"/>
      <w:lvlText w:val="•"/>
      <w:lvlJc w:val="left"/>
      <w:pPr>
        <w:ind w:left="6040" w:hanging="264"/>
      </w:pPr>
      <w:rPr>
        <w:rFonts w:hint="default"/>
      </w:rPr>
    </w:lvl>
    <w:lvl w:ilvl="7">
      <w:start w:val="0"/>
      <w:numFmt w:val="bullet"/>
      <w:lvlText w:val="•"/>
      <w:lvlJc w:val="left"/>
      <w:pPr>
        <w:ind w:left="7040" w:hanging="264"/>
      </w:pPr>
      <w:rPr>
        <w:rFonts w:hint="default"/>
      </w:rPr>
    </w:lvl>
    <w:lvl w:ilvl="8">
      <w:start w:val="0"/>
      <w:numFmt w:val="bullet"/>
      <w:lvlText w:val="•"/>
      <w:lvlJc w:val="left"/>
      <w:pPr>
        <w:ind w:left="8040" w:hanging="264"/>
      </w:pPr>
      <w:rPr>
        <w:rFonts w:hint="default"/>
      </w:rPr>
    </w:lvl>
  </w:abstractNum>
  <w:num w:numId="1">
    <w:abstractNumId w:val="0"/>
  </w:num>
  <w:num w:numId="3">
    <w:abstractNumId w:val="2"/>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rPr>
  </w:style>
  <w:style w:styleId="BodyText" w:type="paragraph">
    <w:name w:val="Body Text"/>
    <w:basedOn w:val="Normal"/>
    <w:uiPriority w:val="1"/>
    <w:qFormat/>
    <w:pPr/>
    <w:rPr>
      <w:rFonts w:ascii="Times New Roman" w:hAnsi="Times New Roman" w:eastAsia="Times New Roman" w:cs="Times New Roman"/>
      <w:sz w:val="28"/>
      <w:szCs w:val="28"/>
    </w:rPr>
  </w:style>
  <w:style w:styleId="Heading1" w:type="paragraph">
    <w:name w:val="Heading 1"/>
    <w:basedOn w:val="Normal"/>
    <w:uiPriority w:val="1"/>
    <w:qFormat/>
    <w:pPr>
      <w:ind w:left="780"/>
      <w:outlineLvl w:val="1"/>
    </w:pPr>
    <w:rPr>
      <w:rFonts w:ascii="Times New Roman" w:hAnsi="Times New Roman" w:eastAsia="Times New Roman" w:cs="Times New Roman"/>
      <w:b/>
      <w:bCs/>
      <w:sz w:val="28"/>
      <w:szCs w:val="28"/>
    </w:rPr>
  </w:style>
  <w:style w:styleId="ListParagraph" w:type="paragraph">
    <w:name w:val="List Paragraph"/>
    <w:basedOn w:val="Normal"/>
    <w:uiPriority w:val="1"/>
    <w:qFormat/>
    <w:pPr>
      <w:spacing w:line="322" w:lineRule="exact"/>
      <w:ind w:left="676" w:hanging="360"/>
    </w:pPr>
    <w:rPr>
      <w:rFonts w:ascii="Times New Roman" w:hAnsi="Times New Roman" w:eastAsia="Times New Roman" w:cs="Times New Roman"/>
    </w:rPr>
  </w:style>
  <w:style w:styleId="TableParagraph" w:type="paragraph">
    <w:name w:val="Table Paragraph"/>
    <w:basedOn w:val="Normal"/>
    <w:uiPriority w:val="1"/>
    <w:qFormat/>
    <w:pPr>
      <w:spacing w:before="46"/>
      <w:ind w:right="93"/>
      <w:jc w:val="right"/>
    </w:pPr>
    <w:rPr>
      <w:rFonts w:ascii="Times New Roman" w:hAnsi="Times New Roman" w:eastAsia="Times New Roman" w:cs="Times New Roman"/>
    </w:rPr>
  </w:style>
</w:styles>
</file>

<file path=word/_rels/document.xml.rels><?xml version="1.0" encoding="UTF-8" standalone="yes"?>
<Relationships xmlns="http://schemas.openxmlformats.org/package/2006/relationships"><Relationship Id="rId8" Type="http://schemas.openxmlformats.org/officeDocument/2006/relationships/hyperlink" Target="mailto:info@parlament.md" TargetMode="External"/><Relationship Id="rId13" Type="http://schemas.openxmlformats.org/officeDocument/2006/relationships/customXml" Target="../customXml/item3.xml"/><Relationship Id="rId3"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customXml" Target="../customXml/item2.xml"/><Relationship Id="rId2"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customXml" Target="../customXml/item1.xml"/><Relationship Id="rId5" Type="http://schemas.openxmlformats.org/officeDocument/2006/relationships/image" Target="media/image1.png"/><Relationship Id="rId10" Type="http://schemas.openxmlformats.org/officeDocument/2006/relationships/numbering" Target="numbering.xml"/><Relationship Id="rId4" Type="http://schemas.openxmlformats.org/officeDocument/2006/relationships/settings" Target="settings.xml"/><Relationship Id="rId9" Type="http://schemas.openxmlformats.org/officeDocument/2006/relationships/hyperlink" Target="http://www.parlament.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8CB0266-9B10-4F96-BEB3-03D9CE2B7766}"/>
</file>

<file path=customXml/itemProps2.xml><?xml version="1.0" encoding="utf-8"?>
<ds:datastoreItem xmlns:ds="http://schemas.openxmlformats.org/officeDocument/2006/customXml" ds:itemID="{E7B0BA5B-A19A-40CB-A1E2-D350162944DD}"/>
</file>

<file path=customXml/itemProps3.xml><?xml version="1.0" encoding="utf-8"?>
<ds:datastoreItem xmlns:ds="http://schemas.openxmlformats.org/officeDocument/2006/customXml" ds:itemID="{3AE90330-BFB6-40E0-89ED-69063D0A8424}"/>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304.2020.ro</dc:title>
  <dcterms:created xsi:type="dcterms:W3CDTF">2020-07-08T08:09:09Z</dcterms:created>
  <dcterms:modified xsi:type="dcterms:W3CDTF">2020-07-08T08:09:09Z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Acrobat PDFMaker 19 для Word</vt:lpwstr>
  </property>
  <property fmtid="{D5CDD505-2E9C-101B-9397-08002B2CF9AE}" pid="3" name="ContentTypeId">
    <vt:lpwstr>0x010100DB3619079C70BA4C8A987488329513F90014B383F883BBE84C9A1272D50E465059</vt:lpwstr>
  </property>
  <property fmtid="{D5CDD505-2E9C-101B-9397-08002B2CF9AE}" pid="5" name="Tipul documentului">
    <vt:lpwstr>Aviz</vt:lpwstr>
  </property>
</Properties>
</file>