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53D" w:rsidRPr="00CE553D" w:rsidRDefault="00CE553D" w:rsidP="00CE553D">
      <w:pPr>
        <w:spacing w:after="60"/>
        <w:jc w:val="right"/>
        <w:rPr>
          <w:b/>
          <w:bCs/>
          <w:lang w:val="ro-MD"/>
        </w:rPr>
      </w:pPr>
      <w:bookmarkStart w:id="0" w:name="_GoBack"/>
      <w:bookmarkEnd w:id="0"/>
    </w:p>
    <w:p w:rsidR="00CE553D" w:rsidRPr="00CE553D" w:rsidRDefault="00CE553D" w:rsidP="00CE553D">
      <w:pPr>
        <w:spacing w:after="60"/>
        <w:jc w:val="right"/>
        <w:rPr>
          <w:b/>
          <w:bCs/>
          <w:lang w:val="ro-MD"/>
        </w:rPr>
      </w:pPr>
    </w:p>
    <w:p w:rsidR="00CE553D" w:rsidRPr="00CE553D" w:rsidRDefault="00CE553D" w:rsidP="00CE553D">
      <w:pPr>
        <w:spacing w:after="60"/>
        <w:jc w:val="right"/>
        <w:rPr>
          <w:b/>
          <w:bCs/>
          <w:lang w:val="ro-MD"/>
        </w:rPr>
      </w:pPr>
    </w:p>
    <w:p w:rsidR="00CE553D" w:rsidRPr="00CE553D" w:rsidRDefault="00CE553D" w:rsidP="00CE553D">
      <w:pPr>
        <w:spacing w:after="60"/>
        <w:jc w:val="right"/>
        <w:rPr>
          <w:b/>
          <w:bCs/>
          <w:lang w:val="ro-MD"/>
        </w:rPr>
      </w:pPr>
    </w:p>
    <w:p w:rsidR="00CE553D" w:rsidRPr="00CE553D" w:rsidRDefault="00CE553D" w:rsidP="00CE553D">
      <w:pPr>
        <w:spacing w:after="60"/>
        <w:jc w:val="right"/>
        <w:rPr>
          <w:b/>
          <w:bCs/>
          <w:lang w:val="ro-MD"/>
        </w:rPr>
      </w:pPr>
    </w:p>
    <w:p w:rsidR="00CE553D" w:rsidRPr="00CE553D" w:rsidRDefault="00CE553D" w:rsidP="00CE553D">
      <w:pPr>
        <w:spacing w:after="60"/>
        <w:jc w:val="right"/>
        <w:rPr>
          <w:b/>
          <w:bCs/>
          <w:lang w:val="ro-MD"/>
        </w:rPr>
      </w:pPr>
    </w:p>
    <w:p w:rsidR="00CE553D" w:rsidRPr="00CE553D" w:rsidRDefault="00CE553D" w:rsidP="00CE553D">
      <w:pPr>
        <w:spacing w:after="60"/>
        <w:jc w:val="right"/>
        <w:rPr>
          <w:b/>
          <w:bCs/>
          <w:lang w:val="ro-MD"/>
        </w:rPr>
      </w:pPr>
    </w:p>
    <w:p w:rsidR="00CE553D" w:rsidRPr="00CE553D" w:rsidRDefault="00CE553D" w:rsidP="00CE553D">
      <w:pPr>
        <w:spacing w:after="60"/>
        <w:jc w:val="right"/>
        <w:rPr>
          <w:b/>
          <w:bCs/>
          <w:lang w:val="ro-MD"/>
        </w:rPr>
      </w:pPr>
    </w:p>
    <w:p w:rsidR="00CE553D" w:rsidRPr="00CE553D" w:rsidRDefault="00CE553D" w:rsidP="00CE553D">
      <w:pPr>
        <w:spacing w:after="60"/>
        <w:jc w:val="right"/>
        <w:rPr>
          <w:b/>
          <w:bCs/>
          <w:lang w:val="ro-MD"/>
        </w:rPr>
      </w:pPr>
    </w:p>
    <w:p w:rsidR="00CE553D" w:rsidRPr="00CE553D" w:rsidRDefault="00CE553D" w:rsidP="00CE553D">
      <w:pPr>
        <w:spacing w:after="60"/>
        <w:jc w:val="right"/>
        <w:rPr>
          <w:b/>
          <w:bCs/>
          <w:lang w:val="ro-MD"/>
        </w:rPr>
      </w:pPr>
    </w:p>
    <w:p w:rsidR="00CE553D" w:rsidRPr="00CE553D" w:rsidRDefault="00CE553D" w:rsidP="00CE553D">
      <w:pPr>
        <w:spacing w:after="60"/>
        <w:jc w:val="right"/>
        <w:rPr>
          <w:b/>
          <w:bCs/>
          <w:lang w:val="ro-MD"/>
        </w:rPr>
      </w:pPr>
    </w:p>
    <w:p w:rsidR="00CE553D" w:rsidRPr="00CE553D" w:rsidRDefault="00CE553D" w:rsidP="00CE553D">
      <w:pPr>
        <w:spacing w:after="60"/>
        <w:jc w:val="right"/>
        <w:rPr>
          <w:b/>
          <w:bCs/>
          <w:lang w:val="ro-MD"/>
        </w:rPr>
      </w:pPr>
      <w:r w:rsidRPr="00CE553D">
        <w:rPr>
          <w:b/>
          <w:bCs/>
          <w:lang w:val="ro-MD"/>
        </w:rPr>
        <w:t>Biroului Permanent</w:t>
      </w:r>
    </w:p>
    <w:p w:rsidR="00CE553D" w:rsidRPr="00CE553D" w:rsidRDefault="00CE553D" w:rsidP="00CE553D">
      <w:pPr>
        <w:spacing w:after="60"/>
        <w:jc w:val="right"/>
        <w:rPr>
          <w:lang w:val="ro-MD"/>
        </w:rPr>
      </w:pPr>
      <w:r w:rsidRPr="00CE553D">
        <w:rPr>
          <w:b/>
          <w:bCs/>
          <w:lang w:val="ro-MD"/>
        </w:rPr>
        <w:t>al Parlamentului</w:t>
      </w:r>
    </w:p>
    <w:p w:rsidR="00CE553D" w:rsidRPr="00CE553D" w:rsidRDefault="00CE553D" w:rsidP="00CE553D">
      <w:pPr>
        <w:spacing w:after="60"/>
        <w:rPr>
          <w:lang w:val="ro-MD"/>
        </w:rPr>
      </w:pPr>
      <w:r w:rsidRPr="00CE553D">
        <w:rPr>
          <w:lang w:val="ro-MD"/>
        </w:rPr>
        <w:t> </w:t>
      </w:r>
    </w:p>
    <w:p w:rsidR="00CE553D" w:rsidRPr="00CE553D" w:rsidRDefault="00CE553D" w:rsidP="00CE553D">
      <w:pPr>
        <w:spacing w:after="60"/>
        <w:rPr>
          <w:lang w:val="ro-MD"/>
        </w:rPr>
      </w:pPr>
      <w:r w:rsidRPr="00CE553D">
        <w:rPr>
          <w:lang w:val="ro-MD"/>
        </w:rPr>
        <w:t> </w:t>
      </w:r>
    </w:p>
    <w:p w:rsidR="00CE553D" w:rsidRPr="00CE553D" w:rsidRDefault="00CE553D" w:rsidP="00CE553D">
      <w:pPr>
        <w:spacing w:after="60"/>
        <w:rPr>
          <w:lang w:val="ro-MD"/>
        </w:rPr>
      </w:pPr>
      <w:r w:rsidRPr="00CE553D">
        <w:rPr>
          <w:lang w:val="ro-MD"/>
        </w:rPr>
        <w:t> </w:t>
      </w:r>
    </w:p>
    <w:p w:rsidR="00CE553D" w:rsidRPr="00CE553D" w:rsidRDefault="00CE553D" w:rsidP="00CE553D">
      <w:pPr>
        <w:spacing w:after="60"/>
        <w:rPr>
          <w:lang w:val="ro-MD"/>
        </w:rPr>
      </w:pPr>
      <w:r w:rsidRPr="00CE553D">
        <w:rPr>
          <w:lang w:val="ro-MD"/>
        </w:rPr>
        <w:t> </w:t>
      </w:r>
    </w:p>
    <w:p w:rsidR="00CE553D" w:rsidRPr="00CE553D" w:rsidRDefault="00CE553D" w:rsidP="00CE553D">
      <w:pPr>
        <w:ind w:firstLine="708"/>
        <w:jc w:val="both"/>
        <w:rPr>
          <w:bCs/>
          <w:lang w:val="ro-MD"/>
        </w:rPr>
      </w:pPr>
      <w:r w:rsidRPr="00CE553D">
        <w:rPr>
          <w:bCs/>
          <w:lang w:val="ro-MD"/>
        </w:rPr>
        <w:t>În temeiul art.73 al Constituţiei Republicii Moldova şi art.47 din Regulamentul Parlamentului,  se înaintează cu titlu de iniţiativă legislativă proiectul Legii privind modificarea şi completarea unor acte legislative.</w:t>
      </w:r>
    </w:p>
    <w:p w:rsidR="00CE553D" w:rsidRPr="00CE553D" w:rsidRDefault="00CE553D" w:rsidP="00CE553D">
      <w:pPr>
        <w:jc w:val="both"/>
        <w:rPr>
          <w:bCs/>
          <w:lang w:val="ro-MD"/>
        </w:rPr>
      </w:pPr>
    </w:p>
    <w:p w:rsidR="00CE553D" w:rsidRPr="00CE553D" w:rsidRDefault="00CE553D" w:rsidP="00CE553D">
      <w:pPr>
        <w:spacing w:after="60"/>
        <w:rPr>
          <w:lang w:val="ro-MD"/>
        </w:rPr>
      </w:pPr>
      <w:r w:rsidRPr="00CE553D">
        <w:rPr>
          <w:lang w:val="ro-MD"/>
        </w:rPr>
        <w:t> </w:t>
      </w:r>
    </w:p>
    <w:p w:rsidR="00CE553D" w:rsidRPr="00CE553D" w:rsidRDefault="00CE553D" w:rsidP="00CE553D">
      <w:pPr>
        <w:spacing w:after="60"/>
        <w:rPr>
          <w:lang w:val="ro-MD"/>
        </w:rPr>
      </w:pPr>
    </w:p>
    <w:p w:rsidR="00CE553D" w:rsidRPr="00CE553D" w:rsidRDefault="00CE553D" w:rsidP="00CE553D">
      <w:pPr>
        <w:spacing w:after="60"/>
        <w:ind w:firstLine="708"/>
        <w:rPr>
          <w:lang w:val="ro-MD"/>
        </w:rPr>
      </w:pPr>
      <w:r w:rsidRPr="00CE553D">
        <w:rPr>
          <w:b/>
          <w:lang w:val="ro-MD"/>
        </w:rPr>
        <w:t>Anexe</w:t>
      </w:r>
      <w:r w:rsidRPr="00CE553D">
        <w:rPr>
          <w:lang w:val="ro-MD"/>
        </w:rPr>
        <w:t xml:space="preserve">: </w:t>
      </w:r>
    </w:p>
    <w:p w:rsidR="00CE553D" w:rsidRPr="00CE553D" w:rsidRDefault="00CE553D" w:rsidP="00CE553D">
      <w:pPr>
        <w:numPr>
          <w:ilvl w:val="0"/>
          <w:numId w:val="6"/>
        </w:numPr>
        <w:spacing w:after="60"/>
        <w:rPr>
          <w:lang w:val="ro-MD"/>
        </w:rPr>
      </w:pPr>
      <w:r w:rsidRPr="00CE553D">
        <w:rPr>
          <w:lang w:val="ro-MD"/>
        </w:rPr>
        <w:t>Proiectul legii – 3 file</w:t>
      </w:r>
    </w:p>
    <w:p w:rsidR="00CE553D" w:rsidRPr="00CE553D" w:rsidRDefault="00CE553D" w:rsidP="00CE553D">
      <w:pPr>
        <w:numPr>
          <w:ilvl w:val="0"/>
          <w:numId w:val="6"/>
        </w:numPr>
        <w:spacing w:after="60"/>
        <w:rPr>
          <w:lang w:val="ro-MD"/>
        </w:rPr>
      </w:pPr>
      <w:r w:rsidRPr="00CE553D">
        <w:rPr>
          <w:lang w:val="ro-MD"/>
        </w:rPr>
        <w:t>Nota informativă – 4 file.</w:t>
      </w:r>
    </w:p>
    <w:p w:rsidR="00CE553D" w:rsidRPr="00CE553D" w:rsidRDefault="00CE553D" w:rsidP="00CE553D">
      <w:pPr>
        <w:spacing w:after="60"/>
        <w:rPr>
          <w:lang w:val="ro-MD"/>
        </w:rPr>
      </w:pPr>
    </w:p>
    <w:p w:rsidR="00CE553D" w:rsidRPr="00CE553D" w:rsidRDefault="00CE553D" w:rsidP="00CE553D">
      <w:pPr>
        <w:spacing w:after="60"/>
        <w:rPr>
          <w:lang w:val="ro-MD"/>
        </w:rPr>
      </w:pPr>
    </w:p>
    <w:p w:rsidR="00CE553D" w:rsidRPr="00CE553D" w:rsidRDefault="00CE553D" w:rsidP="00CE553D">
      <w:pPr>
        <w:spacing w:after="60"/>
        <w:jc w:val="right"/>
        <w:rPr>
          <w:b/>
          <w:lang w:val="ro-MD"/>
        </w:rPr>
      </w:pPr>
      <w:r w:rsidRPr="00CE553D">
        <w:rPr>
          <w:b/>
          <w:lang w:val="ro-MD"/>
        </w:rPr>
        <w:t>Deputați în Parlament</w:t>
      </w:r>
    </w:p>
    <w:p w:rsidR="00CE553D" w:rsidRPr="00CE553D" w:rsidRDefault="00CE553D" w:rsidP="00CE553D">
      <w:pPr>
        <w:rPr>
          <w:b/>
        </w:rPr>
      </w:pPr>
    </w:p>
    <w:p w:rsidR="00CE553D" w:rsidRPr="00CE553D" w:rsidRDefault="00CE553D" w:rsidP="00CE553D">
      <w:pPr>
        <w:jc w:val="right"/>
        <w:rPr>
          <w:lang w:val="en-US"/>
        </w:rPr>
      </w:pPr>
      <w:r w:rsidRPr="00CE553D">
        <w:br w:type="page"/>
      </w:r>
      <w:r w:rsidRPr="00CE553D">
        <w:rPr>
          <w:lang w:val="en-US"/>
        </w:rPr>
        <w:lastRenderedPageBreak/>
        <w:t>proiect</w:t>
      </w:r>
    </w:p>
    <w:p w:rsidR="00CE553D" w:rsidRPr="00CE553D" w:rsidRDefault="00CE553D" w:rsidP="00CE553D">
      <w:pPr>
        <w:jc w:val="right"/>
        <w:rPr>
          <w:lang w:val="en-US"/>
        </w:rPr>
      </w:pPr>
    </w:p>
    <w:p w:rsidR="00CE553D" w:rsidRPr="00CE553D" w:rsidRDefault="00CE553D" w:rsidP="00CE553D">
      <w:pPr>
        <w:jc w:val="center"/>
        <w:rPr>
          <w:b/>
          <w:lang w:val="en-US"/>
        </w:rPr>
      </w:pPr>
      <w:r w:rsidRPr="00CE553D">
        <w:rPr>
          <w:b/>
          <w:lang w:val="en-US"/>
        </w:rPr>
        <w:t xml:space="preserve">Lege </w:t>
      </w:r>
    </w:p>
    <w:p w:rsidR="00CE553D" w:rsidRPr="00CE553D" w:rsidRDefault="00CE553D" w:rsidP="00CE553D">
      <w:pPr>
        <w:jc w:val="center"/>
        <w:rPr>
          <w:b/>
          <w:lang w:val="en-US"/>
        </w:rPr>
      </w:pPr>
      <w:r w:rsidRPr="00CE553D">
        <w:rPr>
          <w:b/>
          <w:lang w:val="en-US"/>
        </w:rPr>
        <w:t>pentru modificarea și completarea unor acte legislative</w:t>
      </w:r>
    </w:p>
    <w:p w:rsidR="00CE553D" w:rsidRPr="00CE553D" w:rsidRDefault="00CE553D" w:rsidP="00CE553D">
      <w:pPr>
        <w:jc w:val="center"/>
        <w:rPr>
          <w:b/>
          <w:lang w:val="en-US"/>
        </w:rPr>
      </w:pPr>
    </w:p>
    <w:p w:rsidR="00CE553D" w:rsidRPr="00CE553D" w:rsidRDefault="00CE553D" w:rsidP="00CE553D">
      <w:pPr>
        <w:jc w:val="both"/>
        <w:rPr>
          <w:lang w:val="en-US"/>
        </w:rPr>
      </w:pPr>
      <w:r w:rsidRPr="00CE553D">
        <w:rPr>
          <w:lang w:val="en-US"/>
        </w:rPr>
        <w:t>Parlamentul adoptă prezenta lege organică.</w:t>
      </w:r>
    </w:p>
    <w:p w:rsidR="00CE553D" w:rsidRPr="00CE553D" w:rsidRDefault="00CE553D" w:rsidP="00CE553D">
      <w:pPr>
        <w:jc w:val="both"/>
        <w:rPr>
          <w:b/>
          <w:lang w:val="en-US"/>
        </w:rPr>
      </w:pPr>
    </w:p>
    <w:p w:rsidR="00CE553D" w:rsidRPr="00CE553D" w:rsidRDefault="00CE553D" w:rsidP="00CE553D">
      <w:pPr>
        <w:jc w:val="both"/>
        <w:rPr>
          <w:b/>
          <w:lang w:val="en-US"/>
        </w:rPr>
      </w:pPr>
      <w:r w:rsidRPr="00CE553D">
        <w:rPr>
          <w:b/>
          <w:lang w:val="en-US"/>
        </w:rPr>
        <w:t xml:space="preserve">Art.I – </w:t>
      </w:r>
      <w:r w:rsidRPr="00CE553D">
        <w:rPr>
          <w:lang w:val="en-US"/>
        </w:rPr>
        <w:t>Codul de procedură penală al Republicii Moldova nr.122-XV  din  14 martie 2003 (Monitorul Oficial al Republicii Moldova nr.104-110/447 din 07.06.2003), cu modificările ulterioare, se modifică și se completează după cum urmează:</w:t>
      </w:r>
    </w:p>
    <w:p w:rsidR="00CE553D" w:rsidRPr="00CE553D" w:rsidRDefault="00CE553D" w:rsidP="00CE553D">
      <w:pPr>
        <w:pStyle w:val="a3"/>
        <w:spacing w:after="0" w:line="240" w:lineRule="auto"/>
        <w:ind w:left="360"/>
        <w:jc w:val="both"/>
        <w:rPr>
          <w:rFonts w:ascii="Times New Roman" w:hAnsi="Times New Roman"/>
          <w:bCs/>
          <w:sz w:val="24"/>
          <w:szCs w:val="24"/>
        </w:rPr>
      </w:pPr>
    </w:p>
    <w:p w:rsidR="00CE553D" w:rsidRPr="00CE553D" w:rsidRDefault="00CE553D" w:rsidP="00CE553D">
      <w:pPr>
        <w:pStyle w:val="a3"/>
        <w:numPr>
          <w:ilvl w:val="0"/>
          <w:numId w:val="4"/>
        </w:numPr>
        <w:spacing w:after="0" w:line="240" w:lineRule="auto"/>
        <w:ind w:left="0" w:firstLine="360"/>
        <w:jc w:val="both"/>
        <w:rPr>
          <w:rFonts w:ascii="Times New Roman" w:hAnsi="Times New Roman"/>
          <w:bCs/>
          <w:sz w:val="24"/>
          <w:szCs w:val="24"/>
        </w:rPr>
      </w:pPr>
      <w:r w:rsidRPr="00CE553D">
        <w:rPr>
          <w:rFonts w:ascii="Times New Roman" w:hAnsi="Times New Roman"/>
          <w:bCs/>
          <w:sz w:val="24"/>
          <w:szCs w:val="24"/>
        </w:rPr>
        <w:t>Articolul 229</w:t>
      </w:r>
      <w:r w:rsidRPr="00CE553D">
        <w:rPr>
          <w:rFonts w:ascii="Times New Roman" w:hAnsi="Times New Roman"/>
          <w:bCs/>
          <w:sz w:val="24"/>
          <w:szCs w:val="24"/>
          <w:vertAlign w:val="superscript"/>
        </w:rPr>
        <w:t>3</w:t>
      </w:r>
      <w:r w:rsidRPr="00CE553D">
        <w:rPr>
          <w:rFonts w:ascii="Times New Roman" w:hAnsi="Times New Roman"/>
          <w:bCs/>
          <w:sz w:val="24"/>
          <w:szCs w:val="24"/>
        </w:rPr>
        <w:t>, se expune în următoarea redacție: „</w:t>
      </w:r>
      <w:r w:rsidRPr="00CE553D">
        <w:rPr>
          <w:rFonts w:ascii="Times New Roman" w:eastAsia="Times New Roman" w:hAnsi="Times New Roman" w:cs="Courier New"/>
          <w:sz w:val="24"/>
          <w:szCs w:val="20"/>
        </w:rPr>
        <w:t xml:space="preserve">Bunurile infracționale identificate se indisponibilizează, după caz, prin încheierea instanței de judecată de punere sub sechestru sau prin ordinul de înghețare emis în condițiile Legii nr.48 din 30.032017 cu privire la Agenția </w:t>
      </w:r>
      <w:r w:rsidRPr="00CE553D">
        <w:rPr>
          <w:rFonts w:ascii="Times New Roman" w:hAnsi="Times New Roman"/>
          <w:sz w:val="24"/>
          <w:szCs w:val="24"/>
        </w:rPr>
        <w:t xml:space="preserve">de Recuperare a </w:t>
      </w:r>
      <w:r w:rsidRPr="00CE553D">
        <w:rPr>
          <w:rFonts w:ascii="Times New Roman" w:eastAsia="Times New Roman" w:hAnsi="Times New Roman" w:cs="Courier New"/>
          <w:sz w:val="24"/>
          <w:szCs w:val="20"/>
        </w:rPr>
        <w:t>Bunurilor Infracționale.”</w:t>
      </w:r>
    </w:p>
    <w:p w:rsidR="00CE553D" w:rsidRPr="00CE553D" w:rsidRDefault="00CE553D" w:rsidP="00CE553D">
      <w:pPr>
        <w:pStyle w:val="a3"/>
        <w:spacing w:after="0" w:line="240" w:lineRule="auto"/>
        <w:ind w:left="360"/>
        <w:jc w:val="both"/>
        <w:rPr>
          <w:rFonts w:ascii="Times New Roman" w:hAnsi="Times New Roman"/>
          <w:bCs/>
          <w:sz w:val="24"/>
          <w:szCs w:val="24"/>
        </w:rPr>
      </w:pPr>
    </w:p>
    <w:p w:rsidR="00CE553D" w:rsidRPr="00CE553D" w:rsidRDefault="00CE553D" w:rsidP="00CE553D">
      <w:pPr>
        <w:pStyle w:val="a3"/>
        <w:spacing w:after="0" w:line="240" w:lineRule="auto"/>
        <w:ind w:left="0"/>
        <w:jc w:val="both"/>
        <w:rPr>
          <w:rFonts w:ascii="Times New Roman" w:hAnsi="Times New Roman"/>
          <w:bCs/>
          <w:sz w:val="24"/>
          <w:szCs w:val="24"/>
        </w:rPr>
      </w:pPr>
    </w:p>
    <w:p w:rsidR="00CE553D" w:rsidRPr="00CE553D" w:rsidRDefault="00CE553D" w:rsidP="00CE553D">
      <w:pPr>
        <w:pStyle w:val="a3"/>
        <w:numPr>
          <w:ilvl w:val="0"/>
          <w:numId w:val="4"/>
        </w:numPr>
        <w:spacing w:after="0" w:line="240" w:lineRule="auto"/>
        <w:ind w:left="0" w:firstLine="360"/>
        <w:jc w:val="both"/>
        <w:rPr>
          <w:rFonts w:ascii="Times New Roman" w:eastAsia="Times New Roman" w:hAnsi="Times New Roman"/>
          <w:sz w:val="24"/>
          <w:szCs w:val="24"/>
          <w:lang w:eastAsia="ro-RO"/>
        </w:rPr>
      </w:pPr>
      <w:r w:rsidRPr="00CE553D">
        <w:rPr>
          <w:rFonts w:ascii="Times New Roman" w:eastAsia="Times New Roman" w:hAnsi="Times New Roman"/>
          <w:bCs/>
          <w:sz w:val="24"/>
          <w:szCs w:val="24"/>
          <w:lang w:eastAsia="ro-RO"/>
        </w:rPr>
        <w:t>La articolul 229</w:t>
      </w:r>
      <w:r w:rsidRPr="00CE553D">
        <w:rPr>
          <w:rFonts w:ascii="Times New Roman" w:eastAsia="Times New Roman" w:hAnsi="Times New Roman"/>
          <w:bCs/>
          <w:sz w:val="24"/>
          <w:szCs w:val="24"/>
          <w:vertAlign w:val="superscript"/>
          <w:lang w:eastAsia="ro-RO"/>
        </w:rPr>
        <w:t>5</w:t>
      </w:r>
      <w:r w:rsidRPr="00CE553D">
        <w:rPr>
          <w:rFonts w:ascii="Times New Roman" w:eastAsia="Times New Roman" w:hAnsi="Times New Roman"/>
          <w:color w:val="000000"/>
          <w:sz w:val="24"/>
          <w:szCs w:val="24"/>
        </w:rPr>
        <w:t>, alineatul (1) după textul „acestea” se completează cu textul „confiscîndu-se și”, iar la sfîrșitul propoziției se completează cu expresia „iar în lipsa acestora, trecerea gratuită în proprietatea statului”.</w:t>
      </w:r>
    </w:p>
    <w:p w:rsidR="00CE553D" w:rsidRPr="00CE553D" w:rsidRDefault="00CE553D" w:rsidP="00CE553D">
      <w:pPr>
        <w:pStyle w:val="a3"/>
        <w:rPr>
          <w:rFonts w:ascii="Times New Roman" w:eastAsia="Times New Roman" w:hAnsi="Times New Roman"/>
          <w:sz w:val="24"/>
          <w:szCs w:val="24"/>
          <w:lang w:eastAsia="ro-RO"/>
        </w:rPr>
      </w:pPr>
    </w:p>
    <w:p w:rsidR="00CE553D" w:rsidRPr="00CE553D" w:rsidRDefault="00CE553D" w:rsidP="00CE553D">
      <w:pPr>
        <w:pStyle w:val="a3"/>
        <w:numPr>
          <w:ilvl w:val="0"/>
          <w:numId w:val="4"/>
        </w:numPr>
        <w:spacing w:after="0" w:line="240" w:lineRule="auto"/>
        <w:ind w:left="0" w:firstLine="360"/>
        <w:jc w:val="both"/>
        <w:rPr>
          <w:rFonts w:ascii="Times New Roman" w:hAnsi="Times New Roman"/>
          <w:bCs/>
          <w:sz w:val="24"/>
          <w:szCs w:val="24"/>
        </w:rPr>
      </w:pPr>
      <w:r w:rsidRPr="00CE553D">
        <w:rPr>
          <w:rFonts w:ascii="Times New Roman" w:hAnsi="Times New Roman"/>
          <w:bCs/>
          <w:sz w:val="24"/>
          <w:szCs w:val="24"/>
        </w:rPr>
        <w:t>La articolul 258, alineatul (3) textul „</w:t>
      </w:r>
      <w:r w:rsidRPr="00CE553D">
        <w:rPr>
          <w:rFonts w:ascii="Times New Roman" w:hAnsi="Times New Roman"/>
          <w:sz w:val="24"/>
          <w:szCs w:val="24"/>
        </w:rPr>
        <w:t>În cazul delegației dispuse Agenției de Recuperare a Bunurilor Infracționale, termenul de executare nu poate depăși 60 de zile.</w:t>
      </w:r>
      <w:r w:rsidRPr="00CE553D">
        <w:rPr>
          <w:rFonts w:ascii="Times New Roman" w:hAnsi="Times New Roman"/>
          <w:bCs/>
          <w:sz w:val="24"/>
          <w:szCs w:val="24"/>
        </w:rPr>
        <w:t>” se înlocuiește cu textul „</w:t>
      </w:r>
      <w:r w:rsidRPr="00CE553D">
        <w:rPr>
          <w:rFonts w:ascii="Times New Roman" w:hAnsi="Times New Roman"/>
          <w:sz w:val="24"/>
          <w:szCs w:val="24"/>
        </w:rPr>
        <w:t>Termenul de executare a delegației dispuse Agenției de Recuperare a Bunurilor Infracționale nu poate depăși termenul rezonabil al urmăririi penale, înştiinţînd organul de urmărire penală despre rezultatele investigațiilor financiare paralele desfășurate în vederea recuperării bunurilor infracţionale la fiecare 60 de zile.</w:t>
      </w:r>
      <w:r w:rsidRPr="00CE553D">
        <w:rPr>
          <w:rFonts w:ascii="Times New Roman" w:hAnsi="Times New Roman"/>
          <w:bCs/>
          <w:sz w:val="24"/>
          <w:szCs w:val="24"/>
        </w:rPr>
        <w:t>”</w:t>
      </w:r>
    </w:p>
    <w:p w:rsidR="00CE553D" w:rsidRPr="00CE553D" w:rsidRDefault="00CE553D" w:rsidP="00CE553D">
      <w:pPr>
        <w:tabs>
          <w:tab w:val="left" w:pos="0"/>
          <w:tab w:val="left" w:pos="540"/>
          <w:tab w:val="left" w:pos="720"/>
          <w:tab w:val="left" w:pos="900"/>
        </w:tabs>
        <w:jc w:val="both"/>
        <w:rPr>
          <w:bCs/>
          <w:lang w:val="en-US"/>
        </w:rPr>
      </w:pPr>
    </w:p>
    <w:p w:rsidR="00CE553D" w:rsidRPr="00CE553D" w:rsidRDefault="00CE553D" w:rsidP="00CE553D">
      <w:pPr>
        <w:tabs>
          <w:tab w:val="left" w:pos="0"/>
          <w:tab w:val="left" w:pos="540"/>
          <w:tab w:val="left" w:pos="720"/>
          <w:tab w:val="left" w:pos="900"/>
        </w:tabs>
        <w:jc w:val="both"/>
        <w:rPr>
          <w:bCs/>
          <w:lang w:val="en-US"/>
        </w:rPr>
      </w:pPr>
    </w:p>
    <w:p w:rsidR="00CE553D" w:rsidRPr="00CE553D" w:rsidRDefault="00CE553D" w:rsidP="00CE553D">
      <w:pPr>
        <w:jc w:val="both"/>
        <w:rPr>
          <w:bCs/>
          <w:lang w:val="en-US" w:eastAsia="ro-RO"/>
        </w:rPr>
      </w:pPr>
      <w:r w:rsidRPr="00CE553D">
        <w:rPr>
          <w:b/>
          <w:bCs/>
          <w:lang w:val="en-US" w:eastAsia="ro-RO"/>
        </w:rPr>
        <w:t xml:space="preserve">Art.II – </w:t>
      </w:r>
      <w:r w:rsidRPr="00CE553D">
        <w:rPr>
          <w:bCs/>
          <w:lang w:val="en-US" w:eastAsia="ro-RO"/>
        </w:rPr>
        <w:t>Legea</w:t>
      </w:r>
      <w:r w:rsidRPr="00CE553D">
        <w:rPr>
          <w:b/>
          <w:bCs/>
          <w:lang w:val="en-US" w:eastAsia="ro-RO"/>
        </w:rPr>
        <w:t xml:space="preserve"> </w:t>
      </w:r>
      <w:r w:rsidRPr="00CE553D">
        <w:rPr>
          <w:bCs/>
          <w:lang w:val="en-US" w:eastAsia="ro-RO"/>
        </w:rPr>
        <w:t>privind Agenția de Recuperare a Bunurilor Infracționale nr. 48  din  30 martie 2017</w:t>
      </w:r>
      <w:r w:rsidRPr="00CE553D">
        <w:rPr>
          <w:lang w:val="en-US" w:eastAsia="ro-RO"/>
        </w:rPr>
        <w:t xml:space="preserve"> (Monitorul Oficial al R. Moldova nr. 155-161 art. 251 din 19.05.2017)</w:t>
      </w:r>
      <w:r w:rsidRPr="00CE553D">
        <w:rPr>
          <w:lang w:val="en-US"/>
        </w:rPr>
        <w:t>, se modifică și se completează după cum urmează:</w:t>
      </w:r>
    </w:p>
    <w:p w:rsidR="00CE553D" w:rsidRPr="00CE553D" w:rsidRDefault="00CE553D" w:rsidP="00CE553D">
      <w:pPr>
        <w:jc w:val="both"/>
        <w:rPr>
          <w:lang w:val="en-US"/>
        </w:rPr>
      </w:pPr>
      <w:r w:rsidRPr="00CE553D">
        <w:rPr>
          <w:lang w:val="en-US"/>
        </w:rPr>
        <w:t> </w:t>
      </w:r>
    </w:p>
    <w:p w:rsidR="00CE553D" w:rsidRPr="00CE553D" w:rsidRDefault="00CE553D" w:rsidP="00CE553D">
      <w:pPr>
        <w:pStyle w:val="a3"/>
        <w:numPr>
          <w:ilvl w:val="0"/>
          <w:numId w:val="5"/>
        </w:numPr>
        <w:spacing w:line="240" w:lineRule="auto"/>
        <w:ind w:left="0" w:firstLine="352"/>
        <w:jc w:val="both"/>
        <w:rPr>
          <w:rFonts w:ascii="Times New Roman" w:hAnsi="Times New Roman"/>
          <w:sz w:val="24"/>
          <w:szCs w:val="24"/>
          <w:lang w:val="fr-FR"/>
        </w:rPr>
      </w:pPr>
      <w:r w:rsidRPr="00CE553D">
        <w:rPr>
          <w:rFonts w:ascii="Times New Roman" w:hAnsi="Times New Roman"/>
          <w:sz w:val="24"/>
          <w:szCs w:val="24"/>
          <w:lang w:val="fr-FR"/>
        </w:rPr>
        <w:t>În titlul şi conţinutul legii cuvintele “Agenţia de Recuperare a Bunurilor Infracţionale” se substituie cu cuvintele “Serviciul de Recuperare a Bunurilor Infracţionale”.</w:t>
      </w:r>
    </w:p>
    <w:p w:rsidR="00CE553D" w:rsidRPr="00CE553D" w:rsidRDefault="00CE553D" w:rsidP="00CE553D">
      <w:pPr>
        <w:pStyle w:val="a3"/>
        <w:spacing w:line="240" w:lineRule="auto"/>
        <w:ind w:left="352"/>
        <w:jc w:val="both"/>
        <w:rPr>
          <w:rFonts w:ascii="Times New Roman" w:hAnsi="Times New Roman"/>
          <w:sz w:val="24"/>
          <w:szCs w:val="24"/>
          <w:lang w:val="fr-FR"/>
        </w:rPr>
      </w:pPr>
    </w:p>
    <w:p w:rsidR="00CE553D" w:rsidRPr="00CE553D" w:rsidRDefault="00CE553D" w:rsidP="00CE553D">
      <w:pPr>
        <w:pStyle w:val="a3"/>
        <w:numPr>
          <w:ilvl w:val="0"/>
          <w:numId w:val="5"/>
        </w:numPr>
        <w:spacing w:line="240" w:lineRule="auto"/>
        <w:ind w:left="0" w:firstLine="352"/>
        <w:jc w:val="both"/>
        <w:rPr>
          <w:rFonts w:ascii="Times New Roman" w:hAnsi="Times New Roman"/>
          <w:sz w:val="24"/>
          <w:szCs w:val="24"/>
          <w:lang w:val="fr-FR"/>
        </w:rPr>
      </w:pPr>
      <w:r w:rsidRPr="00CE553D">
        <w:rPr>
          <w:rFonts w:ascii="Times New Roman" w:hAnsi="Times New Roman"/>
          <w:sz w:val="24"/>
          <w:szCs w:val="24"/>
          <w:lang w:val="fr-FR"/>
        </w:rPr>
        <w:t xml:space="preserve">La articolul 2  sintagma </w:t>
      </w:r>
      <w:r w:rsidRPr="00CE553D">
        <w:rPr>
          <w:rFonts w:ascii="Times New Roman" w:hAnsi="Times New Roman"/>
          <w:sz w:val="24"/>
          <w:szCs w:val="24"/>
          <w:lang w:val="ro-RO"/>
        </w:rPr>
        <w:t>„</w:t>
      </w:r>
      <w:r w:rsidRPr="00CE553D">
        <w:rPr>
          <w:rFonts w:ascii="Times New Roman" w:hAnsi="Times New Roman"/>
          <w:sz w:val="24"/>
          <w:szCs w:val="24"/>
          <w:lang w:val="fr-FR"/>
        </w:rPr>
        <w:t>181</w:t>
      </w:r>
      <w:r w:rsidRPr="00CE553D">
        <w:rPr>
          <w:rFonts w:ascii="Times New Roman" w:hAnsi="Times New Roman"/>
          <w:sz w:val="24"/>
          <w:szCs w:val="24"/>
          <w:vertAlign w:val="superscript"/>
          <w:lang w:val="fr-FR"/>
        </w:rPr>
        <w:t>2</w:t>
      </w:r>
      <w:r w:rsidRPr="00CE553D">
        <w:rPr>
          <w:rFonts w:ascii="Times New Roman" w:hAnsi="Times New Roman"/>
          <w:sz w:val="24"/>
          <w:szCs w:val="24"/>
          <w:lang w:val="fr-FR"/>
        </w:rPr>
        <w:t>, 239–240, 242</w:t>
      </w:r>
      <w:r w:rsidRPr="00CE553D">
        <w:rPr>
          <w:rFonts w:ascii="Times New Roman" w:hAnsi="Times New Roman"/>
          <w:sz w:val="24"/>
          <w:szCs w:val="24"/>
          <w:vertAlign w:val="superscript"/>
          <w:lang w:val="fr-FR"/>
        </w:rPr>
        <w:t>1</w:t>
      </w:r>
      <w:r w:rsidRPr="00CE553D">
        <w:rPr>
          <w:rFonts w:ascii="Times New Roman" w:hAnsi="Times New Roman"/>
          <w:sz w:val="24"/>
          <w:szCs w:val="24"/>
          <w:lang w:val="fr-FR"/>
        </w:rPr>
        <w:t>–243, 279, 324–329, 330</w:t>
      </w:r>
      <w:r w:rsidRPr="00CE553D">
        <w:rPr>
          <w:rFonts w:ascii="Times New Roman" w:hAnsi="Times New Roman"/>
          <w:sz w:val="24"/>
          <w:szCs w:val="24"/>
          <w:vertAlign w:val="superscript"/>
          <w:lang w:val="fr-FR"/>
        </w:rPr>
        <w:t>1</w:t>
      </w:r>
      <w:r w:rsidRPr="00CE553D">
        <w:rPr>
          <w:rFonts w:ascii="Times New Roman" w:hAnsi="Times New Roman"/>
          <w:sz w:val="24"/>
          <w:szCs w:val="24"/>
          <w:lang w:val="fr-FR"/>
        </w:rPr>
        <w:t>, 330</w:t>
      </w:r>
      <w:r w:rsidRPr="00CE553D">
        <w:rPr>
          <w:rFonts w:ascii="Times New Roman" w:hAnsi="Times New Roman"/>
          <w:sz w:val="24"/>
          <w:szCs w:val="24"/>
          <w:vertAlign w:val="superscript"/>
          <w:lang w:val="fr-FR"/>
        </w:rPr>
        <w:t>2</w:t>
      </w:r>
      <w:r w:rsidRPr="00CE553D">
        <w:rPr>
          <w:rFonts w:ascii="Times New Roman" w:hAnsi="Times New Roman"/>
          <w:sz w:val="24"/>
          <w:szCs w:val="24"/>
          <w:lang w:val="fr-FR"/>
        </w:rPr>
        <w:t>, 332–335</w:t>
      </w:r>
      <w:r w:rsidRPr="00CE553D">
        <w:rPr>
          <w:rFonts w:ascii="Times New Roman" w:hAnsi="Times New Roman"/>
          <w:sz w:val="24"/>
          <w:szCs w:val="24"/>
          <w:vertAlign w:val="superscript"/>
          <w:lang w:val="fr-FR"/>
        </w:rPr>
        <w:t>1</w:t>
      </w:r>
      <w:r w:rsidRPr="00CE553D">
        <w:rPr>
          <w:rFonts w:ascii="Times New Roman" w:hAnsi="Times New Roman"/>
          <w:sz w:val="24"/>
          <w:szCs w:val="24"/>
          <w:lang w:val="fr-FR"/>
        </w:rPr>
        <w:t> și 352</w:t>
      </w:r>
      <w:r w:rsidRPr="00CE553D">
        <w:rPr>
          <w:rFonts w:ascii="Times New Roman" w:hAnsi="Times New Roman"/>
          <w:sz w:val="24"/>
          <w:szCs w:val="24"/>
          <w:vertAlign w:val="superscript"/>
          <w:lang w:val="fr-FR"/>
        </w:rPr>
        <w:t>1</w:t>
      </w:r>
      <w:r w:rsidRPr="00CE553D">
        <w:rPr>
          <w:rFonts w:ascii="Times New Roman" w:hAnsi="Times New Roman"/>
          <w:sz w:val="24"/>
          <w:szCs w:val="24"/>
          <w:lang w:val="fr-FR"/>
        </w:rPr>
        <w:t>” se substituie cu sintagma “135</w:t>
      </w:r>
      <w:r w:rsidRPr="00CE553D">
        <w:rPr>
          <w:rFonts w:ascii="Times New Roman" w:hAnsi="Times New Roman"/>
          <w:sz w:val="24"/>
          <w:szCs w:val="24"/>
          <w:vertAlign w:val="superscript"/>
          <w:lang w:val="fr-FR"/>
        </w:rPr>
        <w:t>11</w:t>
      </w:r>
      <w:r w:rsidRPr="00CE553D">
        <w:rPr>
          <w:rFonts w:ascii="Times New Roman" w:hAnsi="Times New Roman"/>
          <w:sz w:val="24"/>
          <w:szCs w:val="24"/>
          <w:lang w:val="fr-FR"/>
        </w:rPr>
        <w:t>, 135-144, 158-165, 165</w:t>
      </w:r>
      <w:r w:rsidRPr="00CE553D">
        <w:rPr>
          <w:rFonts w:ascii="Times New Roman" w:hAnsi="Times New Roman"/>
          <w:sz w:val="24"/>
          <w:szCs w:val="24"/>
          <w:vertAlign w:val="superscript"/>
          <w:lang w:val="fr-FR"/>
        </w:rPr>
        <w:t>1</w:t>
      </w:r>
      <w:r w:rsidRPr="00CE553D">
        <w:rPr>
          <w:rFonts w:ascii="Times New Roman" w:hAnsi="Times New Roman"/>
          <w:sz w:val="24"/>
          <w:szCs w:val="24"/>
          <w:lang w:val="fr-FR"/>
        </w:rPr>
        <w:t>, 166</w:t>
      </w:r>
      <w:r w:rsidRPr="00CE553D">
        <w:rPr>
          <w:rFonts w:ascii="Times New Roman" w:hAnsi="Times New Roman"/>
          <w:sz w:val="24"/>
          <w:szCs w:val="24"/>
          <w:vertAlign w:val="superscript"/>
          <w:lang w:val="fr-FR"/>
        </w:rPr>
        <w:t>1</w:t>
      </w:r>
      <w:r w:rsidRPr="00CE553D">
        <w:rPr>
          <w:rFonts w:ascii="Times New Roman" w:hAnsi="Times New Roman"/>
          <w:sz w:val="24"/>
          <w:szCs w:val="24"/>
          <w:lang w:val="fr-FR"/>
        </w:rPr>
        <w:t>, 167, 168, 174, 175, 175</w:t>
      </w:r>
      <w:r w:rsidRPr="00CE553D">
        <w:rPr>
          <w:rFonts w:ascii="Times New Roman" w:hAnsi="Times New Roman"/>
          <w:sz w:val="24"/>
          <w:szCs w:val="24"/>
          <w:vertAlign w:val="superscript"/>
          <w:lang w:val="fr-FR"/>
        </w:rPr>
        <w:t>1</w:t>
      </w:r>
      <w:r w:rsidRPr="00CE553D">
        <w:rPr>
          <w:rFonts w:ascii="Times New Roman" w:hAnsi="Times New Roman"/>
          <w:sz w:val="24"/>
          <w:szCs w:val="24"/>
          <w:lang w:val="fr-FR"/>
        </w:rPr>
        <w:t>, 181</w:t>
      </w:r>
      <w:r w:rsidRPr="00CE553D">
        <w:rPr>
          <w:rFonts w:ascii="Times New Roman" w:hAnsi="Times New Roman"/>
          <w:sz w:val="24"/>
          <w:szCs w:val="24"/>
          <w:vertAlign w:val="superscript"/>
          <w:lang w:val="fr-FR"/>
        </w:rPr>
        <w:t>2</w:t>
      </w:r>
      <w:r w:rsidRPr="00CE553D">
        <w:rPr>
          <w:rFonts w:ascii="Times New Roman" w:hAnsi="Times New Roman"/>
          <w:sz w:val="24"/>
          <w:szCs w:val="24"/>
          <w:lang w:val="fr-FR"/>
        </w:rPr>
        <w:t>, 206, 207, 217-217</w:t>
      </w:r>
      <w:r w:rsidRPr="00CE553D">
        <w:rPr>
          <w:rFonts w:ascii="Times New Roman" w:hAnsi="Times New Roman"/>
          <w:sz w:val="24"/>
          <w:szCs w:val="24"/>
          <w:vertAlign w:val="superscript"/>
          <w:lang w:val="fr-FR"/>
        </w:rPr>
        <w:t>4</w:t>
      </w:r>
      <w:r w:rsidRPr="00CE553D">
        <w:rPr>
          <w:rFonts w:ascii="Times New Roman" w:hAnsi="Times New Roman"/>
          <w:sz w:val="24"/>
          <w:szCs w:val="24"/>
          <w:lang w:val="fr-FR"/>
        </w:rPr>
        <w:t>, 218-220, 239–240, 242</w:t>
      </w:r>
      <w:r w:rsidRPr="00CE553D">
        <w:rPr>
          <w:rFonts w:ascii="Times New Roman" w:hAnsi="Times New Roman"/>
          <w:sz w:val="24"/>
          <w:szCs w:val="24"/>
          <w:vertAlign w:val="superscript"/>
          <w:lang w:val="fr-FR"/>
        </w:rPr>
        <w:t>1</w:t>
      </w:r>
      <w:r w:rsidRPr="00CE553D">
        <w:rPr>
          <w:rFonts w:ascii="Times New Roman" w:hAnsi="Times New Roman"/>
          <w:sz w:val="24"/>
          <w:szCs w:val="24"/>
          <w:lang w:val="fr-FR"/>
        </w:rPr>
        <w:t>–243, 244, 248, 249, 259-261</w:t>
      </w:r>
      <w:r w:rsidRPr="00CE553D">
        <w:rPr>
          <w:rFonts w:ascii="Times New Roman" w:hAnsi="Times New Roman"/>
          <w:sz w:val="24"/>
          <w:szCs w:val="24"/>
          <w:vertAlign w:val="superscript"/>
          <w:lang w:val="fr-FR"/>
        </w:rPr>
        <w:t>1</w:t>
      </w:r>
      <w:r w:rsidRPr="00CE553D">
        <w:rPr>
          <w:rFonts w:ascii="Times New Roman" w:hAnsi="Times New Roman"/>
          <w:sz w:val="24"/>
          <w:szCs w:val="24"/>
          <w:lang w:val="fr-FR"/>
        </w:rPr>
        <w:t>, 279, 283-284, 295-295</w:t>
      </w:r>
      <w:r w:rsidRPr="00CE553D">
        <w:rPr>
          <w:rFonts w:ascii="Times New Roman" w:hAnsi="Times New Roman"/>
          <w:sz w:val="24"/>
          <w:szCs w:val="24"/>
          <w:vertAlign w:val="superscript"/>
          <w:lang w:val="fr-FR"/>
        </w:rPr>
        <w:t>2</w:t>
      </w:r>
      <w:r w:rsidRPr="00CE553D">
        <w:rPr>
          <w:rFonts w:ascii="Times New Roman" w:hAnsi="Times New Roman"/>
          <w:sz w:val="24"/>
          <w:szCs w:val="24"/>
          <w:lang w:val="fr-FR"/>
        </w:rPr>
        <w:t>, 324–329, 330</w:t>
      </w:r>
      <w:r w:rsidRPr="00CE553D">
        <w:rPr>
          <w:rFonts w:ascii="Times New Roman" w:hAnsi="Times New Roman"/>
          <w:sz w:val="24"/>
          <w:szCs w:val="24"/>
          <w:vertAlign w:val="superscript"/>
          <w:lang w:val="fr-FR"/>
        </w:rPr>
        <w:t>1</w:t>
      </w:r>
      <w:r w:rsidRPr="00CE553D">
        <w:rPr>
          <w:rFonts w:ascii="Times New Roman" w:hAnsi="Times New Roman"/>
          <w:sz w:val="24"/>
          <w:szCs w:val="24"/>
          <w:lang w:val="fr-FR"/>
        </w:rPr>
        <w:t>, 330</w:t>
      </w:r>
      <w:r w:rsidRPr="00CE553D">
        <w:rPr>
          <w:rFonts w:ascii="Times New Roman" w:hAnsi="Times New Roman"/>
          <w:sz w:val="24"/>
          <w:szCs w:val="24"/>
          <w:vertAlign w:val="superscript"/>
          <w:lang w:val="fr-FR"/>
        </w:rPr>
        <w:t>2</w:t>
      </w:r>
      <w:r w:rsidRPr="00CE553D">
        <w:rPr>
          <w:rFonts w:ascii="Times New Roman" w:hAnsi="Times New Roman"/>
          <w:sz w:val="24"/>
          <w:szCs w:val="24"/>
          <w:lang w:val="fr-FR"/>
        </w:rPr>
        <w:t>, 332–335</w:t>
      </w:r>
      <w:r w:rsidRPr="00CE553D">
        <w:rPr>
          <w:rFonts w:ascii="Times New Roman" w:hAnsi="Times New Roman"/>
          <w:sz w:val="24"/>
          <w:szCs w:val="24"/>
          <w:vertAlign w:val="superscript"/>
          <w:lang w:val="fr-FR"/>
        </w:rPr>
        <w:t>1</w:t>
      </w:r>
      <w:r w:rsidRPr="00CE553D">
        <w:rPr>
          <w:rFonts w:ascii="Times New Roman" w:hAnsi="Times New Roman"/>
          <w:sz w:val="24"/>
          <w:szCs w:val="24"/>
          <w:lang w:val="fr-FR"/>
        </w:rPr>
        <w:t> , 337-346 și 352</w:t>
      </w:r>
      <w:r w:rsidRPr="00CE553D">
        <w:rPr>
          <w:rFonts w:ascii="Times New Roman" w:hAnsi="Times New Roman"/>
          <w:sz w:val="24"/>
          <w:szCs w:val="24"/>
          <w:vertAlign w:val="superscript"/>
          <w:lang w:val="fr-FR"/>
        </w:rPr>
        <w:t>1</w:t>
      </w:r>
      <w:r w:rsidRPr="00CE553D">
        <w:rPr>
          <w:rFonts w:ascii="Times New Roman" w:hAnsi="Times New Roman"/>
          <w:sz w:val="24"/>
          <w:szCs w:val="24"/>
          <w:lang w:val="fr-FR"/>
        </w:rPr>
        <w:t>”.</w:t>
      </w:r>
    </w:p>
    <w:p w:rsidR="00CE553D" w:rsidRPr="00CE553D" w:rsidRDefault="00CE553D" w:rsidP="00CE553D">
      <w:pPr>
        <w:pStyle w:val="a4"/>
        <w:numPr>
          <w:ilvl w:val="0"/>
          <w:numId w:val="5"/>
        </w:numPr>
        <w:tabs>
          <w:tab w:val="left" w:pos="9639"/>
        </w:tabs>
        <w:jc w:val="both"/>
        <w:rPr>
          <w:lang w:val="fr-FR"/>
        </w:rPr>
      </w:pPr>
      <w:r w:rsidRPr="00CE553D">
        <w:rPr>
          <w:lang w:val="fr-FR"/>
        </w:rPr>
        <w:t>Articolul 4 va avea următorul cuprins:</w:t>
      </w:r>
    </w:p>
    <w:p w:rsidR="00CE553D" w:rsidRPr="00CE553D" w:rsidRDefault="00CE553D" w:rsidP="00CE553D">
      <w:pPr>
        <w:pStyle w:val="a4"/>
        <w:tabs>
          <w:tab w:val="left" w:pos="9639"/>
        </w:tabs>
        <w:ind w:left="360"/>
        <w:jc w:val="both"/>
        <w:rPr>
          <w:lang w:val="fr-FR"/>
        </w:rPr>
      </w:pPr>
      <w:r w:rsidRPr="00CE553D">
        <w:rPr>
          <w:lang w:val="fr-FR"/>
        </w:rPr>
        <w:t>“(1) Serviciul de Recuperare a Bunurilor Infracţionale este autoritate administrativ</w:t>
      </w:r>
      <w:r w:rsidRPr="00CE553D">
        <w:rPr>
          <w:lang w:val="ro-RO"/>
        </w:rPr>
        <w:t>ă</w:t>
      </w:r>
      <w:r w:rsidRPr="00CE553D">
        <w:rPr>
          <w:lang w:val="fr-FR"/>
        </w:rPr>
        <w:t>, independentă de pe lîngă Serviciul Fiscal de Stat, cu sediul în municipiul Chişinău.</w:t>
      </w:r>
    </w:p>
    <w:p w:rsidR="00CE553D" w:rsidRPr="00CE553D" w:rsidRDefault="00CE553D" w:rsidP="00CE553D">
      <w:pPr>
        <w:pStyle w:val="a4"/>
        <w:tabs>
          <w:tab w:val="left" w:pos="9639"/>
        </w:tabs>
        <w:ind w:left="360"/>
        <w:jc w:val="both"/>
        <w:rPr>
          <w:lang w:val="fr-FR"/>
        </w:rPr>
      </w:pPr>
      <w:r w:rsidRPr="00CE553D">
        <w:rPr>
          <w:lang w:val="fr-FR"/>
        </w:rPr>
        <w:t>(2) Ministerul Finanţelor exercită dirijarea metodologică a activităţii  Serviciului de Recuperare a Bunurilor Infracţionale  fără ingerinţe în activitatea ei cu respectarea independenţei funcţioale şi instituţioale .</w:t>
      </w:r>
    </w:p>
    <w:p w:rsidR="00CE553D" w:rsidRPr="00CE553D" w:rsidRDefault="00CE553D" w:rsidP="00CE553D">
      <w:pPr>
        <w:pStyle w:val="a4"/>
        <w:tabs>
          <w:tab w:val="left" w:pos="9639"/>
        </w:tabs>
        <w:ind w:left="360"/>
        <w:jc w:val="both"/>
        <w:rPr>
          <w:lang w:val="fr-FR"/>
        </w:rPr>
      </w:pPr>
      <w:r w:rsidRPr="00CE553D">
        <w:rPr>
          <w:lang w:val="fr-FR"/>
        </w:rPr>
        <w:t xml:space="preserve">(3) Modul de funcţionare a Serviciului de Recuperare a Bunurilor Infracţionale, de aprobare a structurii, a personalului scriptic şi a fondului de retribuire a muncii, precum şi modul de </w:t>
      </w:r>
      <w:r w:rsidRPr="00CE553D">
        <w:rPr>
          <w:lang w:val="fr-FR"/>
        </w:rPr>
        <w:lastRenderedPageBreak/>
        <w:t>atribuire a gradelor de calificare funcţionarilor din cadrul acestuia sunt stabilite în Regulamentul aprobat de Guvern.</w:t>
      </w:r>
    </w:p>
    <w:p w:rsidR="00CE553D" w:rsidRPr="00CE553D" w:rsidRDefault="00CE553D" w:rsidP="00CE553D">
      <w:pPr>
        <w:pStyle w:val="a4"/>
        <w:tabs>
          <w:tab w:val="left" w:pos="9639"/>
        </w:tabs>
        <w:ind w:left="360"/>
        <w:jc w:val="both"/>
        <w:rPr>
          <w:lang w:val="fr-FR"/>
        </w:rPr>
      </w:pPr>
      <w:r w:rsidRPr="00CE553D">
        <w:rPr>
          <w:lang w:val="ro-RO"/>
        </w:rPr>
        <w:t>(4) Serviciul de Recuperare a Bunurilor Infracţionale activează în baza principiului legalităţii, confidenţialităţii, integrităţii, eficienţei şi respectării drepturilor şi intereselor legitime ale proprietarilor asupra bunurilor.”</w:t>
      </w:r>
    </w:p>
    <w:p w:rsidR="00CE553D" w:rsidRPr="00CE553D" w:rsidRDefault="00CE553D" w:rsidP="00CE553D">
      <w:pPr>
        <w:jc w:val="both"/>
        <w:rPr>
          <w:lang w:val="fr-FR"/>
        </w:rPr>
      </w:pPr>
    </w:p>
    <w:p w:rsidR="00CE553D" w:rsidRPr="00CE553D" w:rsidRDefault="00CE553D" w:rsidP="00CE553D">
      <w:pPr>
        <w:pStyle w:val="a3"/>
        <w:numPr>
          <w:ilvl w:val="0"/>
          <w:numId w:val="5"/>
        </w:numPr>
        <w:spacing w:line="240" w:lineRule="auto"/>
        <w:ind w:left="0" w:firstLine="352"/>
        <w:jc w:val="both"/>
        <w:rPr>
          <w:rFonts w:ascii="Times New Roman" w:hAnsi="Times New Roman"/>
          <w:sz w:val="24"/>
          <w:szCs w:val="24"/>
        </w:rPr>
      </w:pPr>
      <w:r w:rsidRPr="00CE553D">
        <w:rPr>
          <w:rFonts w:ascii="Times New Roman" w:hAnsi="Times New Roman"/>
          <w:sz w:val="24"/>
          <w:szCs w:val="24"/>
        </w:rPr>
        <w:t xml:space="preserve">Articolul 5 se completează în final cu litera g), h) și i) cu următorul conținut: </w:t>
      </w:r>
    </w:p>
    <w:p w:rsidR="00CE553D" w:rsidRPr="00CE553D" w:rsidRDefault="00CE553D" w:rsidP="00CE553D">
      <w:pPr>
        <w:pStyle w:val="a3"/>
        <w:spacing w:line="240" w:lineRule="auto"/>
        <w:ind w:left="352"/>
        <w:jc w:val="both"/>
        <w:rPr>
          <w:rFonts w:ascii="Times New Roman" w:hAnsi="Times New Roman"/>
          <w:sz w:val="24"/>
          <w:szCs w:val="24"/>
        </w:rPr>
      </w:pPr>
    </w:p>
    <w:p w:rsidR="00CE553D" w:rsidRPr="00CE553D" w:rsidRDefault="00CE553D" w:rsidP="00CE553D">
      <w:pPr>
        <w:pStyle w:val="a3"/>
        <w:spacing w:line="240" w:lineRule="auto"/>
        <w:ind w:left="352"/>
        <w:jc w:val="both"/>
      </w:pPr>
      <w:r w:rsidRPr="00CE553D">
        <w:rPr>
          <w:rFonts w:ascii="Times New Roman" w:hAnsi="Times New Roman"/>
          <w:sz w:val="24"/>
          <w:szCs w:val="24"/>
        </w:rPr>
        <w:t>„g) reprezentarea intereselor statului şi a persoanelor juridice de drept public în procese civile de recuperare a bunurilor infracționale, precum şi de reparare a prejudiciului cauzat prin încălcări ale legislaţiei Republicii Moldova şi ale altor state;</w:t>
      </w:r>
    </w:p>
    <w:p w:rsidR="00CE553D" w:rsidRPr="00CE553D" w:rsidRDefault="00CE553D" w:rsidP="00CE553D">
      <w:pPr>
        <w:pStyle w:val="a3"/>
        <w:spacing w:line="240" w:lineRule="auto"/>
        <w:ind w:left="352"/>
        <w:jc w:val="both"/>
      </w:pPr>
    </w:p>
    <w:p w:rsidR="00CE553D" w:rsidRPr="00CE553D" w:rsidRDefault="00CE553D" w:rsidP="00CE553D">
      <w:pPr>
        <w:pStyle w:val="a3"/>
        <w:spacing w:line="240" w:lineRule="auto"/>
        <w:ind w:left="352"/>
        <w:jc w:val="both"/>
        <w:rPr>
          <w:lang w:val="fr-FR"/>
        </w:rPr>
      </w:pPr>
      <w:r w:rsidRPr="00CE553D">
        <w:rPr>
          <w:rFonts w:ascii="Times New Roman" w:hAnsi="Times New Roman"/>
          <w:sz w:val="24"/>
          <w:szCs w:val="24"/>
          <w:lang w:val="fr-FR"/>
        </w:rPr>
        <w:t>h) cooperează cu autorităţile publice naţionale cu atribuţii relevante pentru activitatea desfăşurată de Serviciul de Recuperare a Bunurilor Infracţionale;</w:t>
      </w:r>
    </w:p>
    <w:p w:rsidR="00CE553D" w:rsidRPr="00CE553D" w:rsidRDefault="00CE553D" w:rsidP="00CE553D">
      <w:pPr>
        <w:pStyle w:val="a3"/>
        <w:spacing w:line="240" w:lineRule="auto"/>
        <w:ind w:left="352"/>
        <w:jc w:val="both"/>
        <w:rPr>
          <w:lang w:val="fr-FR"/>
        </w:rPr>
      </w:pPr>
    </w:p>
    <w:p w:rsidR="00CE553D" w:rsidRPr="00CE553D" w:rsidRDefault="00CE553D" w:rsidP="00CE553D">
      <w:pPr>
        <w:pStyle w:val="a3"/>
        <w:spacing w:line="240" w:lineRule="auto"/>
        <w:ind w:left="352"/>
        <w:jc w:val="both"/>
        <w:rPr>
          <w:sz w:val="24"/>
          <w:szCs w:val="24"/>
          <w:lang w:val="fr-FR"/>
        </w:rPr>
      </w:pPr>
      <w:r w:rsidRPr="00CE553D">
        <w:rPr>
          <w:rFonts w:ascii="Times New Roman" w:hAnsi="Times New Roman"/>
          <w:sz w:val="24"/>
          <w:szCs w:val="24"/>
          <w:lang w:val="ro-RO"/>
        </w:rPr>
        <w:t>i)</w:t>
      </w:r>
      <w:r w:rsidRPr="00CE553D">
        <w:rPr>
          <w:rFonts w:ascii="Times New Roman" w:hAnsi="Times New Roman"/>
          <w:sz w:val="24"/>
          <w:szCs w:val="24"/>
          <w:lang w:val="fr-FR"/>
        </w:rPr>
        <w:t xml:space="preserve"> sprijinirea, în condiţiile legii, organelor judiciare pentru utilizarea celor mai bune practici în materia identificării şi administrării bunurilor care pot face obiectul măsurilor de indisponibilizare şi confiscare în cadrul procesului penal.”.</w:t>
      </w:r>
    </w:p>
    <w:p w:rsidR="00CE553D" w:rsidRPr="00CE553D" w:rsidRDefault="00CE553D" w:rsidP="00CE553D">
      <w:pPr>
        <w:pStyle w:val="a3"/>
        <w:spacing w:line="240" w:lineRule="auto"/>
        <w:ind w:left="352"/>
        <w:jc w:val="both"/>
        <w:rPr>
          <w:rFonts w:ascii="Times New Roman" w:hAnsi="Times New Roman"/>
          <w:sz w:val="24"/>
          <w:szCs w:val="24"/>
          <w:lang w:val="fr-FR"/>
        </w:rPr>
      </w:pPr>
    </w:p>
    <w:p w:rsidR="00CE553D" w:rsidRPr="00CE553D" w:rsidRDefault="00CE553D" w:rsidP="00CE553D">
      <w:pPr>
        <w:pStyle w:val="a3"/>
        <w:spacing w:line="240" w:lineRule="auto"/>
        <w:ind w:left="352"/>
        <w:jc w:val="both"/>
        <w:rPr>
          <w:rFonts w:ascii="Times New Roman" w:hAnsi="Times New Roman"/>
          <w:sz w:val="24"/>
          <w:szCs w:val="24"/>
          <w:lang w:val="fr-FR"/>
        </w:rPr>
      </w:pPr>
    </w:p>
    <w:p w:rsidR="00CE553D" w:rsidRPr="00CE553D" w:rsidRDefault="00CE553D" w:rsidP="00CE553D">
      <w:pPr>
        <w:pStyle w:val="a3"/>
        <w:numPr>
          <w:ilvl w:val="0"/>
          <w:numId w:val="5"/>
        </w:numPr>
        <w:spacing w:line="240" w:lineRule="auto"/>
        <w:ind w:left="426" w:firstLine="0"/>
        <w:jc w:val="both"/>
        <w:rPr>
          <w:rFonts w:ascii="Times New Roman" w:hAnsi="Times New Roman"/>
          <w:sz w:val="24"/>
          <w:szCs w:val="24"/>
          <w:lang w:val="fr-FR"/>
        </w:rPr>
      </w:pPr>
      <w:r w:rsidRPr="00CE553D">
        <w:rPr>
          <w:rFonts w:ascii="Times New Roman" w:hAnsi="Times New Roman"/>
          <w:sz w:val="24"/>
          <w:szCs w:val="24"/>
          <w:lang w:val="fr-FR"/>
        </w:rPr>
        <w:t>Articolul 6, alineatul (1), se completează în final cu o nouă litera cu următorul conținut: „d) în scopul realizării atribuțiilor, să înainteze acţiuni civile în interesele statului, a persoanelor juridice de drept public.”</w:t>
      </w:r>
    </w:p>
    <w:p w:rsidR="00CE553D" w:rsidRPr="00CE553D" w:rsidRDefault="00CE553D" w:rsidP="00CE553D">
      <w:pPr>
        <w:pStyle w:val="a3"/>
        <w:spacing w:line="240" w:lineRule="auto"/>
        <w:ind w:left="426"/>
        <w:jc w:val="both"/>
        <w:rPr>
          <w:rFonts w:ascii="Times New Roman" w:hAnsi="Times New Roman"/>
          <w:sz w:val="24"/>
          <w:szCs w:val="24"/>
          <w:lang w:val="fr-FR"/>
        </w:rPr>
      </w:pPr>
    </w:p>
    <w:p w:rsidR="00CE553D" w:rsidRPr="00CE553D" w:rsidRDefault="00CE553D" w:rsidP="00CE553D">
      <w:pPr>
        <w:pStyle w:val="a3"/>
        <w:numPr>
          <w:ilvl w:val="0"/>
          <w:numId w:val="5"/>
        </w:numPr>
        <w:spacing w:line="240" w:lineRule="auto"/>
        <w:ind w:left="0" w:firstLine="352"/>
        <w:jc w:val="both"/>
      </w:pPr>
      <w:r w:rsidRPr="00CE553D">
        <w:rPr>
          <w:rFonts w:ascii="Times New Roman" w:hAnsi="Times New Roman"/>
          <w:sz w:val="24"/>
          <w:szCs w:val="24"/>
        </w:rPr>
        <w:t>La articolul 7:</w:t>
      </w:r>
    </w:p>
    <w:p w:rsidR="00CE553D" w:rsidRPr="00CE553D" w:rsidRDefault="00CE553D" w:rsidP="00CE553D">
      <w:pPr>
        <w:ind w:firstLine="352"/>
        <w:jc w:val="both"/>
        <w:rPr>
          <w:lang w:val="fr-FR"/>
        </w:rPr>
      </w:pPr>
      <w:r w:rsidRPr="00CE553D">
        <w:rPr>
          <w:lang w:val="fr-FR"/>
        </w:rPr>
        <w:t>la alineatul (1) cuvintele “directorul Centrului Naţional Anticorupţie” se substituie cu cuvintele “Ministrul Finanţelor”;</w:t>
      </w:r>
    </w:p>
    <w:p w:rsidR="00CE553D" w:rsidRPr="00CE553D" w:rsidRDefault="00CE553D" w:rsidP="00CE553D">
      <w:pPr>
        <w:jc w:val="both"/>
        <w:rPr>
          <w:lang w:val="fr-FR"/>
        </w:rPr>
      </w:pPr>
      <w:r w:rsidRPr="00CE553D">
        <w:rPr>
          <w:lang w:val="fr-FR"/>
        </w:rPr>
        <w:t xml:space="preserve">          la alineatul (3) cuvintele “anunţat de Centrul Naţional Anticorupţie” se substituie cu cuvintele “anunţat de Ministerul Finanţelor”, iar cuvintele “în conformitate cu regulamentul aprobat de Colegiul Centrului Naţional Anticorupţie” se substituie cu cuvintele “în conformitate cu legislaţia în vigoare.”;</w:t>
      </w:r>
    </w:p>
    <w:p w:rsidR="00CE553D" w:rsidRPr="00CE553D" w:rsidRDefault="00CE553D" w:rsidP="00CE553D">
      <w:pPr>
        <w:jc w:val="both"/>
        <w:rPr>
          <w:lang w:val="fr-FR"/>
        </w:rPr>
      </w:pPr>
      <w:r w:rsidRPr="00CE553D">
        <w:rPr>
          <w:lang w:val="fr-FR"/>
        </w:rPr>
        <w:t xml:space="preserve">         la alinetul (4) cuvintele “serviciului în cadrul Centrului Naţional Anticorupţie” se substituie cu cuvintele “ activităţii în serviciul public.”;</w:t>
      </w:r>
    </w:p>
    <w:p w:rsidR="00CE553D" w:rsidRPr="00CE553D" w:rsidRDefault="00CE553D" w:rsidP="00CE553D">
      <w:pPr>
        <w:jc w:val="both"/>
        <w:rPr>
          <w:lang w:val="fr-FR"/>
        </w:rPr>
      </w:pPr>
      <w:r w:rsidRPr="00CE553D">
        <w:rPr>
          <w:lang w:val="fr-FR"/>
        </w:rPr>
        <w:t xml:space="preserve">         alineatul (5) se exclude</w:t>
      </w:r>
    </w:p>
    <w:p w:rsidR="00CE553D" w:rsidRPr="00CE553D" w:rsidRDefault="00CE553D" w:rsidP="00CE553D">
      <w:pPr>
        <w:jc w:val="both"/>
        <w:rPr>
          <w:lang w:val="fr-FR"/>
        </w:rPr>
      </w:pPr>
      <w:r w:rsidRPr="00CE553D">
        <w:rPr>
          <w:lang w:val="fr-FR"/>
        </w:rPr>
        <w:t xml:space="preserve"> la alineatul (6) cuvintele “directorul Centrului Naţional Anticorupţie” se substituie cu cuvintele “Ministrul Finanţelor”.</w:t>
      </w:r>
    </w:p>
    <w:p w:rsidR="00CE553D" w:rsidRPr="00CE553D" w:rsidRDefault="00CE553D" w:rsidP="00CE553D">
      <w:pPr>
        <w:jc w:val="both"/>
        <w:rPr>
          <w:lang w:val="fr-FR"/>
        </w:rPr>
      </w:pPr>
    </w:p>
    <w:p w:rsidR="00CE553D" w:rsidRPr="00CE553D" w:rsidRDefault="00CE553D" w:rsidP="00CE553D">
      <w:pPr>
        <w:pStyle w:val="a3"/>
        <w:numPr>
          <w:ilvl w:val="0"/>
          <w:numId w:val="5"/>
        </w:numPr>
        <w:jc w:val="both"/>
      </w:pPr>
      <w:r w:rsidRPr="00CE553D">
        <w:rPr>
          <w:rFonts w:ascii="Times New Roman" w:hAnsi="Times New Roman"/>
          <w:sz w:val="24"/>
          <w:szCs w:val="24"/>
        </w:rPr>
        <w:t>La articolul 8:</w:t>
      </w:r>
    </w:p>
    <w:p w:rsidR="00CE553D" w:rsidRPr="00CE553D" w:rsidRDefault="00CE553D" w:rsidP="00CE553D">
      <w:pPr>
        <w:ind w:firstLine="360"/>
        <w:jc w:val="both"/>
        <w:rPr>
          <w:lang w:val="fr-FR"/>
        </w:rPr>
      </w:pPr>
      <w:r w:rsidRPr="00CE553D">
        <w:rPr>
          <w:lang w:val="fr-FR"/>
        </w:rPr>
        <w:t>Titlul articolului va fi-” Structura organizatorică a Serviciului de Recuperare a Bunurilor Infracţinale”</w:t>
      </w:r>
    </w:p>
    <w:p w:rsidR="00CE553D" w:rsidRPr="00CE553D" w:rsidRDefault="00CE553D" w:rsidP="00CE553D">
      <w:pPr>
        <w:ind w:firstLine="360"/>
        <w:jc w:val="both"/>
        <w:rPr>
          <w:lang w:val="fr-FR"/>
        </w:rPr>
      </w:pPr>
      <w:r w:rsidRPr="00CE553D">
        <w:rPr>
          <w:lang w:val="fr-FR"/>
        </w:rPr>
        <w:t>dispoziţia de conţinut va avea următorul cuprins:</w:t>
      </w:r>
    </w:p>
    <w:p w:rsidR="00CE553D" w:rsidRPr="00CE553D" w:rsidRDefault="00CE553D" w:rsidP="00CE553D">
      <w:pPr>
        <w:ind w:firstLine="360"/>
        <w:jc w:val="both"/>
        <w:rPr>
          <w:lang w:val="fr-FR"/>
        </w:rPr>
      </w:pPr>
      <w:r w:rsidRPr="00CE553D">
        <w:rPr>
          <w:lang w:val="fr-FR"/>
        </w:rPr>
        <w:t>“(1) Personalul Serviciului de Recuperare a Bunurilor Infracţionale se formează din funcţionari publici, al căror statut le asigură stabilitate în funcţie şi independenţă funcțională, precum şi din personal auxiliar.</w:t>
      </w:r>
    </w:p>
    <w:p w:rsidR="00CE553D" w:rsidRDefault="00CE553D" w:rsidP="00CE553D">
      <w:pPr>
        <w:ind w:firstLine="567"/>
        <w:jc w:val="both"/>
        <w:rPr>
          <w:lang w:val="fr-FR"/>
        </w:rPr>
      </w:pPr>
      <w:r w:rsidRPr="00CE553D">
        <w:rPr>
          <w:lang w:val="fr-FR"/>
        </w:rPr>
        <w:t xml:space="preserve">(2) Angajarea în Serviciul de Recuperare a Bunurilor Infracţionale se va face, în modul stabilit de legislaţie, conform criteriilor transparente şi obiective de selectare. </w:t>
      </w:r>
    </w:p>
    <w:p w:rsidR="00CE553D" w:rsidRPr="00CE553D" w:rsidRDefault="00CE553D" w:rsidP="00CE553D">
      <w:pPr>
        <w:ind w:firstLine="567"/>
        <w:jc w:val="both"/>
        <w:rPr>
          <w:lang w:val="fr-FR"/>
        </w:rPr>
      </w:pPr>
      <w:r w:rsidRPr="00CE553D">
        <w:rPr>
          <w:lang w:val="fr-FR"/>
        </w:rPr>
        <w:t xml:space="preserve">(3) </w:t>
      </w:r>
      <w:r w:rsidRPr="00CE553D">
        <w:rPr>
          <w:lang w:val="ro-RO"/>
        </w:rPr>
        <w:t xml:space="preserve">Salarizarea angajaţilor din cadrul </w:t>
      </w:r>
      <w:r w:rsidRPr="00CE553D">
        <w:rPr>
          <w:lang w:val="fr-FR"/>
        </w:rPr>
        <w:t>Serviciului de Recuperare a Bunurilor Infracţionale</w:t>
      </w:r>
      <w:r w:rsidRPr="00CE553D">
        <w:rPr>
          <w:lang w:val="ro-RO"/>
        </w:rPr>
        <w:t xml:space="preserve">  se efectuează în conformitate cu prevederile art. </w:t>
      </w:r>
      <w:r w:rsidRPr="00CE553D">
        <w:rPr>
          <w:lang w:val="fr-FR"/>
        </w:rPr>
        <w:t>8</w:t>
      </w:r>
      <w:r w:rsidRPr="00CE553D">
        <w:rPr>
          <w:vertAlign w:val="superscript"/>
          <w:lang w:val="fr-FR"/>
        </w:rPr>
        <w:t>1</w:t>
      </w:r>
      <w:r w:rsidRPr="00CE553D">
        <w:rPr>
          <w:lang w:val="ro-RO"/>
        </w:rPr>
        <w:t xml:space="preserve"> din </w:t>
      </w:r>
      <w:r w:rsidRPr="00CE553D">
        <w:rPr>
          <w:lang w:val="fr-FR"/>
        </w:rPr>
        <w:t>Legea nr. 48/2012 privind sistemul de salarizare a funcţionarilor publici.”.</w:t>
      </w:r>
    </w:p>
    <w:p w:rsidR="00CE553D" w:rsidRPr="00CE553D" w:rsidRDefault="00CE553D" w:rsidP="00CE553D">
      <w:pPr>
        <w:pStyle w:val="a3"/>
        <w:jc w:val="both"/>
        <w:rPr>
          <w:lang w:val="fr-FR"/>
        </w:rPr>
      </w:pPr>
    </w:p>
    <w:p w:rsidR="00CE553D" w:rsidRPr="00CE553D" w:rsidRDefault="00CE553D" w:rsidP="00CE553D">
      <w:pPr>
        <w:pStyle w:val="a3"/>
        <w:numPr>
          <w:ilvl w:val="0"/>
          <w:numId w:val="5"/>
        </w:numPr>
        <w:jc w:val="both"/>
        <w:rPr>
          <w:rFonts w:ascii="Times New Roman" w:hAnsi="Times New Roman"/>
          <w:sz w:val="24"/>
          <w:szCs w:val="24"/>
        </w:rPr>
      </w:pPr>
      <w:r w:rsidRPr="00CE553D">
        <w:rPr>
          <w:rFonts w:ascii="Times New Roman" w:hAnsi="Times New Roman"/>
          <w:sz w:val="24"/>
          <w:szCs w:val="24"/>
        </w:rPr>
        <w:t>La art.10:</w:t>
      </w:r>
    </w:p>
    <w:p w:rsidR="00CE553D" w:rsidRPr="00CE553D" w:rsidRDefault="00CE553D" w:rsidP="00CE553D">
      <w:pPr>
        <w:ind w:firstLine="708"/>
        <w:jc w:val="both"/>
        <w:rPr>
          <w:lang w:val="fr-FR"/>
        </w:rPr>
      </w:pPr>
      <w:r w:rsidRPr="00CE553D">
        <w:rPr>
          <w:lang w:val="fr-FR"/>
        </w:rPr>
        <w:t>alin.(4) cuvintele „au obligaţia” se substituie cu cuvintele „pot fi obligate”;</w:t>
      </w:r>
    </w:p>
    <w:p w:rsidR="00CE553D" w:rsidRPr="00CE553D" w:rsidRDefault="00CE553D" w:rsidP="00CE553D">
      <w:pPr>
        <w:ind w:firstLine="708"/>
        <w:jc w:val="both"/>
        <w:rPr>
          <w:lang w:val="fr-FR"/>
        </w:rPr>
      </w:pPr>
      <w:r w:rsidRPr="00CE553D">
        <w:rPr>
          <w:lang w:val="fr-FR"/>
        </w:rPr>
        <w:t>alin.(7) de completat la sfîrşit cu sintagma „conform art. 251 din Codul penal.”</w:t>
      </w:r>
    </w:p>
    <w:p w:rsidR="00CE553D" w:rsidRPr="00CE553D" w:rsidRDefault="00CE553D" w:rsidP="00CE553D">
      <w:pPr>
        <w:pStyle w:val="a3"/>
        <w:spacing w:after="0" w:line="240" w:lineRule="auto"/>
        <w:ind w:left="1418"/>
        <w:jc w:val="both"/>
        <w:rPr>
          <w:rFonts w:ascii="Times New Roman" w:hAnsi="Times New Roman"/>
          <w:sz w:val="24"/>
          <w:szCs w:val="24"/>
          <w:lang w:val="fr-FR"/>
        </w:rPr>
      </w:pPr>
    </w:p>
    <w:p w:rsidR="00CE553D" w:rsidRPr="00CE553D" w:rsidRDefault="00CE553D" w:rsidP="00CE553D">
      <w:pPr>
        <w:pStyle w:val="a3"/>
        <w:numPr>
          <w:ilvl w:val="0"/>
          <w:numId w:val="5"/>
        </w:numPr>
        <w:spacing w:after="0" w:line="240" w:lineRule="auto"/>
        <w:jc w:val="both"/>
        <w:rPr>
          <w:rFonts w:ascii="Times New Roman" w:hAnsi="Times New Roman"/>
          <w:sz w:val="24"/>
          <w:szCs w:val="24"/>
        </w:rPr>
      </w:pPr>
      <w:r w:rsidRPr="00CE553D">
        <w:rPr>
          <w:rFonts w:ascii="Times New Roman" w:hAnsi="Times New Roman"/>
          <w:sz w:val="24"/>
          <w:szCs w:val="24"/>
        </w:rPr>
        <w:t>La art.11:</w:t>
      </w:r>
    </w:p>
    <w:p w:rsidR="00CE553D" w:rsidRPr="00CE553D" w:rsidRDefault="00CE553D" w:rsidP="00CE553D">
      <w:pPr>
        <w:ind w:firstLine="708"/>
        <w:jc w:val="both"/>
        <w:rPr>
          <w:lang w:val="fr-FR"/>
        </w:rPr>
      </w:pPr>
      <w:r w:rsidRPr="00CE553D">
        <w:rPr>
          <w:lang w:val="fr-FR"/>
        </w:rPr>
        <w:t>alin.(1) după cuvîntul „indisponibilizate” de completat cu sintagma „în baza activităţii desfăşurate de către Serviciul de Recuperare a Bunurilor Infracţionale se asigură de către acesta”;</w:t>
      </w:r>
    </w:p>
    <w:p w:rsidR="00CE553D" w:rsidRPr="00CE553D" w:rsidRDefault="00CE553D" w:rsidP="00CE553D">
      <w:pPr>
        <w:ind w:firstLine="708"/>
        <w:jc w:val="both"/>
        <w:rPr>
          <w:lang w:val="fr-FR"/>
        </w:rPr>
      </w:pPr>
      <w:r w:rsidRPr="00CE553D">
        <w:rPr>
          <w:lang w:val="fr-FR"/>
        </w:rPr>
        <w:t>la alineatul (2) cuvintele “Centrului Naţional Anticorupţie” se substituie cu cuvintele “Ministerului Finanţelor şi Serviciului de Recuperare a Bunurilor Infracţionale.”</w:t>
      </w:r>
    </w:p>
    <w:p w:rsidR="00CE553D" w:rsidRPr="00CE553D" w:rsidRDefault="00CE553D" w:rsidP="00CE553D">
      <w:pPr>
        <w:ind w:firstLine="708"/>
        <w:jc w:val="both"/>
        <w:rPr>
          <w:lang w:val="fr-FR"/>
        </w:rPr>
      </w:pPr>
      <w:r w:rsidRPr="00CE553D">
        <w:rPr>
          <w:lang w:val="fr-FR"/>
        </w:rPr>
        <w:t>de completat cu un nou alineat (2</w:t>
      </w:r>
      <w:r w:rsidRPr="00CE553D">
        <w:rPr>
          <w:vertAlign w:val="superscript"/>
          <w:lang w:val="fr-FR"/>
        </w:rPr>
        <w:t>1</w:t>
      </w:r>
      <w:r w:rsidRPr="00CE553D">
        <w:rPr>
          <w:lang w:val="fr-FR"/>
        </w:rPr>
        <w:t xml:space="preserve">) cu următorul conţinut: </w:t>
      </w:r>
    </w:p>
    <w:p w:rsidR="00CE553D" w:rsidRPr="00CE553D" w:rsidRDefault="00CE553D" w:rsidP="00CE553D">
      <w:pPr>
        <w:ind w:firstLine="708"/>
        <w:jc w:val="both"/>
        <w:rPr>
          <w:lang w:val="fr-FR"/>
        </w:rPr>
      </w:pPr>
      <w:r w:rsidRPr="00CE553D">
        <w:rPr>
          <w:lang w:val="fr-FR"/>
        </w:rPr>
        <w:t>„(2</w:t>
      </w:r>
      <w:r w:rsidRPr="00CE553D">
        <w:rPr>
          <w:vertAlign w:val="superscript"/>
          <w:lang w:val="fr-FR"/>
        </w:rPr>
        <w:t>1</w:t>
      </w:r>
      <w:r w:rsidRPr="00CE553D">
        <w:rPr>
          <w:lang w:val="fr-FR"/>
        </w:rPr>
        <w:t>) Serviciul de Recuperare a Bunurilor Infracţionale poate contracta persoane fizice şi juridice, de drept public şi privat, specializarea cărora va asigura cea mai eficientă realizare a atribuţiilor de evaluare şi administrare a bunurilor infracţionale indisponibilizate. Serviciile prestate de persoanele menţionate se achită din contul surselor financiare obţinute din valorificarea bunurilor infracţionale.”</w:t>
      </w:r>
    </w:p>
    <w:p w:rsidR="00CE553D" w:rsidRPr="00CE553D" w:rsidRDefault="00CE553D" w:rsidP="00CE553D">
      <w:pPr>
        <w:pStyle w:val="a3"/>
        <w:spacing w:after="0" w:line="240" w:lineRule="auto"/>
        <w:ind w:left="1418"/>
        <w:jc w:val="both"/>
        <w:rPr>
          <w:rFonts w:ascii="Times New Roman" w:hAnsi="Times New Roman"/>
          <w:sz w:val="24"/>
          <w:szCs w:val="24"/>
          <w:lang w:val="fr-FR"/>
        </w:rPr>
      </w:pPr>
      <w:r w:rsidRPr="00CE553D">
        <w:rPr>
          <w:rFonts w:ascii="Times New Roman" w:hAnsi="Times New Roman"/>
          <w:sz w:val="24"/>
          <w:szCs w:val="24"/>
          <w:lang w:val="fr-FR"/>
        </w:rPr>
        <w:t xml:space="preserve"> </w:t>
      </w:r>
    </w:p>
    <w:p w:rsidR="00CE553D" w:rsidRPr="00CE553D" w:rsidRDefault="00CE553D" w:rsidP="00CE553D">
      <w:pPr>
        <w:pStyle w:val="a3"/>
        <w:numPr>
          <w:ilvl w:val="0"/>
          <w:numId w:val="5"/>
        </w:numPr>
        <w:spacing w:after="0" w:line="240" w:lineRule="auto"/>
        <w:jc w:val="both"/>
        <w:rPr>
          <w:rFonts w:ascii="Times New Roman" w:hAnsi="Times New Roman"/>
          <w:sz w:val="24"/>
          <w:szCs w:val="24"/>
        </w:rPr>
      </w:pPr>
      <w:r w:rsidRPr="00CE553D">
        <w:rPr>
          <w:rFonts w:ascii="Times New Roman" w:hAnsi="Times New Roman"/>
          <w:sz w:val="24"/>
          <w:szCs w:val="24"/>
        </w:rPr>
        <w:t>La art.12:</w:t>
      </w:r>
    </w:p>
    <w:p w:rsidR="00CE553D" w:rsidRPr="00CE553D" w:rsidRDefault="00CE553D" w:rsidP="00CE553D">
      <w:pPr>
        <w:ind w:firstLine="708"/>
        <w:jc w:val="both"/>
        <w:rPr>
          <w:lang w:val="en-US"/>
        </w:rPr>
      </w:pPr>
      <w:r w:rsidRPr="00CE553D">
        <w:rPr>
          <w:lang w:val="en-US"/>
        </w:rPr>
        <w:t>alin.(1) după cuvîntul „administrează” de completat cu sintagma „ , precum şi a bunurilor în privinţa cărora a fost dispus sechestrul, confiscarea specială sau confiscarea extinsă,”</w:t>
      </w:r>
    </w:p>
    <w:p w:rsidR="00CE553D" w:rsidRPr="00CE553D" w:rsidRDefault="00CE553D" w:rsidP="00CE553D">
      <w:pPr>
        <w:ind w:firstLine="708"/>
        <w:jc w:val="both"/>
        <w:rPr>
          <w:lang w:val="fr-FR"/>
        </w:rPr>
      </w:pPr>
      <w:r w:rsidRPr="00CE553D">
        <w:rPr>
          <w:lang w:val="fr-FR"/>
        </w:rPr>
        <w:t>alin.(2) după cuvîntul „indisponibilizate” de completat cu cuvintele „şi confiscate”.</w:t>
      </w:r>
    </w:p>
    <w:p w:rsidR="00CE553D" w:rsidRPr="00CE553D" w:rsidRDefault="00CE553D" w:rsidP="00CE553D">
      <w:pPr>
        <w:jc w:val="both"/>
        <w:rPr>
          <w:lang w:val="fr-FR"/>
        </w:rPr>
      </w:pPr>
    </w:p>
    <w:p w:rsidR="00CE553D" w:rsidRPr="00CE553D" w:rsidRDefault="00CE553D" w:rsidP="00CE553D">
      <w:pPr>
        <w:pStyle w:val="a3"/>
        <w:numPr>
          <w:ilvl w:val="0"/>
          <w:numId w:val="5"/>
        </w:numPr>
        <w:spacing w:after="0" w:line="240" w:lineRule="auto"/>
        <w:jc w:val="both"/>
        <w:rPr>
          <w:rFonts w:ascii="Times New Roman" w:hAnsi="Times New Roman"/>
          <w:sz w:val="24"/>
          <w:szCs w:val="24"/>
          <w:lang w:val="fr-FR"/>
        </w:rPr>
      </w:pPr>
      <w:r w:rsidRPr="00CE553D">
        <w:rPr>
          <w:rFonts w:ascii="Times New Roman" w:hAnsi="Times New Roman"/>
          <w:sz w:val="24"/>
          <w:szCs w:val="24"/>
          <w:lang w:val="fr-FR"/>
        </w:rPr>
        <w:t>Art.14  de completat cu un nou alineat (1</w:t>
      </w:r>
      <w:r w:rsidRPr="00CE553D">
        <w:rPr>
          <w:rFonts w:ascii="Times New Roman" w:hAnsi="Times New Roman"/>
          <w:sz w:val="24"/>
          <w:szCs w:val="24"/>
          <w:vertAlign w:val="superscript"/>
          <w:lang w:val="fr-FR"/>
        </w:rPr>
        <w:t>1</w:t>
      </w:r>
      <w:r w:rsidRPr="00CE553D">
        <w:rPr>
          <w:rFonts w:ascii="Times New Roman" w:hAnsi="Times New Roman"/>
          <w:sz w:val="24"/>
          <w:szCs w:val="24"/>
          <w:lang w:val="fr-FR"/>
        </w:rPr>
        <w:t xml:space="preserve">) cu următorul conţinut: </w:t>
      </w:r>
    </w:p>
    <w:p w:rsidR="00CE553D" w:rsidRPr="00CE553D" w:rsidRDefault="00CE553D" w:rsidP="00CE553D">
      <w:pPr>
        <w:ind w:firstLine="360"/>
        <w:jc w:val="both"/>
        <w:rPr>
          <w:lang w:val="fr-FR"/>
        </w:rPr>
      </w:pPr>
      <w:r w:rsidRPr="00CE553D">
        <w:rPr>
          <w:lang w:val="fr-FR"/>
        </w:rPr>
        <w:t>„(1</w:t>
      </w:r>
      <w:r w:rsidRPr="00CE553D">
        <w:rPr>
          <w:vertAlign w:val="superscript"/>
          <w:lang w:val="fr-FR"/>
        </w:rPr>
        <w:t>1</w:t>
      </w:r>
      <w:r w:rsidRPr="00CE553D">
        <w:rPr>
          <w:lang w:val="fr-FR"/>
        </w:rPr>
        <w:t xml:space="preserve">) Informaţiile (documente, materiale etc.) transmise de către </w:t>
      </w:r>
      <w:r w:rsidRPr="00CE553D">
        <w:rPr>
          <w:bCs/>
          <w:lang w:val="fr-FR"/>
        </w:rPr>
        <w:t xml:space="preserve">furnizorii de date relevante pentru activitatea </w:t>
      </w:r>
      <w:r w:rsidRPr="00CE553D">
        <w:rPr>
          <w:lang w:val="fr-FR"/>
        </w:rPr>
        <w:t>Agenţiei de Recuperare a Bunurilor Infracţionale, reprezentanţii organelor de urmărire penală, organelor procuraturii, instanţelor judecătoreşti sau altor autorităţi competente, în scopul prevăzut de prezenta lege, nu constituie divulgare a secretului comercial, bancar, profesional sau a datelor cu caracter personal.”.</w:t>
      </w:r>
    </w:p>
    <w:p w:rsidR="00CE553D" w:rsidRPr="00CE553D" w:rsidRDefault="00CE553D" w:rsidP="00CE553D">
      <w:pPr>
        <w:ind w:firstLine="705"/>
        <w:jc w:val="both"/>
        <w:rPr>
          <w:lang w:val="fr-FR"/>
        </w:rPr>
      </w:pPr>
    </w:p>
    <w:p w:rsidR="00CE553D" w:rsidRPr="00CE553D" w:rsidRDefault="00CE553D" w:rsidP="00CE553D">
      <w:pPr>
        <w:pStyle w:val="a3"/>
        <w:numPr>
          <w:ilvl w:val="0"/>
          <w:numId w:val="5"/>
        </w:numPr>
        <w:ind w:left="0" w:firstLine="426"/>
        <w:jc w:val="both"/>
        <w:rPr>
          <w:lang w:val="fr-FR"/>
        </w:rPr>
      </w:pPr>
      <w:r w:rsidRPr="00CE553D">
        <w:rPr>
          <w:rFonts w:ascii="Times New Roman" w:hAnsi="Times New Roman"/>
          <w:sz w:val="24"/>
          <w:szCs w:val="24"/>
          <w:lang w:val="fr-FR"/>
        </w:rPr>
        <w:t>La articolul 15 alineatul (2) cuvintele “Centrul Naţional Anticorupţie” se substituie cu cuvintele “Serviciului  de Recuperare a Bunurilor Infracţionale”.</w:t>
      </w:r>
    </w:p>
    <w:p w:rsidR="00CE553D" w:rsidRPr="00CE553D" w:rsidRDefault="00CE553D" w:rsidP="00CE553D">
      <w:pPr>
        <w:ind w:firstLine="705"/>
        <w:jc w:val="both"/>
        <w:rPr>
          <w:lang w:val="fr-FR"/>
        </w:rPr>
      </w:pPr>
    </w:p>
    <w:p w:rsidR="00CE553D" w:rsidRPr="00CE553D" w:rsidRDefault="00CE553D" w:rsidP="00CE553D">
      <w:pPr>
        <w:jc w:val="both"/>
        <w:rPr>
          <w:lang w:val="fr-FR"/>
        </w:rPr>
      </w:pPr>
    </w:p>
    <w:p w:rsidR="00CE553D" w:rsidRPr="00CE553D" w:rsidRDefault="00CE553D" w:rsidP="00CE553D">
      <w:pPr>
        <w:jc w:val="both"/>
        <w:rPr>
          <w:lang w:val="fr-FR"/>
        </w:rPr>
      </w:pPr>
    </w:p>
    <w:p w:rsidR="00CE553D" w:rsidRPr="00CE553D" w:rsidRDefault="00CE553D" w:rsidP="00CE553D">
      <w:pPr>
        <w:spacing w:after="160" w:line="259" w:lineRule="auto"/>
        <w:rPr>
          <w:b/>
          <w:lang w:val="fr-FR"/>
        </w:rPr>
      </w:pPr>
    </w:p>
    <w:p w:rsidR="00CE553D" w:rsidRPr="00CE553D" w:rsidRDefault="00CE553D" w:rsidP="00CE553D">
      <w:pPr>
        <w:spacing w:after="160" w:line="259" w:lineRule="auto"/>
        <w:rPr>
          <w:b/>
          <w:lang w:val="fr-FR"/>
        </w:rPr>
      </w:pPr>
    </w:p>
    <w:p w:rsidR="00CE553D" w:rsidRPr="00CE553D" w:rsidRDefault="00CE553D" w:rsidP="00CE553D">
      <w:pPr>
        <w:spacing w:after="160" w:line="259" w:lineRule="auto"/>
        <w:jc w:val="center"/>
        <w:rPr>
          <w:b/>
          <w:lang w:val="fr-FR"/>
        </w:rPr>
      </w:pPr>
      <w:r w:rsidRPr="00CE553D">
        <w:rPr>
          <w:b/>
          <w:lang w:val="fr-FR"/>
        </w:rPr>
        <w:t>PREȘEDINTELE PARLAMENTULUI</w:t>
      </w:r>
    </w:p>
    <w:p w:rsidR="00CE553D" w:rsidRPr="00CE553D" w:rsidRDefault="00CE553D" w:rsidP="00CE553D">
      <w:pPr>
        <w:spacing w:after="160" w:line="259" w:lineRule="auto"/>
        <w:rPr>
          <w:b/>
          <w:lang w:val="fr-FR"/>
        </w:rPr>
      </w:pPr>
    </w:p>
    <w:p w:rsidR="00CE553D" w:rsidRPr="00CE553D" w:rsidRDefault="00CE553D" w:rsidP="00CE553D">
      <w:pPr>
        <w:spacing w:after="160" w:line="259" w:lineRule="auto"/>
        <w:rPr>
          <w:b/>
          <w:lang w:val="fr-FR"/>
        </w:rPr>
      </w:pPr>
    </w:p>
    <w:p w:rsidR="00CE553D" w:rsidRPr="00CE553D" w:rsidRDefault="00CE553D">
      <w:pPr>
        <w:spacing w:after="200" w:line="276" w:lineRule="auto"/>
        <w:rPr>
          <w:b/>
          <w:lang w:val="fr-FR"/>
        </w:rPr>
      </w:pPr>
      <w:r w:rsidRPr="00CE553D">
        <w:rPr>
          <w:b/>
          <w:lang w:val="fr-FR"/>
        </w:rPr>
        <w:br w:type="page"/>
      </w:r>
    </w:p>
    <w:p w:rsidR="00CE553D" w:rsidRPr="00CE553D" w:rsidRDefault="00CE553D" w:rsidP="00CE553D">
      <w:pPr>
        <w:spacing w:after="160" w:line="259" w:lineRule="auto"/>
        <w:rPr>
          <w:b/>
          <w:lang w:val="fr-FR"/>
        </w:rPr>
      </w:pPr>
    </w:p>
    <w:p w:rsidR="00CE553D" w:rsidRPr="00CE553D" w:rsidRDefault="00CE553D" w:rsidP="00CE553D">
      <w:pPr>
        <w:spacing w:after="160" w:line="259" w:lineRule="auto"/>
        <w:rPr>
          <w:b/>
          <w:lang w:val="fr-FR"/>
        </w:rPr>
      </w:pPr>
    </w:p>
    <w:p w:rsidR="00CE553D" w:rsidRPr="00CE553D" w:rsidRDefault="00CE553D" w:rsidP="00CE553D">
      <w:pPr>
        <w:jc w:val="center"/>
        <w:rPr>
          <w:b/>
          <w:lang w:val="fr-FR"/>
        </w:rPr>
      </w:pPr>
      <w:r w:rsidRPr="00CE553D">
        <w:rPr>
          <w:b/>
          <w:lang w:val="fr-FR"/>
        </w:rPr>
        <w:t>Notă informativă</w:t>
      </w:r>
    </w:p>
    <w:p w:rsidR="00CE553D" w:rsidRPr="00CE553D" w:rsidRDefault="00CE553D" w:rsidP="00CE553D">
      <w:pPr>
        <w:jc w:val="center"/>
        <w:rPr>
          <w:b/>
          <w:lang w:val="fr-FR"/>
        </w:rPr>
      </w:pPr>
      <w:r w:rsidRPr="00CE553D">
        <w:rPr>
          <w:b/>
          <w:lang w:val="fr-FR"/>
        </w:rPr>
        <w:t xml:space="preserve">la proiectul de lege pentru modificarea şi completarea unor acte legislative </w:t>
      </w:r>
    </w:p>
    <w:p w:rsidR="00CE553D" w:rsidRPr="00CE553D" w:rsidRDefault="00CE553D" w:rsidP="00CE553D">
      <w:pPr>
        <w:jc w:val="center"/>
        <w:rPr>
          <w:b/>
          <w:lang w:val="fr-FR"/>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40"/>
      </w:tblGrid>
      <w:tr w:rsidR="00CE553D" w:rsidRPr="00CE553D" w:rsidTr="00016415">
        <w:trPr>
          <w:jc w:val="center"/>
        </w:trPr>
        <w:tc>
          <w:tcPr>
            <w:tcW w:w="10440" w:type="dxa"/>
            <w:shd w:val="pct15" w:color="auto" w:fill="auto"/>
          </w:tcPr>
          <w:p w:rsidR="00CE553D" w:rsidRPr="00CE553D" w:rsidRDefault="00CE553D" w:rsidP="00016415">
            <w:pPr>
              <w:pStyle w:val="a3"/>
              <w:numPr>
                <w:ilvl w:val="0"/>
                <w:numId w:val="1"/>
              </w:numPr>
              <w:tabs>
                <w:tab w:val="left" w:pos="270"/>
              </w:tabs>
              <w:spacing w:beforeLines="60" w:before="144" w:afterLines="60" w:after="144" w:line="240" w:lineRule="auto"/>
              <w:ind w:left="0" w:firstLine="0"/>
              <w:jc w:val="both"/>
              <w:rPr>
                <w:rFonts w:ascii="Times New Roman" w:hAnsi="Times New Roman"/>
                <w:b/>
                <w:sz w:val="24"/>
                <w:szCs w:val="24"/>
                <w:lang w:val="fr-FR"/>
              </w:rPr>
            </w:pPr>
            <w:r w:rsidRPr="00CE553D">
              <w:rPr>
                <w:rFonts w:ascii="Times New Roman" w:hAnsi="Times New Roman"/>
                <w:b/>
                <w:sz w:val="24"/>
                <w:szCs w:val="24"/>
                <w:lang w:val="fr-FR"/>
              </w:rPr>
              <w:t xml:space="preserve">Cauzele care au condiţionat elaborarea proiectului </w:t>
            </w:r>
          </w:p>
        </w:tc>
      </w:tr>
      <w:tr w:rsidR="00CE553D" w:rsidRPr="00CE553D" w:rsidTr="00016415">
        <w:trPr>
          <w:jc w:val="center"/>
        </w:trPr>
        <w:tc>
          <w:tcPr>
            <w:tcW w:w="10440" w:type="dxa"/>
            <w:tcBorders>
              <w:bottom w:val="single" w:sz="4" w:space="0" w:color="auto"/>
            </w:tcBorders>
          </w:tcPr>
          <w:p w:rsidR="00CE553D" w:rsidRPr="00CE553D" w:rsidRDefault="00CE553D" w:rsidP="00016415">
            <w:pPr>
              <w:spacing w:beforeLines="60" w:before="144" w:afterLines="60" w:after="144"/>
              <w:jc w:val="both"/>
              <w:rPr>
                <w:lang w:val="fr-FR"/>
              </w:rPr>
            </w:pPr>
            <w:r w:rsidRPr="00CE553D">
              <w:rPr>
                <w:lang w:val="fr-FR"/>
              </w:rPr>
              <w:t>Prin adoptarea de către Parlament a Legii nr.48 din 30.03.2017 privind Agenţia de Recuperare a Bunurilor Infracţionale şi a Legii nr.49 din 30.03.2017 pentru completarea unor acte legislative s-a instituit reglementări privind procedura identificării, urmăririi, recuperării, sechestrării şi confiscării bunurilor infracţionale.</w:t>
            </w:r>
          </w:p>
          <w:p w:rsidR="00CE553D" w:rsidRPr="00CE553D" w:rsidRDefault="00CE553D" w:rsidP="00016415">
            <w:pPr>
              <w:spacing w:beforeLines="60" w:before="144" w:afterLines="60" w:after="144"/>
              <w:jc w:val="both"/>
              <w:rPr>
                <w:lang w:val="fr-FR"/>
              </w:rPr>
            </w:pPr>
            <w:r w:rsidRPr="00CE553D">
              <w:rPr>
                <w:lang w:val="fr-FR"/>
              </w:rPr>
              <w:t xml:space="preserve">Totodată, în procesul de punere în aplicare a reglementărilor respective au fost identificate unele lacune care vor afecta funcționarea corectă a mecanismului recuperării bunurilor infracţionale, or pentru a obţine rezultate este necesar ca Agenţia de Recuperare a Bunurilor Infracţionale trebuie să aibă la îndemînă toate instrumentele juridice care pot servi la exercitarea corespunzătoare a atribuţiilor sale.  </w:t>
            </w:r>
          </w:p>
          <w:p w:rsidR="00CE553D" w:rsidRPr="00CE553D" w:rsidRDefault="00CE553D" w:rsidP="00016415">
            <w:pPr>
              <w:spacing w:beforeLines="60" w:before="144" w:afterLines="60" w:after="144"/>
              <w:jc w:val="both"/>
              <w:rPr>
                <w:lang w:val="fr-FR"/>
              </w:rPr>
            </w:pPr>
            <w:r w:rsidRPr="00CE553D">
              <w:rPr>
                <w:lang w:val="fr-FR"/>
              </w:rPr>
              <w:t>Semnalăm că crearea şi funcţionarea Agenţiei de Recuperare a Bunurilor Infracţionale este dictată de angajamentele asumate de Republica Moldova atît în cadrul Acordului de Asociere cu Uniunea Europeană, ratificat de Parlamentul Republicii Moldova prin Legea nr.112 din 2 iulie 2014, cît şi de angajamentele care derivă din Convenţiile internaţionale: Convenţia Naţiunilor Unite împotriva corupţiei, Convenţia Naţiunilor Unite împotriva criminalităţii transnaţionale organizate.</w:t>
            </w:r>
          </w:p>
          <w:p w:rsidR="00CE553D" w:rsidRPr="00CE553D" w:rsidRDefault="00CE553D" w:rsidP="00016415">
            <w:pPr>
              <w:jc w:val="both"/>
              <w:rPr>
                <w:lang w:val="fr-FR"/>
              </w:rPr>
            </w:pPr>
            <w:r w:rsidRPr="00CE553D">
              <w:rPr>
                <w:lang w:val="fr-FR"/>
              </w:rPr>
              <w:t>Reiterăm faptul că, subsecvent angajamentelor asumate prin semnarea Acordului de asociere şi ratificarea convenţiilor internaţionale, Programul de guvernare 2016-2018 de asemenea prevede necesitatea de</w:t>
            </w:r>
          </w:p>
          <w:p w:rsidR="00CE553D" w:rsidRPr="00CE553D" w:rsidRDefault="00CE553D" w:rsidP="00016415">
            <w:pPr>
              <w:jc w:val="both"/>
              <w:rPr>
                <w:lang w:val="fr-FR"/>
              </w:rPr>
            </w:pPr>
          </w:p>
          <w:p w:rsidR="00CE553D" w:rsidRPr="00CE553D" w:rsidRDefault="00CE553D" w:rsidP="00CE553D">
            <w:pPr>
              <w:numPr>
                <w:ilvl w:val="0"/>
                <w:numId w:val="3"/>
              </w:numPr>
              <w:jc w:val="both"/>
              <w:rPr>
                <w:lang w:val="fr-FR"/>
              </w:rPr>
            </w:pPr>
            <w:r w:rsidRPr="00CE553D">
              <w:rPr>
                <w:lang w:val="fr-FR"/>
              </w:rPr>
              <w:t xml:space="preserve">perfecţionare a cadrului legislativ necesar pentru organizarea activităţii de investigare financiară, depistare, urmărire şi conservare a bunurilor provenite din infracţiuni pentru asigurarea confiscării acestora, inclusiv pentru recuperarea prejudiciului cauzat prin infracţiuni, în special prin infracţiuni de corupţie şi conexe, în urma analizei internaţionale specializate a cadrului juridic şi a practicilor Republicii Moldova. </w:t>
            </w:r>
          </w:p>
          <w:p w:rsidR="00CE553D" w:rsidRPr="00CE553D" w:rsidRDefault="00CE553D" w:rsidP="00016415">
            <w:pPr>
              <w:ind w:left="720"/>
              <w:jc w:val="both"/>
              <w:rPr>
                <w:lang w:val="fr-FR"/>
              </w:rPr>
            </w:pPr>
          </w:p>
          <w:p w:rsidR="00CE553D" w:rsidRPr="00CE553D" w:rsidRDefault="00CE553D" w:rsidP="00CE553D">
            <w:pPr>
              <w:numPr>
                <w:ilvl w:val="0"/>
                <w:numId w:val="3"/>
              </w:numPr>
              <w:jc w:val="both"/>
              <w:rPr>
                <w:lang w:val="fr-FR"/>
              </w:rPr>
            </w:pPr>
            <w:r w:rsidRPr="00CE553D">
              <w:rPr>
                <w:lang w:val="fr-FR"/>
              </w:rPr>
              <w:t>stabilire a instituţiei cu competenţe de identificare, recuperare şi administrare a bunurilor provenite din activităţi infracţionale şi aflate pe teritoriul Republicii Moldova sau peste hotarele ei. ”</w:t>
            </w:r>
          </w:p>
          <w:p w:rsidR="00CE553D" w:rsidRPr="00CE553D" w:rsidRDefault="00CE553D" w:rsidP="00016415">
            <w:pPr>
              <w:jc w:val="both"/>
              <w:rPr>
                <w:lang w:val="fr-FR"/>
              </w:rPr>
            </w:pPr>
          </w:p>
        </w:tc>
      </w:tr>
      <w:tr w:rsidR="00CE553D" w:rsidRPr="00CE553D" w:rsidTr="00016415">
        <w:trPr>
          <w:jc w:val="center"/>
        </w:trPr>
        <w:tc>
          <w:tcPr>
            <w:tcW w:w="10440" w:type="dxa"/>
            <w:shd w:val="pct15" w:color="auto" w:fill="auto"/>
          </w:tcPr>
          <w:p w:rsidR="00CE553D" w:rsidRPr="00CE553D" w:rsidRDefault="00CE553D" w:rsidP="00016415">
            <w:pPr>
              <w:spacing w:beforeLines="60" w:before="144" w:afterLines="60" w:after="144"/>
              <w:jc w:val="both"/>
              <w:rPr>
                <w:b/>
              </w:rPr>
            </w:pPr>
            <w:r w:rsidRPr="00CE553D">
              <w:rPr>
                <w:b/>
              </w:rPr>
              <w:t>2.  Scopul şi obiectivele proiectului</w:t>
            </w:r>
          </w:p>
        </w:tc>
      </w:tr>
      <w:tr w:rsidR="00CE553D" w:rsidRPr="00CE553D" w:rsidTr="00016415">
        <w:trPr>
          <w:jc w:val="center"/>
        </w:trPr>
        <w:tc>
          <w:tcPr>
            <w:tcW w:w="10440" w:type="dxa"/>
            <w:tcBorders>
              <w:bottom w:val="single" w:sz="4" w:space="0" w:color="auto"/>
            </w:tcBorders>
          </w:tcPr>
          <w:p w:rsidR="00CE553D" w:rsidRPr="00CE553D" w:rsidRDefault="00CE553D" w:rsidP="00016415">
            <w:pPr>
              <w:spacing w:beforeLines="60" w:before="144" w:afterLines="60" w:after="144"/>
              <w:jc w:val="both"/>
              <w:rPr>
                <w:lang w:val="ro-RO"/>
              </w:rPr>
            </w:pPr>
            <w:r w:rsidRPr="00CE553D">
              <w:rPr>
                <w:b/>
              </w:rPr>
              <w:t>Scopul</w:t>
            </w:r>
            <w:r w:rsidRPr="00CE553D">
              <w:t xml:space="preserve"> proiectului este de a asigura coerența legislativă în materia modalităţilor legate de indisponibilizarea bunurilor infracţionale, reprezentarea intereselor statului şi a persoanelor juridice de drept public în procesele civile de recuperare a bunurilor infracţionale, precum şi înlăturarea vidul</w:t>
            </w:r>
            <w:r w:rsidRPr="00CE553D">
              <w:rPr>
                <w:lang w:val="ro-RO"/>
              </w:rPr>
              <w:t>ui</w:t>
            </w:r>
            <w:r w:rsidRPr="00CE553D">
              <w:t xml:space="preserve"> legislativ referitor la delegaţiile dispuse Agenției de Recuperare a Bunurilor Infracționale</w:t>
            </w:r>
            <w:r w:rsidRPr="00CE553D">
              <w:rPr>
                <w:lang w:val="ro-RO"/>
              </w:rPr>
              <w:t>.</w:t>
            </w:r>
          </w:p>
        </w:tc>
      </w:tr>
      <w:tr w:rsidR="00CE553D" w:rsidRPr="00CE553D" w:rsidTr="00016415">
        <w:trPr>
          <w:jc w:val="center"/>
        </w:trPr>
        <w:tc>
          <w:tcPr>
            <w:tcW w:w="10440" w:type="dxa"/>
            <w:tcBorders>
              <w:bottom w:val="single" w:sz="4" w:space="0" w:color="auto"/>
            </w:tcBorders>
            <w:shd w:val="pct15" w:color="auto" w:fill="auto"/>
          </w:tcPr>
          <w:p w:rsidR="00CE553D" w:rsidRPr="00CE553D" w:rsidRDefault="00CE553D" w:rsidP="00016415">
            <w:pPr>
              <w:spacing w:beforeLines="60" w:before="144" w:afterLines="60" w:after="144"/>
              <w:rPr>
                <w:b/>
              </w:rPr>
            </w:pPr>
            <w:r w:rsidRPr="00CE553D">
              <w:rPr>
                <w:b/>
              </w:rPr>
              <w:t xml:space="preserve">3. Descrierea proiectului  </w:t>
            </w:r>
          </w:p>
        </w:tc>
      </w:tr>
      <w:tr w:rsidR="00CE553D" w:rsidRPr="00CE553D" w:rsidTr="00016415">
        <w:trPr>
          <w:jc w:val="center"/>
        </w:trPr>
        <w:tc>
          <w:tcPr>
            <w:tcW w:w="10440" w:type="dxa"/>
            <w:tcBorders>
              <w:top w:val="single" w:sz="4" w:space="0" w:color="auto"/>
              <w:left w:val="single" w:sz="4" w:space="0" w:color="auto"/>
              <w:bottom w:val="single" w:sz="4" w:space="0" w:color="auto"/>
              <w:right w:val="single" w:sz="4" w:space="0" w:color="auto"/>
            </w:tcBorders>
          </w:tcPr>
          <w:p w:rsidR="00CE553D" w:rsidRPr="00CE553D" w:rsidRDefault="00CE553D" w:rsidP="00016415">
            <w:pPr>
              <w:spacing w:after="120"/>
              <w:jc w:val="both"/>
              <w:rPr>
                <w:b/>
                <w:lang w:val="fr-FR"/>
              </w:rPr>
            </w:pPr>
          </w:p>
          <w:p w:rsidR="00CE553D" w:rsidRPr="00CE553D" w:rsidRDefault="00CE553D" w:rsidP="00016415">
            <w:pPr>
              <w:spacing w:after="120"/>
              <w:jc w:val="both"/>
              <w:rPr>
                <w:b/>
                <w:lang w:val="fr-FR"/>
              </w:rPr>
            </w:pPr>
            <w:r w:rsidRPr="00CE553D">
              <w:rPr>
                <w:b/>
                <w:lang w:val="fr-FR"/>
              </w:rPr>
              <w:t>Modificările operate la Codul de procedură penală se concentrează pe următoarele aspecte:</w:t>
            </w:r>
          </w:p>
          <w:p w:rsidR="00CE553D" w:rsidRPr="00CE553D" w:rsidRDefault="00CE553D" w:rsidP="00CE553D">
            <w:pPr>
              <w:pStyle w:val="a3"/>
              <w:numPr>
                <w:ilvl w:val="0"/>
                <w:numId w:val="2"/>
              </w:numPr>
              <w:spacing w:after="120" w:line="240" w:lineRule="auto"/>
              <w:jc w:val="both"/>
              <w:rPr>
                <w:rFonts w:ascii="Times New Roman" w:hAnsi="Times New Roman"/>
                <w:b/>
                <w:sz w:val="24"/>
                <w:szCs w:val="24"/>
              </w:rPr>
            </w:pPr>
            <w:r w:rsidRPr="00CE553D">
              <w:rPr>
                <w:rFonts w:ascii="Times New Roman" w:hAnsi="Times New Roman"/>
                <w:b/>
                <w:sz w:val="24"/>
                <w:szCs w:val="24"/>
              </w:rPr>
              <w:t>Art. 229/3 Indisponibilizarea Bunurilor Infracţionale</w:t>
            </w:r>
          </w:p>
          <w:p w:rsidR="00CE553D" w:rsidRPr="00CE553D" w:rsidRDefault="00CE553D" w:rsidP="00016415">
            <w:pPr>
              <w:pStyle w:val="a4"/>
              <w:spacing w:before="0" w:beforeAutospacing="0" w:after="0" w:afterAutospacing="0"/>
              <w:ind w:firstLine="567"/>
              <w:jc w:val="both"/>
              <w:rPr>
                <w:lang w:val="en-US"/>
              </w:rPr>
            </w:pPr>
            <w:r w:rsidRPr="00CE553D">
              <w:rPr>
                <w:lang w:val="en-US"/>
              </w:rPr>
              <w:t>Modificările operate la acest articol urmăresc excluderea conflictului normativ dintre prevederile Codului de procedură penală şi prevederile Legii nr.48 din 30.03.2017 privind Agenţia de Recuperare a bunurilor Infracţionale. Astfel, art.229/3 din Codul de procedură penală prevede că: „Bunurile infracţionale identificate sînt indisponibilizate prin încheierea instanţei de judecată de punere sub sechestru”, iar art. 10 al Legii 48/2017 prevede că: „Agenţia de Recuperare a Bunurilor Infracţionale asigură indisponibilizarea bunurilor infracţionale identificate prin:</w:t>
            </w:r>
          </w:p>
          <w:p w:rsidR="00CE553D" w:rsidRPr="00CE553D" w:rsidRDefault="00CE553D" w:rsidP="00016415">
            <w:pPr>
              <w:pStyle w:val="a4"/>
              <w:spacing w:before="0" w:beforeAutospacing="0" w:after="0" w:afterAutospacing="0"/>
              <w:ind w:firstLine="567"/>
              <w:jc w:val="both"/>
              <w:rPr>
                <w:lang w:val="fr-FR"/>
              </w:rPr>
            </w:pPr>
            <w:r w:rsidRPr="00CE553D">
              <w:rPr>
                <w:lang w:val="fr-FR"/>
              </w:rPr>
              <w:t>a) solicitarea punerii sub sechestru de către instanţa de judecată, în condiţiile Codului de procedură penală;</w:t>
            </w:r>
          </w:p>
          <w:p w:rsidR="00CE553D" w:rsidRPr="00CE553D" w:rsidRDefault="00CE553D" w:rsidP="00016415">
            <w:pPr>
              <w:pStyle w:val="a4"/>
              <w:spacing w:before="0" w:beforeAutospacing="0" w:after="0" w:afterAutospacing="0"/>
              <w:ind w:firstLine="567"/>
              <w:jc w:val="both"/>
              <w:rPr>
                <w:lang w:val="fr-FR"/>
              </w:rPr>
            </w:pPr>
            <w:r w:rsidRPr="00CE553D">
              <w:rPr>
                <w:lang w:val="fr-FR"/>
              </w:rPr>
              <w:t>b) emiterea ordinului de îngheţare.”</w:t>
            </w:r>
          </w:p>
          <w:p w:rsidR="00CE553D" w:rsidRPr="00CE553D" w:rsidRDefault="00CE553D" w:rsidP="00016415">
            <w:pPr>
              <w:ind w:firstLine="731"/>
              <w:jc w:val="both"/>
              <w:rPr>
                <w:lang w:val="fr-FR"/>
              </w:rPr>
            </w:pPr>
            <w:r w:rsidRPr="00CE553D">
              <w:rPr>
                <w:lang w:val="fr-FR"/>
              </w:rPr>
              <w:br/>
              <w:t xml:space="preserve">            Prin urmare, termenul de „indisponibilizare a bunurilor infracţionale identificate” este utilizat diferit în cuprinsul celor două acte legislative. Astfel, Legea 48/2017 prevede că </w:t>
            </w:r>
            <w:r w:rsidRPr="00CE553D">
              <w:rPr>
                <w:b/>
                <w:lang w:val="fr-FR"/>
              </w:rPr>
              <w:t>indisponibilizarea</w:t>
            </w:r>
            <w:r w:rsidRPr="00CE553D">
              <w:rPr>
                <w:lang w:val="fr-FR"/>
              </w:rPr>
              <w:t xml:space="preserve"> presupune în sine două aspecte, care pot fi realizate fie prin aplicarea sechestrului de către instanţa de judecată în condiţiile CPP, fie prin îngheţare, în baza ordinului ARBI, însă Codul de procedură penală la art.229/3 atribuie indisponibilizării</w:t>
            </w:r>
            <w:r w:rsidRPr="00CE553D">
              <w:rPr>
                <w:b/>
                <w:lang w:val="fr-FR"/>
              </w:rPr>
              <w:t xml:space="preserve"> </w:t>
            </w:r>
            <w:r w:rsidRPr="00CE553D">
              <w:rPr>
                <w:lang w:val="fr-FR"/>
              </w:rPr>
              <w:t xml:space="preserve">doar o singură modalitate, şi anume: punerea sub sechestru.  Această confuzie, la aplicare, va genera multiple neînțelegeri şi interpretări greşite, precum şi va crea deficienţe în activitatea ARBI, în special ce ţin de recuperarea bunurilor infracţionale. </w:t>
            </w:r>
          </w:p>
          <w:p w:rsidR="00CE553D" w:rsidRPr="00CE553D" w:rsidRDefault="00CE553D" w:rsidP="00016415">
            <w:pPr>
              <w:pStyle w:val="a4"/>
              <w:spacing w:before="0" w:beforeAutospacing="0" w:after="0" w:afterAutospacing="0"/>
              <w:ind w:firstLine="731"/>
              <w:jc w:val="both"/>
              <w:rPr>
                <w:lang w:val="fr-FR"/>
              </w:rPr>
            </w:pPr>
            <w:r w:rsidRPr="00CE553D">
              <w:rPr>
                <w:lang w:val="fr-FR"/>
              </w:rPr>
              <w:t xml:space="preserve">De asemenea, potrivit tehnicii legislative, în speţă art.19 din Legea nr.780/2001 privind actele legislative prevede că terminologia utilizată în actul elaborat este constantă şi uniformă ca şi în celelalte acte legislative şi în reglementările legislaţiei comunitare; se va utiliza unul şi acelaşi termen dacă este corect, iar folosirea lui repetată exclude confuzia. </w:t>
            </w:r>
          </w:p>
          <w:p w:rsidR="00CE553D" w:rsidRPr="00CE553D" w:rsidRDefault="00CE553D" w:rsidP="00016415">
            <w:pPr>
              <w:ind w:firstLine="731"/>
              <w:jc w:val="both"/>
              <w:rPr>
                <w:lang w:val="fr-FR"/>
              </w:rPr>
            </w:pPr>
            <w:r w:rsidRPr="00CE553D">
              <w:rPr>
                <w:lang w:val="fr-FR"/>
              </w:rPr>
              <w:t xml:space="preserve">Astfel, întru evitarea conflictului normativ relevat şi a incoerenţei legislative este imperios modificarea art.229/3 din Codul de procedură penală, fapt ce va asigura realizarea atribuţiilor ARBI.  </w:t>
            </w:r>
          </w:p>
          <w:p w:rsidR="00CE553D" w:rsidRPr="00CE553D" w:rsidRDefault="00CE553D" w:rsidP="00CE553D">
            <w:pPr>
              <w:pStyle w:val="a3"/>
              <w:numPr>
                <w:ilvl w:val="0"/>
                <w:numId w:val="2"/>
              </w:numPr>
              <w:spacing w:beforeLines="60" w:before="144" w:afterLines="60" w:after="144" w:line="240" w:lineRule="auto"/>
              <w:jc w:val="both"/>
              <w:rPr>
                <w:rFonts w:ascii="Times New Roman" w:hAnsi="Times New Roman"/>
                <w:b/>
                <w:sz w:val="24"/>
                <w:szCs w:val="24"/>
              </w:rPr>
            </w:pPr>
            <w:r w:rsidRPr="00CE553D">
              <w:rPr>
                <w:rFonts w:ascii="Times New Roman" w:hAnsi="Times New Roman"/>
                <w:b/>
                <w:sz w:val="24"/>
                <w:szCs w:val="24"/>
              </w:rPr>
              <w:t>Art. 229/4 Confiscarea bunurilor infracţionale şi repararea prejudiciilor</w:t>
            </w:r>
          </w:p>
          <w:p w:rsidR="00CE553D" w:rsidRPr="00CE553D" w:rsidRDefault="00CE553D" w:rsidP="00016415">
            <w:pPr>
              <w:spacing w:beforeLines="60" w:before="144" w:afterLines="60" w:after="144"/>
              <w:ind w:firstLine="731"/>
              <w:jc w:val="both"/>
              <w:rPr>
                <w:lang w:val="en-US"/>
              </w:rPr>
            </w:pPr>
            <w:r w:rsidRPr="00CE553D">
              <w:rPr>
                <w:lang w:val="en-US"/>
              </w:rPr>
              <w:t xml:space="preserve">Potrivit art.98 alin.(2) din  Codul penal al Republicii Moldova, confiscarea specială şi confiscarea extinsă sunt măsuri de siguranţă. </w:t>
            </w:r>
          </w:p>
          <w:p w:rsidR="00CE553D" w:rsidRPr="00CE553D" w:rsidRDefault="00CE553D" w:rsidP="00016415">
            <w:pPr>
              <w:spacing w:beforeLines="60" w:before="144" w:afterLines="60" w:after="144"/>
              <w:ind w:firstLine="731"/>
              <w:jc w:val="both"/>
              <w:rPr>
                <w:lang w:val="fr-FR"/>
              </w:rPr>
            </w:pPr>
            <w:r w:rsidRPr="00CE553D">
              <w:rPr>
                <w:lang w:val="fr-FR"/>
              </w:rPr>
              <w:t xml:space="preserve">Măsurile de siguranţă </w:t>
            </w:r>
            <w:r w:rsidRPr="00CE553D">
              <w:rPr>
                <w:color w:val="000000"/>
                <w:lang w:val="fr-FR"/>
              </w:rPr>
              <w:t>constituie un instrument pus la dispoziţia instanţelor judecătoreşti de legiuitor, în scopul combaterii eficiente a criminalităţii şi, în special, a criminalităţii organizate.</w:t>
            </w:r>
          </w:p>
          <w:p w:rsidR="00CE553D" w:rsidRPr="00CE553D" w:rsidRDefault="00CE553D" w:rsidP="00016415">
            <w:pPr>
              <w:ind w:firstLine="731"/>
              <w:jc w:val="both"/>
              <w:rPr>
                <w:lang w:val="fr-FR"/>
              </w:rPr>
            </w:pPr>
            <w:r w:rsidRPr="00CE553D">
              <w:rPr>
                <w:lang w:val="fr-FR"/>
              </w:rPr>
              <w:t>Totodată, Codul de procedură penală, la art.285 alin.(6) prevede că la încetarea urmăririi penale, procurorul, dacă este cazul, dispune şi:</w:t>
            </w:r>
          </w:p>
          <w:p w:rsidR="00CE553D" w:rsidRPr="00CE553D" w:rsidRDefault="00CE553D" w:rsidP="00016415">
            <w:pPr>
              <w:ind w:firstLine="567"/>
              <w:jc w:val="both"/>
              <w:rPr>
                <w:lang w:val="fr-FR"/>
              </w:rPr>
            </w:pPr>
            <w:r w:rsidRPr="00CE553D">
              <w:rPr>
                <w:lang w:val="fr-FR"/>
              </w:rPr>
              <w:t>1) revocarea măsurii preventive şi a altor măsuri procesuale în modul prevăzut de lege;</w:t>
            </w:r>
          </w:p>
          <w:p w:rsidR="00CE553D" w:rsidRPr="00CE553D" w:rsidRDefault="00CE553D" w:rsidP="00016415">
            <w:pPr>
              <w:ind w:firstLine="567"/>
              <w:jc w:val="both"/>
              <w:rPr>
                <w:lang w:val="fr-FR"/>
              </w:rPr>
            </w:pPr>
            <w:r w:rsidRPr="00CE553D">
              <w:rPr>
                <w:lang w:val="fr-FR"/>
              </w:rPr>
              <w:t>2) restituirea cauţiunii în cazurile şi în modul prevăzut de lege;</w:t>
            </w:r>
          </w:p>
          <w:p w:rsidR="00CE553D" w:rsidRPr="00CE553D" w:rsidRDefault="00CE553D" w:rsidP="00016415">
            <w:pPr>
              <w:ind w:firstLine="567"/>
              <w:jc w:val="both"/>
              <w:rPr>
                <w:lang w:val="fr-FR"/>
              </w:rPr>
            </w:pPr>
            <w:r w:rsidRPr="00CE553D">
              <w:rPr>
                <w:lang w:val="fr-FR"/>
              </w:rPr>
              <w:t>3) aplicarea măsurilor de siguranţă;</w:t>
            </w:r>
          </w:p>
          <w:p w:rsidR="00CE553D" w:rsidRPr="00CE553D" w:rsidRDefault="00CE553D" w:rsidP="00016415">
            <w:pPr>
              <w:ind w:firstLine="567"/>
              <w:jc w:val="both"/>
              <w:rPr>
                <w:lang w:val="fr-FR"/>
              </w:rPr>
            </w:pPr>
            <w:r w:rsidRPr="00CE553D">
              <w:rPr>
                <w:lang w:val="fr-FR"/>
              </w:rPr>
              <w:t>4) încasarea cheltuielilor judiciare sau alte acţiuni prevăzute de lege.</w:t>
            </w:r>
          </w:p>
          <w:p w:rsidR="00CE553D" w:rsidRPr="00CE553D" w:rsidRDefault="00CE553D" w:rsidP="00016415">
            <w:pPr>
              <w:ind w:firstLine="731"/>
              <w:jc w:val="both"/>
              <w:rPr>
                <w:lang w:val="fr-FR"/>
              </w:rPr>
            </w:pPr>
            <w:r w:rsidRPr="00CE553D">
              <w:rPr>
                <w:lang w:val="fr-FR"/>
              </w:rPr>
              <w:t>Prin urmare, se constată că aplicarea măsurilor de siguranţă poate fi dispusă şi de către procuror prin ordonanţă, avînd în vedere că la moment există cazuri cînd persoana deşi este achitată sau scoasă de sub urmărire penală pe temei de reabilitare, totuşi bunurile infracţionale necesită a fi confiscate.</w:t>
            </w:r>
          </w:p>
          <w:p w:rsidR="00CE553D" w:rsidRPr="00CE553D" w:rsidRDefault="00CE553D" w:rsidP="00016415">
            <w:pPr>
              <w:ind w:firstLine="731"/>
              <w:jc w:val="both"/>
              <w:rPr>
                <w:lang w:val="fr-FR"/>
              </w:rPr>
            </w:pPr>
            <w:r w:rsidRPr="00CE553D">
              <w:rPr>
                <w:lang w:val="fr-FR"/>
              </w:rPr>
              <w:t>Confiscarea specială poate fi coroborată cu orice altă măsură de siguranţă şi poate fi aplicată şi în cazul în care făptuitorului nu i se aplică pedeapsa penală în situaţia de încetare a procedurii penale de către instanţă din diferite motive legale de ne</w:t>
            </w:r>
            <w:r w:rsidRPr="00CE553D">
              <w:rPr>
                <w:rStyle w:val="highlight"/>
                <w:lang w:val="fr-FR"/>
              </w:rPr>
              <w:t>reabilit</w:t>
            </w:r>
            <w:r w:rsidRPr="00CE553D">
              <w:rPr>
                <w:lang w:val="fr-FR"/>
              </w:rPr>
              <w:t xml:space="preserve">are. La fel măsurile de siguranţă nu pot fi înlăturate prin amnistie, graţiere, prescripţie penală sau reabilitare a persoanei. Măsurile de siguranţă nu pot fi aplicate de către instanţă dacă nu a fost stabilită săvârşirea faptei prevăzute de legea penală ori fapta nu a fost săvârşită de către inculpat. Instanţa poate aplica o măsură de siguranţă numai în cazul în care a fost sesizată legal cu judecarea faptei prevăzute de legea penală şi în limitele faptei penale pentru care a fost sesizată. Prin urmare, pînă la trimiterea cauzei în instanţa de judecată măsurile de siguranţă (confiscarea specială şi confiscarea extinsă) sunt aplicate de către procuror, în condiţiile Codului de procedură penală şi Codului penal. </w:t>
            </w:r>
          </w:p>
          <w:p w:rsidR="00CE553D" w:rsidRPr="00CE553D" w:rsidRDefault="00CE553D" w:rsidP="00016415">
            <w:pPr>
              <w:ind w:firstLine="589"/>
              <w:jc w:val="both"/>
              <w:rPr>
                <w:lang w:val="fr-FR"/>
              </w:rPr>
            </w:pPr>
            <w:r w:rsidRPr="00CE553D">
              <w:rPr>
                <w:lang w:val="fr-FR"/>
              </w:rPr>
              <w:t>Astfel, întru asigurarea aplicării corecte şi uniforme a prevederilor Codului de procedură penală proiectul propune stipularea expresă la art.229/4 din Codul de procedură penală că, confiscarea specială şi confiscarea extinsă a bunurilor infracţionale, precum şi repararea prejudiciilor cauzate prin infracţiuni se dispun prin hotărîrea instanţei de judecată, sau după caz, prin ordonanţa procurorului, în condiţiile prezentului cod şi ale Codului penal.</w:t>
            </w:r>
          </w:p>
          <w:p w:rsidR="00CE553D" w:rsidRPr="00CE553D" w:rsidRDefault="00CE553D" w:rsidP="00016415">
            <w:pPr>
              <w:ind w:firstLine="731"/>
              <w:jc w:val="both"/>
              <w:rPr>
                <w:lang w:val="fr-FR"/>
              </w:rPr>
            </w:pPr>
          </w:p>
          <w:p w:rsidR="00CE553D" w:rsidRPr="00CE553D" w:rsidRDefault="00CE553D" w:rsidP="00016415">
            <w:pPr>
              <w:ind w:firstLine="731"/>
              <w:jc w:val="both"/>
              <w:rPr>
                <w:lang w:val="fr-FR"/>
              </w:rPr>
            </w:pPr>
          </w:p>
          <w:p w:rsidR="00CE553D" w:rsidRPr="00CE553D" w:rsidRDefault="00CE553D" w:rsidP="00016415">
            <w:pPr>
              <w:ind w:firstLine="567"/>
              <w:jc w:val="both"/>
              <w:rPr>
                <w:lang w:val="fr-FR"/>
              </w:rPr>
            </w:pPr>
          </w:p>
          <w:p w:rsidR="00CE553D" w:rsidRPr="00CE553D" w:rsidRDefault="00CE553D" w:rsidP="00CE553D">
            <w:pPr>
              <w:pStyle w:val="a3"/>
              <w:numPr>
                <w:ilvl w:val="0"/>
                <w:numId w:val="2"/>
              </w:numPr>
              <w:spacing w:line="240" w:lineRule="auto"/>
              <w:jc w:val="both"/>
              <w:rPr>
                <w:rFonts w:ascii="Times New Roman" w:hAnsi="Times New Roman"/>
                <w:b/>
                <w:sz w:val="24"/>
                <w:szCs w:val="24"/>
              </w:rPr>
            </w:pPr>
            <w:r w:rsidRPr="00CE553D">
              <w:rPr>
                <w:rFonts w:ascii="Times New Roman" w:hAnsi="Times New Roman"/>
                <w:b/>
                <w:sz w:val="24"/>
                <w:szCs w:val="24"/>
              </w:rPr>
              <w:t xml:space="preserve">Art.229/5 Restituirea (întoarcerea) bunurilor infracţionale </w:t>
            </w:r>
          </w:p>
          <w:p w:rsidR="00CE553D" w:rsidRPr="00CE553D" w:rsidRDefault="00CE553D" w:rsidP="00016415">
            <w:pPr>
              <w:ind w:firstLine="731"/>
              <w:jc w:val="both"/>
              <w:rPr>
                <w:lang w:val="en-US"/>
              </w:rPr>
            </w:pPr>
            <w:r w:rsidRPr="00CE553D">
              <w:rPr>
                <w:lang w:val="en-US"/>
              </w:rPr>
              <w:t xml:space="preserve">În cazul dat, se prevede că bunurile indisponibilizate nu doar se restituie proprietarului de drept, prin trecerea în proprietatea victimei, a părţii civile sau a părţii vătămate (despăgubire), ci pot trece şi în proprietatea statului (confiscare) atunci cînd prin infracţiune s-a cauzat prejudiciu statului. </w:t>
            </w:r>
          </w:p>
          <w:p w:rsidR="00CE553D" w:rsidRPr="00CE553D" w:rsidRDefault="00CE553D" w:rsidP="00016415">
            <w:pPr>
              <w:ind w:firstLine="567"/>
              <w:jc w:val="both"/>
              <w:rPr>
                <w:lang w:val="en-US"/>
              </w:rPr>
            </w:pPr>
          </w:p>
          <w:p w:rsidR="00CE553D" w:rsidRPr="00CE553D" w:rsidRDefault="00CE553D" w:rsidP="00CE553D">
            <w:pPr>
              <w:pStyle w:val="a3"/>
              <w:numPr>
                <w:ilvl w:val="0"/>
                <w:numId w:val="2"/>
              </w:numPr>
              <w:spacing w:line="240" w:lineRule="auto"/>
              <w:jc w:val="both"/>
              <w:rPr>
                <w:rFonts w:ascii="Times New Roman" w:hAnsi="Times New Roman"/>
                <w:b/>
                <w:sz w:val="24"/>
                <w:szCs w:val="24"/>
              </w:rPr>
            </w:pPr>
            <w:r w:rsidRPr="00CE553D">
              <w:rPr>
                <w:rFonts w:ascii="Times New Roman" w:hAnsi="Times New Roman"/>
                <w:b/>
                <w:sz w:val="24"/>
                <w:szCs w:val="24"/>
              </w:rPr>
              <w:t>Art.258 Extinderea competenţei teritoriale şi delegaţiile organului de urmărire penală</w:t>
            </w:r>
          </w:p>
          <w:p w:rsidR="00CE553D" w:rsidRPr="00CE553D" w:rsidRDefault="00CE553D" w:rsidP="00016415">
            <w:pPr>
              <w:spacing w:beforeLines="60" w:before="144" w:afterLines="60" w:after="144"/>
              <w:ind w:firstLine="731"/>
              <w:jc w:val="both"/>
              <w:rPr>
                <w:lang w:val="fr-FR"/>
              </w:rPr>
            </w:pPr>
            <w:r w:rsidRPr="00CE553D">
              <w:rPr>
                <w:lang w:val="fr-FR"/>
              </w:rPr>
              <w:t xml:space="preserve">La moment alineatul (3) art.258 din Codul de procedură penală prevede că „În cazul delegației dispuse Agenției de Recuperare a Bunurilor Infracționale, termenul de executare nu poate depăși 60 de zile.” </w:t>
            </w:r>
          </w:p>
          <w:p w:rsidR="00CE553D" w:rsidRPr="00CE553D" w:rsidRDefault="00CE553D" w:rsidP="00016415">
            <w:pPr>
              <w:spacing w:beforeLines="60" w:before="144" w:afterLines="60" w:after="144"/>
              <w:ind w:firstLine="731"/>
              <w:jc w:val="both"/>
              <w:rPr>
                <w:lang w:val="fr-FR"/>
              </w:rPr>
            </w:pPr>
            <w:r w:rsidRPr="00CE553D">
              <w:rPr>
                <w:lang w:val="fr-FR"/>
              </w:rPr>
              <w:t xml:space="preserve">Avînd în vedere că la moment, Codul de procedură penală nu stabileşte posibilitatea de a prelungi acest termen, precum şi este lacunar în ceea ce priveşte statutul informaţiei dobîndite după expirarea termenului de 60 de zile, este necesar de a interveni cu unele completări care ar reglementa acest vid legislativ. </w:t>
            </w:r>
          </w:p>
          <w:p w:rsidR="00CE553D" w:rsidRPr="00CE553D" w:rsidRDefault="00CE553D" w:rsidP="00016415">
            <w:pPr>
              <w:spacing w:beforeLines="60" w:before="144" w:afterLines="60" w:after="144"/>
              <w:ind w:firstLine="731"/>
              <w:jc w:val="both"/>
              <w:rPr>
                <w:lang w:val="fr-FR"/>
              </w:rPr>
            </w:pPr>
            <w:r w:rsidRPr="00CE553D">
              <w:rPr>
                <w:lang w:val="fr-FR"/>
              </w:rPr>
              <w:t xml:space="preserve">De asemenea, investigaţiile financiare, în special cele ce presupun elemente de extranietate, durează în timp, iar respectarea unui termen de 60 de zile, fără posibilitatea prelungirii acestui termen, va face imposibilă activitatea de recuperare a bunurilor, iar eforturile depuse de ARBI pentru recuperarea bunurilor nu vor avea nici o finalitate. </w:t>
            </w:r>
          </w:p>
          <w:p w:rsidR="00CE553D" w:rsidRPr="00CE553D" w:rsidRDefault="00CE553D" w:rsidP="00016415">
            <w:pPr>
              <w:ind w:firstLine="731"/>
              <w:jc w:val="both"/>
              <w:rPr>
                <w:lang w:val="fr-FR"/>
              </w:rPr>
            </w:pPr>
            <w:r w:rsidRPr="00CE553D">
              <w:rPr>
                <w:lang w:val="fr-FR"/>
              </w:rPr>
              <w:t xml:space="preserve">Este necesar de modificat art.258 din Codul de procedură penal şi de stabilit că termenul de executare a delegației dispuse Agenției de Recuperare a Bunurilor Infracționale nu poate depăși </w:t>
            </w:r>
            <w:r w:rsidRPr="00CE553D">
              <w:rPr>
                <w:b/>
                <w:lang w:val="fr-FR"/>
              </w:rPr>
              <w:t xml:space="preserve">termenul </w:t>
            </w:r>
            <w:r w:rsidRPr="00CE553D">
              <w:rPr>
                <w:lang w:val="fr-FR"/>
              </w:rPr>
              <w:t>rezonabil al urmăririi penale, Agenția avînd obligația de a transmite organului de urmărire penală procese-verbale de consemnare a rezultatelor investigațiilor financiare paralele desfășurate în vederea recuperării bunurilor infracţionale la fiecare 60 de zile.</w:t>
            </w:r>
          </w:p>
          <w:p w:rsidR="00CE553D" w:rsidRPr="00CE553D" w:rsidRDefault="00CE553D" w:rsidP="00016415">
            <w:pPr>
              <w:ind w:firstLine="731"/>
              <w:jc w:val="both"/>
              <w:rPr>
                <w:lang w:val="fr-FR"/>
              </w:rPr>
            </w:pPr>
          </w:p>
          <w:p w:rsidR="00CE553D" w:rsidRPr="00CE553D" w:rsidRDefault="00CE553D" w:rsidP="00016415">
            <w:pPr>
              <w:spacing w:after="120"/>
              <w:jc w:val="both"/>
              <w:rPr>
                <w:b/>
                <w:lang w:val="fr-FR"/>
              </w:rPr>
            </w:pPr>
            <w:r w:rsidRPr="00CE553D">
              <w:rPr>
                <w:b/>
                <w:lang w:val="fr-FR"/>
              </w:rPr>
              <w:t>Modificările operate la Legea nr.48 din 30 martie 2017 privind Agenţia de Recuperare a Bunurilor Infracţionale se concentrează pe următoarele aspecte:</w:t>
            </w:r>
          </w:p>
          <w:p w:rsidR="00CE553D" w:rsidRPr="00CE553D" w:rsidRDefault="00CE553D" w:rsidP="00016415">
            <w:pPr>
              <w:tabs>
                <w:tab w:val="left" w:pos="1014"/>
              </w:tabs>
              <w:ind w:firstLine="589"/>
              <w:jc w:val="both"/>
              <w:rPr>
                <w:color w:val="000000"/>
                <w:lang w:val="fr-FR"/>
              </w:rPr>
            </w:pPr>
            <w:r w:rsidRPr="00CE553D">
              <w:rPr>
                <w:b/>
                <w:lang w:val="fr-FR"/>
              </w:rPr>
              <w:t xml:space="preserve"> </w:t>
            </w:r>
            <w:r w:rsidRPr="00CE553D">
              <w:rPr>
                <w:lang w:val="fr-FR"/>
              </w:rPr>
              <w:t xml:space="preserve">Completările operate la art.5 prevăd includerea în atribuţiile Agenţiei competenţa de a reprezenta intereselor statului şi a persoanelor juridice de drept public în procese civile de recuperare a bunurilor infracționale, precum şi de reparare a prejudiciului cauzat prin încălcări ale legislaţiei Republicii Moldova şi ale altor state. </w:t>
            </w:r>
          </w:p>
          <w:p w:rsidR="00CE553D" w:rsidRPr="00CE553D" w:rsidRDefault="00CE553D" w:rsidP="00016415">
            <w:pPr>
              <w:ind w:firstLine="731"/>
              <w:jc w:val="both"/>
              <w:rPr>
                <w:lang w:val="fr-FR"/>
              </w:rPr>
            </w:pPr>
            <w:r w:rsidRPr="00CE553D">
              <w:rPr>
                <w:lang w:val="fr-FR"/>
              </w:rPr>
              <w:t xml:space="preserve">Această completare are drept scop eficientizarea procesului de reprezentare a intereselor statului în instanţele judecătoreşti, avînd în vedere domeniul specific de competenţă al Agenţiei de Recuperarea Bunurilor Infracţionale. Prin urmare, reprezentarea intereselor statului şi a persoanelor juridice de drept public de către ARBI în procesele civile de recuperare a bunurilor infracționale pentru, precum şi de reparare a prejudiciului cauzat prin încălcări ale legislaţiei Republicii Moldova va contribui la </w:t>
            </w:r>
            <w:r w:rsidRPr="00CE553D">
              <w:rPr>
                <w:color w:val="000000"/>
                <w:lang w:val="fr-FR"/>
              </w:rPr>
              <w:t>evitarea unor hotărâri judecătoreşti contradictorii, la economisire de timp şi de cheltuieli atît pentru părţi (inclusiv pentru stat şi</w:t>
            </w:r>
            <w:r w:rsidRPr="00CE553D">
              <w:rPr>
                <w:lang w:val="fr-FR"/>
              </w:rPr>
              <w:t xml:space="preserve"> persoanele juridice de drept public)</w:t>
            </w:r>
            <w:r w:rsidRPr="00CE553D">
              <w:rPr>
                <w:color w:val="000000"/>
                <w:lang w:val="fr-FR"/>
              </w:rPr>
              <w:t xml:space="preserve"> şi  cît şi pentru instanţă, ceea ce într-un final contribuie la o mai bună administrare a justiţiei.</w:t>
            </w:r>
          </w:p>
          <w:p w:rsidR="00CE553D" w:rsidRPr="00CE553D" w:rsidRDefault="00CE553D" w:rsidP="00016415">
            <w:pPr>
              <w:tabs>
                <w:tab w:val="left" w:pos="1014"/>
              </w:tabs>
              <w:ind w:firstLine="731"/>
              <w:jc w:val="both"/>
              <w:rPr>
                <w:lang w:val="fr-FR"/>
              </w:rPr>
            </w:pPr>
            <w:r w:rsidRPr="00CE553D">
              <w:rPr>
                <w:lang w:val="fr-FR"/>
              </w:rPr>
              <w:t>Completările operate la art.6 urmează logica amendamentelor efectuate la art.5 al Legii nr.48/2017, astfel Agenţia de Recuperarea Bunurilor Infracţionale va avea dreptul să înainteze acţiuni civile în interesele statului, a persoanelor juridice de drept public.</w:t>
            </w:r>
          </w:p>
          <w:p w:rsidR="00CE553D" w:rsidRPr="00CE553D" w:rsidRDefault="00CE553D" w:rsidP="00016415">
            <w:pPr>
              <w:tabs>
                <w:tab w:val="left" w:pos="1014"/>
              </w:tabs>
              <w:ind w:firstLine="731"/>
              <w:jc w:val="both"/>
              <w:rPr>
                <w:lang w:val="fr-FR"/>
              </w:rPr>
            </w:pPr>
            <w:r w:rsidRPr="00CE553D">
              <w:rPr>
                <w:lang w:val="fr-FR"/>
              </w:rPr>
              <w:t xml:space="preserve">La art.10 este stabilit că suspendarea operaţiunilor şi tranzacţiilor cu privire la bunurile  infracţionale se va efectua în dependenţă de bunul infracţional indisponibilizat, astfel încît aceste acţiuni să nu aducă prejudicii activităţii bunului (ex. în cazul unei companii, firme, etc.), precum şi să nu diminueze </w:t>
            </w:r>
            <w:r w:rsidRPr="00CE553D">
              <w:rPr>
                <w:color w:val="000000"/>
                <w:lang w:val="fr-FR"/>
              </w:rPr>
              <w:t>valoarea bunului infracţional indisponibilizat.</w:t>
            </w:r>
            <w:r w:rsidRPr="00CE553D">
              <w:rPr>
                <w:lang w:val="fr-FR"/>
              </w:rPr>
              <w:t xml:space="preserve"> Prin urmare, sintagma „au obligaţia” se substituie cu sintagma „pot fi obligate”, deci această restricţie se va aplica avînd la bază principiul proporţionalităţii, analizînd dacă măsurile respective sunt necesare scopului urmărit şi cele mai importante, precum şi dacă aceste restricţii nu aduc prejudicii activităţii persoanei juridice sau diminuează din valoarea acesteia. De asemenea, la art.10 alin.(7) se indică articolul concret din Codul penal (art.251) care se va aplica în cazul încălcării dispoziţiilor ordinului de îngheţare comunicat de ARBI. </w:t>
            </w:r>
          </w:p>
          <w:p w:rsidR="00CE553D" w:rsidRPr="00CE553D" w:rsidRDefault="00CE553D" w:rsidP="00016415">
            <w:pPr>
              <w:tabs>
                <w:tab w:val="left" w:pos="702"/>
                <w:tab w:val="left" w:pos="792"/>
                <w:tab w:val="left" w:pos="8482"/>
              </w:tabs>
              <w:spacing w:before="120" w:after="120"/>
              <w:ind w:firstLine="589"/>
              <w:jc w:val="both"/>
              <w:outlineLvl w:val="0"/>
              <w:rPr>
                <w:color w:val="000000"/>
                <w:lang w:val="fr-FR"/>
              </w:rPr>
            </w:pPr>
            <w:r w:rsidRPr="00CE553D">
              <w:rPr>
                <w:color w:val="000000"/>
                <w:lang w:val="fr-FR"/>
              </w:rPr>
              <w:t xml:space="preserve">În scopul asigurării administrării eficiente a bunurilor, art. 11 este completat cu norme care acordă dreptul ARBI  să atragă persoane fizice sau juridice cu competenţe specifice în domeniu, deoarece este practic imposibil de a avea angajaţi specialişti din toate domeniile de competenţă ale ARBI.  Prin urmare, în dependenţă de categoria, felul bunului infracţional ce urmează a fi recuperat se va contracta specialistul/expertul în domeniul corespunzător. Aceeași logică va fi aplicată şi în cazurile de repatriere a bunurilor aflate în afara teritoriului Republicii Moldova. </w:t>
            </w:r>
          </w:p>
          <w:p w:rsidR="00CE553D" w:rsidRPr="00CE553D" w:rsidRDefault="00CE553D" w:rsidP="00016415">
            <w:pPr>
              <w:tabs>
                <w:tab w:val="left" w:pos="702"/>
                <w:tab w:val="left" w:pos="792"/>
                <w:tab w:val="left" w:pos="8482"/>
              </w:tabs>
              <w:spacing w:before="120" w:after="120"/>
              <w:ind w:firstLine="589"/>
              <w:jc w:val="both"/>
              <w:outlineLvl w:val="0"/>
              <w:rPr>
                <w:lang w:val="fr-FR"/>
              </w:rPr>
            </w:pPr>
            <w:bookmarkStart w:id="1" w:name="_Hlk494097373"/>
            <w:r w:rsidRPr="00CE553D">
              <w:rPr>
                <w:color w:val="000000"/>
                <w:lang w:val="fr-FR"/>
              </w:rPr>
              <w:t xml:space="preserve">ARBI va asigura ţinerea evidenţei unice a informaţiei cu privire la bunurile infracţionale indisponibilizate pe care le administrează, precum şi a bunurilor în privinţa cărora a fost dispusă confiscarea specială sau confiscarea extinsă, inclusiv prin crearea unei baze de date specializate în acest sens, care să reflecte, la nivel naţional, activitatea entităţilor publice </w:t>
            </w:r>
            <w:r w:rsidRPr="00CE553D">
              <w:rPr>
                <w:lang w:val="fr-FR"/>
              </w:rPr>
              <w:t>competente în fiecare fază a procesului de recuperare.</w:t>
            </w:r>
            <w:bookmarkEnd w:id="1"/>
          </w:p>
          <w:p w:rsidR="00CE553D" w:rsidRPr="00CE553D" w:rsidRDefault="00CE553D" w:rsidP="00016415">
            <w:pPr>
              <w:ind w:firstLine="589"/>
              <w:jc w:val="both"/>
              <w:rPr>
                <w:lang w:val="fr-FR"/>
              </w:rPr>
            </w:pPr>
            <w:r w:rsidRPr="00CE553D">
              <w:rPr>
                <w:lang w:val="fr-FR"/>
              </w:rPr>
              <w:t xml:space="preserve">Din perspectiva asigurării eficienţei activităţii de identificare, urmărire şi recuperare a bunurilor infracţionale, proiectul legii privind instituirea limitării acţiunii secretelor apărate de lege la </w:t>
            </w:r>
            <w:r w:rsidRPr="00CE553D">
              <w:rPr>
                <w:b/>
                <w:lang w:val="fr-FR"/>
              </w:rPr>
              <w:t>art.14</w:t>
            </w:r>
            <w:r w:rsidRPr="00CE553D">
              <w:rPr>
                <w:lang w:val="fr-FR"/>
              </w:rPr>
              <w:t xml:space="preserve"> se completează cu un alineat nou (1</w:t>
            </w:r>
            <w:r w:rsidRPr="00CE553D">
              <w:rPr>
                <w:vertAlign w:val="superscript"/>
                <w:lang w:val="fr-FR"/>
              </w:rPr>
              <w:t>1</w:t>
            </w:r>
            <w:r w:rsidRPr="00CE553D">
              <w:rPr>
                <w:lang w:val="fr-FR"/>
              </w:rPr>
              <w:t xml:space="preserve">) care prevede că informaţiile (documente, materiale etc.) transmise de către </w:t>
            </w:r>
            <w:r w:rsidRPr="00CE553D">
              <w:rPr>
                <w:bCs/>
                <w:lang w:val="fr-FR"/>
              </w:rPr>
              <w:t>furnizorii de date relevante pentru activitatea ARBI</w:t>
            </w:r>
            <w:r w:rsidRPr="00CE553D">
              <w:rPr>
                <w:lang w:val="fr-FR"/>
              </w:rPr>
              <w:t>, reprezentanţii organelor de urmărire penală, organelor procuraturii, instanţelor judecătoreşti sau altor autorităţi competente, în scopurile stabilite ale legii, nu constituie divulgare a secretului comercial, bancar, profesional sau a datelor cu caracter personal.</w:t>
            </w:r>
          </w:p>
          <w:p w:rsidR="00CE553D" w:rsidRPr="00CE553D" w:rsidRDefault="00CE553D" w:rsidP="00016415">
            <w:pPr>
              <w:ind w:firstLine="589"/>
              <w:jc w:val="both"/>
              <w:rPr>
                <w:color w:val="000000"/>
                <w:lang w:val="fr-FR"/>
              </w:rPr>
            </w:pPr>
          </w:p>
        </w:tc>
      </w:tr>
      <w:tr w:rsidR="00CE553D" w:rsidRPr="00CE553D" w:rsidTr="00016415">
        <w:trPr>
          <w:jc w:val="center"/>
        </w:trPr>
        <w:tc>
          <w:tcPr>
            <w:tcW w:w="10440" w:type="dxa"/>
            <w:shd w:val="pct15" w:color="auto" w:fill="auto"/>
          </w:tcPr>
          <w:p w:rsidR="00CE553D" w:rsidRPr="00CE553D" w:rsidRDefault="00CE553D" w:rsidP="00016415">
            <w:pPr>
              <w:spacing w:beforeLines="60" w:before="144" w:afterLines="60" w:after="144"/>
              <w:jc w:val="both"/>
              <w:rPr>
                <w:b/>
                <w:lang w:val="en-US"/>
              </w:rPr>
            </w:pPr>
            <w:r w:rsidRPr="00CE553D">
              <w:rPr>
                <w:b/>
                <w:lang w:val="en-US"/>
              </w:rPr>
              <w:t xml:space="preserve">4. Cuantumul mijloacelor bugetare necesare pentru implementarea proiectului. </w:t>
            </w:r>
          </w:p>
        </w:tc>
      </w:tr>
      <w:tr w:rsidR="00CE553D" w:rsidRPr="00CE553D" w:rsidTr="00016415">
        <w:trPr>
          <w:jc w:val="center"/>
        </w:trPr>
        <w:tc>
          <w:tcPr>
            <w:tcW w:w="10440" w:type="dxa"/>
            <w:tcBorders>
              <w:bottom w:val="single" w:sz="4" w:space="0" w:color="auto"/>
            </w:tcBorders>
          </w:tcPr>
          <w:p w:rsidR="00CE553D" w:rsidRPr="00CE553D" w:rsidRDefault="00CE553D" w:rsidP="00016415">
            <w:pPr>
              <w:spacing w:beforeLines="60" w:before="144" w:afterLines="60" w:after="144"/>
              <w:jc w:val="both"/>
            </w:pPr>
            <w:r w:rsidRPr="00CE553D">
              <w:t xml:space="preserve">Adoptarea şi implementarea ulterioară a proiectului  nu presupune cheltuieli financiare.  </w:t>
            </w:r>
          </w:p>
        </w:tc>
      </w:tr>
    </w:tbl>
    <w:p w:rsidR="00CE553D" w:rsidRPr="00CE553D" w:rsidRDefault="00CE553D" w:rsidP="00CE553D">
      <w:pPr>
        <w:spacing w:beforeLines="60" w:before="144" w:afterLines="60" w:after="144"/>
      </w:pPr>
    </w:p>
    <w:p w:rsidR="00CE553D" w:rsidRPr="00CE553D" w:rsidRDefault="00CE553D" w:rsidP="00CE553D">
      <w:pPr>
        <w:spacing w:beforeLines="60" w:before="144" w:afterLines="60" w:after="144"/>
        <w:rPr>
          <w:b/>
        </w:rPr>
      </w:pPr>
    </w:p>
    <w:p w:rsidR="00CE553D" w:rsidRPr="00CE553D" w:rsidRDefault="00CE553D" w:rsidP="00CE553D">
      <w:pPr>
        <w:spacing w:beforeLines="60" w:before="144" w:afterLines="60" w:after="144"/>
        <w:rPr>
          <w:b/>
        </w:rPr>
      </w:pPr>
    </w:p>
    <w:p w:rsidR="00CE553D" w:rsidRPr="00CE553D" w:rsidRDefault="00CE553D" w:rsidP="00CE553D">
      <w:pPr>
        <w:spacing w:beforeLines="60" w:before="144" w:afterLines="60" w:after="144"/>
        <w:jc w:val="right"/>
        <w:rPr>
          <w:b/>
          <w:lang w:val="ro-RO"/>
        </w:rPr>
      </w:pPr>
      <w:r w:rsidRPr="00CE553D">
        <w:rPr>
          <w:b/>
          <w:lang w:val="ro-RO"/>
        </w:rPr>
        <w:t>Deputați în Parlament</w:t>
      </w:r>
    </w:p>
    <w:p w:rsidR="00CE553D" w:rsidRPr="00CE553D" w:rsidRDefault="00CE553D" w:rsidP="00CE553D">
      <w:pPr>
        <w:spacing w:beforeLines="60" w:before="144" w:afterLines="60" w:after="144"/>
        <w:rPr>
          <w:b/>
        </w:rPr>
      </w:pPr>
    </w:p>
    <w:p w:rsidR="00555FA2" w:rsidRPr="00CE553D" w:rsidRDefault="00555FA2"/>
    <w:sectPr w:rsidR="00555FA2" w:rsidRPr="00CE55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4B4FEB"/>
    <w:multiLevelType w:val="hybridMultilevel"/>
    <w:tmpl w:val="2DC66468"/>
    <w:lvl w:ilvl="0" w:tplc="5FDC01C2">
      <w:start w:val="1"/>
      <w:numFmt w:val="lowerLetter"/>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0FD59FB"/>
    <w:multiLevelType w:val="hybridMultilevel"/>
    <w:tmpl w:val="69F67E8A"/>
    <w:lvl w:ilvl="0" w:tplc="33327300">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15:restartNumberingAfterBreak="0">
    <w:nsid w:val="48DE3E35"/>
    <w:multiLevelType w:val="hybridMultilevel"/>
    <w:tmpl w:val="BD9CAA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513C427B"/>
    <w:multiLevelType w:val="hybridMultilevel"/>
    <w:tmpl w:val="2B22414A"/>
    <w:lvl w:ilvl="0" w:tplc="05ECA4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95A53"/>
    <w:multiLevelType w:val="hybridMultilevel"/>
    <w:tmpl w:val="7842FA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70E0D16"/>
    <w:multiLevelType w:val="hybridMultilevel"/>
    <w:tmpl w:val="37C4CC9C"/>
    <w:lvl w:ilvl="0" w:tplc="737CD5E6">
      <w:start w:val="1"/>
      <w:numFmt w:val="decimal"/>
      <w:lvlText w:val="%1."/>
      <w:lvlJc w:val="left"/>
      <w:pPr>
        <w:ind w:left="720" w:hanging="360"/>
      </w:pPr>
      <w:rPr>
        <w:rFonts w:ascii="Times New Roman" w:hAnsi="Times New Roman" w:cs="Times New Roman" w:hint="default"/>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53D"/>
    <w:rsid w:val="001679F6"/>
    <w:rsid w:val="001F2748"/>
    <w:rsid w:val="00234123"/>
    <w:rsid w:val="00555FA2"/>
    <w:rsid w:val="00CE553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AFD36F-7974-4FB6-B1E2-11DCE4DC7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53D"/>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553D"/>
    <w:pPr>
      <w:spacing w:after="200" w:line="276" w:lineRule="auto"/>
      <w:ind w:left="720"/>
      <w:contextualSpacing/>
    </w:pPr>
    <w:rPr>
      <w:rFonts w:ascii="Calibri" w:eastAsia="Calibri" w:hAnsi="Calibri"/>
      <w:sz w:val="22"/>
      <w:szCs w:val="22"/>
      <w:lang w:val="en-US" w:eastAsia="en-US"/>
    </w:rPr>
  </w:style>
  <w:style w:type="paragraph" w:styleId="a4">
    <w:name w:val="Normal (Web)"/>
    <w:aliases w:val="Знак,webb Знак Знак,webb"/>
    <w:basedOn w:val="a"/>
    <w:link w:val="a5"/>
    <w:uiPriority w:val="99"/>
    <w:unhideWhenUsed/>
    <w:qFormat/>
    <w:rsid w:val="00CE553D"/>
    <w:pPr>
      <w:spacing w:before="100" w:beforeAutospacing="1" w:after="100" w:afterAutospacing="1"/>
    </w:pPr>
  </w:style>
  <w:style w:type="character" w:customStyle="1" w:styleId="highlight">
    <w:name w:val="highlight"/>
    <w:basedOn w:val="a0"/>
    <w:rsid w:val="00CE553D"/>
  </w:style>
  <w:style w:type="character" w:customStyle="1" w:styleId="a5">
    <w:name w:val="Обычный (веб) Знак"/>
    <w:aliases w:val="Знак Знак,webb Знак Знак Знак,webb Знак"/>
    <w:link w:val="a4"/>
    <w:uiPriority w:val="99"/>
    <w:locked/>
    <w:rsid w:val="00CE553D"/>
    <w:rPr>
      <w:rFonts w:ascii="Times New Roman" w:eastAsia="Times New Roman" w:hAnsi="Times New Roman" w:cs="Times New Roman"/>
      <w:sz w:val="24"/>
      <w:szCs w:val="24"/>
      <w:lang w:val="ru-RU" w:eastAsia="ru-RU"/>
    </w:rPr>
  </w:style>
  <w:style w:type="paragraph" w:styleId="a6">
    <w:name w:val="Balloon Text"/>
    <w:basedOn w:val="a"/>
    <w:link w:val="a7"/>
    <w:uiPriority w:val="99"/>
    <w:semiHidden/>
    <w:unhideWhenUsed/>
    <w:rsid w:val="00CE553D"/>
    <w:rPr>
      <w:rFonts w:ascii="Tahoma" w:hAnsi="Tahoma" w:cs="Tahoma"/>
      <w:sz w:val="16"/>
      <w:szCs w:val="16"/>
    </w:rPr>
  </w:style>
  <w:style w:type="character" w:customStyle="1" w:styleId="a7">
    <w:name w:val="Текст выноски Знак"/>
    <w:basedOn w:val="a0"/>
    <w:link w:val="a6"/>
    <w:uiPriority w:val="99"/>
    <w:semiHidden/>
    <w:rsid w:val="00CE553D"/>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BB6BD1-8BD5-45B2-B302-B083E983A5A3}"/>
</file>

<file path=customXml/itemProps2.xml><?xml version="1.0" encoding="utf-8"?>
<ds:datastoreItem xmlns:ds="http://schemas.openxmlformats.org/officeDocument/2006/customXml" ds:itemID="{8905BC69-CDBD-4668-831C-9B6AAAA00188}"/>
</file>

<file path=customXml/itemProps3.xml><?xml version="1.0" encoding="utf-8"?>
<ds:datastoreItem xmlns:ds="http://schemas.openxmlformats.org/officeDocument/2006/customXml" ds:itemID="{AB4F2D91-D4F8-4F02-8470-77AFF18BEB80}"/>
</file>

<file path=docProps/app.xml><?xml version="1.0" encoding="utf-8"?>
<Properties xmlns="http://schemas.openxmlformats.org/officeDocument/2006/extended-properties" xmlns:vt="http://schemas.openxmlformats.org/officeDocument/2006/docPropsVTypes">
  <Template>Normal</Template>
  <TotalTime>2</TotalTime>
  <Pages>12</Pages>
  <Words>3210</Words>
  <Characters>18300</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305.2017.ro</dc:title>
  <dc:creator>Mihaela Iachimovici</dc:creator>
  <cp:lastModifiedBy>Asd Asdf</cp:lastModifiedBy>
  <cp:revision>2</cp:revision>
  <cp:lastPrinted>2017-10-09T12:40:00Z</cp:lastPrinted>
  <dcterms:created xsi:type="dcterms:W3CDTF">2017-10-31T12:30:00Z</dcterms:created>
  <dcterms:modified xsi:type="dcterms:W3CDTF">2017-10-31T12:30:00Z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