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34"/>
        </w:rPr>
      </w:pPr>
    </w:p>
    <w:p>
      <w:pPr>
        <w:pStyle w:val="BodyText"/>
        <w:rPr>
          <w:sz w:val="34"/>
        </w:rPr>
      </w:pPr>
    </w:p>
    <w:p>
      <w:pPr>
        <w:pStyle w:val="BodyText"/>
        <w:spacing w:before="6"/>
        <w:rPr>
          <w:sz w:val="36"/>
        </w:rPr>
      </w:pPr>
    </w:p>
    <w:p>
      <w:pPr>
        <w:spacing w:line="254" w:lineRule="auto" w:before="0"/>
        <w:ind w:left="1103" w:right="19" w:firstLine="0"/>
        <w:jc w:val="left"/>
        <w:rPr>
          <w:rFonts w:ascii="Georgia" w:hAnsi="Georgia"/>
          <w:b/>
          <w:sz w:val="30"/>
        </w:rPr>
      </w:pPr>
      <w:r>
        <w:rPr/>
        <w:drawing>
          <wp:anchor distT="0" distB="0" distL="0" distR="0" allowOverlap="1" layoutInCell="1" locked="0" behindDoc="0" simplePos="0" relativeHeight="1048">
            <wp:simplePos x="0" y="0"/>
            <wp:positionH relativeFrom="page">
              <wp:posOffset>451167</wp:posOffset>
            </wp:positionH>
            <wp:positionV relativeFrom="paragraph">
              <wp:posOffset>-743345</wp:posOffset>
            </wp:positionV>
            <wp:extent cx="352955" cy="428625"/>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52955" cy="428625"/>
                    </a:xfrm>
                    <a:prstGeom prst="rect">
                      <a:avLst/>
                    </a:prstGeom>
                  </pic:spPr>
                </pic:pic>
              </a:graphicData>
            </a:graphic>
          </wp:anchor>
        </w:drawing>
      </w:r>
      <w:r>
        <w:rPr/>
        <w:drawing>
          <wp:anchor distT="0" distB="0" distL="0" distR="0" allowOverlap="1" layoutInCell="1" locked="0" behindDoc="0" simplePos="0" relativeHeight="1072">
            <wp:simplePos x="0" y="0"/>
            <wp:positionH relativeFrom="page">
              <wp:posOffset>1088144</wp:posOffset>
            </wp:positionH>
            <wp:positionV relativeFrom="paragraph">
              <wp:posOffset>-471165</wp:posOffset>
            </wp:positionV>
            <wp:extent cx="1156638" cy="276225"/>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56638" cy="276225"/>
                    </a:xfrm>
                    <a:prstGeom prst="rect">
                      <a:avLst/>
                    </a:prstGeom>
                  </pic:spPr>
                </pic:pic>
              </a:graphicData>
            </a:graphic>
          </wp:anchor>
        </w:drawing>
      </w:r>
      <w:r>
        <w:rPr/>
        <w:drawing>
          <wp:anchor distT="0" distB="0" distL="0" distR="0" allowOverlap="1" layoutInCell="1" locked="0" behindDoc="0" simplePos="0" relativeHeight="1096">
            <wp:simplePos x="0" y="0"/>
            <wp:positionH relativeFrom="page">
              <wp:posOffset>1100063</wp:posOffset>
            </wp:positionH>
            <wp:positionV relativeFrom="paragraph">
              <wp:posOffset>-743355</wp:posOffset>
            </wp:positionV>
            <wp:extent cx="714515" cy="223837"/>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14515" cy="223837"/>
                    </a:xfrm>
                    <a:prstGeom prst="rect">
                      <a:avLst/>
                    </a:prstGeom>
                  </pic:spPr>
                </pic:pic>
              </a:graphicData>
            </a:graphic>
          </wp:anchor>
        </w:drawing>
      </w:r>
      <w:r>
        <w:rPr/>
        <w:pict>
          <v:line style="position:absolute;mso-position-horizontal-relative:page;mso-position-vertical-relative:paragraph;z-index:1120" from="72.578621pt,-60.183308pt" to="72.578621pt,-15.557045pt" stroked="true" strokeweight=".375417pt" strokecolor="#2f3741">
            <v:stroke dashstyle="solid"/>
            <w10:wrap type="none"/>
          </v:line>
        </w:pict>
      </w:r>
      <w:bookmarkStart w:name="FG16" w:id="1"/>
      <w:bookmarkEnd w:id="1"/>
      <w:r>
        <w:rPr/>
      </w:r>
      <w:r>
        <w:rPr>
          <w:rFonts w:ascii="Georgia" w:hAnsi="Georgia"/>
          <w:b/>
          <w:color w:val="2F3741"/>
          <w:sz w:val="30"/>
        </w:rPr>
        <w:t>Deputat în Parlamentul Republicii Moldova</w:t>
      </w:r>
    </w:p>
    <w:p>
      <w:pPr>
        <w:spacing w:before="177"/>
        <w:ind w:left="357" w:right="0" w:firstLine="0"/>
        <w:jc w:val="left"/>
        <w:rPr>
          <w:rFonts w:ascii="Georgia"/>
          <w:sz w:val="24"/>
        </w:rPr>
      </w:pPr>
      <w:r>
        <w:rPr/>
        <w:br w:type="column"/>
      </w:r>
      <w:r>
        <w:rPr>
          <w:rFonts w:ascii="Georgia"/>
          <w:color w:val="2F3741"/>
          <w:sz w:val="24"/>
        </w:rPr>
        <w:t>FG nr.</w:t>
      </w:r>
      <w:r>
        <w:rPr>
          <w:rFonts w:ascii="Georgia"/>
          <w:color w:val="2F3741"/>
          <w:spacing w:val="-2"/>
          <w:sz w:val="24"/>
        </w:rPr>
        <w:t> </w:t>
      </w:r>
      <w:r>
        <w:rPr>
          <w:rFonts w:ascii="Georgia"/>
          <w:color w:val="2F3741"/>
          <w:sz w:val="24"/>
        </w:rPr>
        <w:t>16</w:t>
      </w:r>
    </w:p>
    <w:p>
      <w:pPr>
        <w:spacing w:before="174"/>
        <w:ind w:left="110" w:right="0" w:firstLine="0"/>
        <w:jc w:val="left"/>
        <w:rPr>
          <w:rFonts w:ascii="Georgia"/>
          <w:sz w:val="24"/>
        </w:rPr>
      </w:pPr>
      <w:r>
        <w:rPr>
          <w:rFonts w:ascii="Georgia"/>
          <w:color w:val="2F3741"/>
          <w:sz w:val="24"/>
        </w:rPr>
        <w:t>10.09.2020</w:t>
      </w:r>
    </w:p>
    <w:p>
      <w:pPr>
        <w:spacing w:after="0"/>
        <w:jc w:val="left"/>
        <w:rPr>
          <w:rFonts w:ascii="Georgia"/>
          <w:sz w:val="24"/>
        </w:rPr>
        <w:sectPr>
          <w:type w:val="continuous"/>
          <w:pgSz w:w="11910" w:h="16840"/>
          <w:pgMar w:top="820" w:bottom="280" w:left="600" w:right="740"/>
          <w:cols w:num="2" w:equalWidth="0">
            <w:col w:w="4783" w:space="4089"/>
            <w:col w:w="1698"/>
          </w:cols>
        </w:sectPr>
      </w:pPr>
    </w:p>
    <w:p>
      <w:pPr>
        <w:pStyle w:val="BodyText"/>
        <w:rPr>
          <w:rFonts w:ascii="Georgia"/>
          <w:sz w:val="20"/>
        </w:rPr>
      </w:pPr>
    </w:p>
    <w:p>
      <w:pPr>
        <w:pStyle w:val="BodyText"/>
        <w:spacing w:before="10"/>
        <w:rPr>
          <w:rFonts w:ascii="Georgia"/>
          <w:sz w:val="20"/>
        </w:rPr>
      </w:pPr>
    </w:p>
    <w:p>
      <w:pPr>
        <w:pStyle w:val="Heading1"/>
        <w:spacing w:before="89"/>
        <w:ind w:left="6129" w:right="278" w:firstLine="1472"/>
        <w:jc w:val="right"/>
      </w:pPr>
      <w:r>
        <w:rPr/>
        <w:t>Biroului Permanent al</w:t>
      </w:r>
      <w:r>
        <w:rPr>
          <w:w w:val="100"/>
        </w:rPr>
        <w:t> </w:t>
      </w:r>
      <w:r>
        <w:rPr/>
        <w:t>Parlamentului Republicii Moldova</w:t>
      </w:r>
    </w:p>
    <w:p>
      <w:pPr>
        <w:pStyle w:val="BodyText"/>
        <w:rPr>
          <w:b/>
          <w:sz w:val="30"/>
        </w:rPr>
      </w:pPr>
    </w:p>
    <w:p>
      <w:pPr>
        <w:pStyle w:val="BodyText"/>
        <w:rPr>
          <w:b/>
          <w:sz w:val="30"/>
        </w:rPr>
      </w:pPr>
    </w:p>
    <w:p>
      <w:pPr>
        <w:pStyle w:val="BodyText"/>
        <w:spacing w:before="1"/>
        <w:rPr>
          <w:b/>
          <w:sz w:val="35"/>
        </w:rPr>
      </w:pPr>
    </w:p>
    <w:p>
      <w:pPr>
        <w:pStyle w:val="BodyText"/>
        <w:spacing w:line="360" w:lineRule="auto"/>
        <w:ind w:left="1384" w:right="280" w:firstLine="424"/>
        <w:jc w:val="both"/>
      </w:pPr>
      <w:r>
        <w:rPr/>
        <w:t>În temeiul prevederilor art. 73 din Constituția Republicii Moldova și art. 47 din Regulamentul Parlamentului se înaintează cu titlu de inițiativă legislativă proiectul de lege pentru modificarea articolului 1 din Legea nr.1527/1998 privind Zona Antreprenoriatului Liber – Parcul de Producţie „Valkaneş”.</w:t>
      </w:r>
    </w:p>
    <w:p>
      <w:pPr>
        <w:pStyle w:val="BodyText"/>
        <w:spacing w:before="5"/>
        <w:rPr>
          <w:sz w:val="38"/>
        </w:rPr>
      </w:pPr>
    </w:p>
    <w:p>
      <w:pPr>
        <w:pStyle w:val="Heading1"/>
        <w:ind w:left="1810"/>
        <w:jc w:val="left"/>
      </w:pPr>
      <w:r>
        <w:rPr/>
        <w:t>Anexă:</w:t>
      </w:r>
    </w:p>
    <w:p>
      <w:pPr>
        <w:pStyle w:val="BodyText"/>
        <w:spacing w:before="1"/>
        <w:rPr>
          <w:b/>
          <w:sz w:val="32"/>
        </w:rPr>
      </w:pPr>
    </w:p>
    <w:p>
      <w:pPr>
        <w:pStyle w:val="ListParagraph"/>
        <w:numPr>
          <w:ilvl w:val="0"/>
          <w:numId w:val="1"/>
        </w:numPr>
        <w:tabs>
          <w:tab w:pos="2091" w:val="left" w:leader="none"/>
        </w:tabs>
        <w:spacing w:line="240" w:lineRule="auto" w:before="0" w:after="0"/>
        <w:ind w:left="2090" w:right="0" w:hanging="280"/>
        <w:jc w:val="left"/>
        <w:rPr>
          <w:sz w:val="28"/>
        </w:rPr>
      </w:pPr>
      <w:r>
        <w:rPr>
          <w:sz w:val="28"/>
        </w:rPr>
        <w:t>Proiectul de</w:t>
      </w:r>
      <w:r>
        <w:rPr>
          <w:spacing w:val="-4"/>
          <w:sz w:val="28"/>
        </w:rPr>
        <w:t> </w:t>
      </w:r>
      <w:r>
        <w:rPr>
          <w:sz w:val="28"/>
        </w:rPr>
        <w:t>lege.</w:t>
      </w:r>
    </w:p>
    <w:p>
      <w:pPr>
        <w:pStyle w:val="ListParagraph"/>
        <w:numPr>
          <w:ilvl w:val="0"/>
          <w:numId w:val="1"/>
        </w:numPr>
        <w:tabs>
          <w:tab w:pos="2091" w:val="left" w:leader="none"/>
        </w:tabs>
        <w:spacing w:line="240" w:lineRule="auto" w:before="50" w:after="0"/>
        <w:ind w:left="2090" w:right="0" w:hanging="281"/>
        <w:jc w:val="left"/>
        <w:rPr>
          <w:sz w:val="28"/>
        </w:rPr>
      </w:pPr>
      <w:r>
        <w:rPr>
          <w:sz w:val="28"/>
        </w:rPr>
        <w:t>Nota</w:t>
      </w:r>
      <w:r>
        <w:rPr>
          <w:spacing w:val="-2"/>
          <w:sz w:val="28"/>
        </w:rPr>
        <w:t> </w:t>
      </w:r>
      <w:r>
        <w:rPr>
          <w:sz w:val="28"/>
        </w:rPr>
        <w:t>informativă.</w:t>
      </w:r>
    </w:p>
    <w:p>
      <w:pPr>
        <w:pStyle w:val="ListParagraph"/>
        <w:numPr>
          <w:ilvl w:val="0"/>
          <w:numId w:val="1"/>
        </w:numPr>
        <w:tabs>
          <w:tab w:pos="2091" w:val="left" w:leader="none"/>
        </w:tabs>
        <w:spacing w:line="240" w:lineRule="auto" w:before="48" w:after="0"/>
        <w:ind w:left="2090" w:right="0" w:hanging="281"/>
        <w:jc w:val="left"/>
        <w:rPr>
          <w:sz w:val="28"/>
        </w:rPr>
      </w:pPr>
      <w:r>
        <w:rPr>
          <w:sz w:val="28"/>
        </w:rPr>
        <w:t>Cererea administratorului principal a Zonei Antreprenoriatului</w:t>
      </w:r>
      <w:r>
        <w:rPr>
          <w:spacing w:val="-11"/>
          <w:sz w:val="28"/>
        </w:rPr>
        <w:t> </w:t>
      </w:r>
      <w:r>
        <w:rPr>
          <w:sz w:val="28"/>
        </w:rPr>
        <w:t>Liber.</w:t>
      </w:r>
    </w:p>
    <w:p>
      <w:pPr>
        <w:pStyle w:val="ListParagraph"/>
        <w:numPr>
          <w:ilvl w:val="0"/>
          <w:numId w:val="1"/>
        </w:numPr>
        <w:tabs>
          <w:tab w:pos="2091" w:val="left" w:leader="none"/>
        </w:tabs>
        <w:spacing w:line="240" w:lineRule="auto" w:before="47" w:after="0"/>
        <w:ind w:left="2090" w:right="0" w:hanging="281"/>
        <w:jc w:val="left"/>
        <w:rPr>
          <w:sz w:val="28"/>
        </w:rPr>
      </w:pPr>
      <w:r>
        <w:rPr>
          <w:sz w:val="28"/>
        </w:rPr>
        <w:t>Contract de Comodat nr.1 din</w:t>
      </w:r>
      <w:r>
        <w:rPr>
          <w:spacing w:val="-6"/>
          <w:sz w:val="28"/>
        </w:rPr>
        <w:t> </w:t>
      </w:r>
      <w:r>
        <w:rPr>
          <w:sz w:val="28"/>
        </w:rPr>
        <w:t>13.08.2020.</w:t>
      </w:r>
    </w:p>
    <w:p>
      <w:pPr>
        <w:pStyle w:val="ListParagraph"/>
        <w:numPr>
          <w:ilvl w:val="0"/>
          <w:numId w:val="1"/>
        </w:numPr>
        <w:tabs>
          <w:tab w:pos="2091" w:val="left" w:leader="none"/>
        </w:tabs>
        <w:spacing w:line="240" w:lineRule="auto" w:before="48" w:after="0"/>
        <w:ind w:left="2090" w:right="0" w:hanging="281"/>
        <w:jc w:val="left"/>
        <w:rPr>
          <w:sz w:val="28"/>
        </w:rPr>
      </w:pPr>
      <w:r>
        <w:rPr>
          <w:sz w:val="28"/>
        </w:rPr>
        <w:t>Acord de Colaborarea din</w:t>
      </w:r>
      <w:r>
        <w:rPr>
          <w:spacing w:val="-4"/>
          <w:sz w:val="28"/>
        </w:rPr>
        <w:t> </w:t>
      </w:r>
      <w:r>
        <w:rPr>
          <w:sz w:val="28"/>
        </w:rPr>
        <w:t>13.08.2020.</w:t>
      </w:r>
    </w:p>
    <w:p>
      <w:pPr>
        <w:pStyle w:val="ListParagraph"/>
        <w:numPr>
          <w:ilvl w:val="0"/>
          <w:numId w:val="1"/>
        </w:numPr>
        <w:tabs>
          <w:tab w:pos="2091" w:val="left" w:leader="none"/>
        </w:tabs>
        <w:spacing w:line="240" w:lineRule="auto" w:before="50" w:after="0"/>
        <w:ind w:left="2090" w:right="0" w:hanging="281"/>
        <w:jc w:val="left"/>
        <w:rPr>
          <w:sz w:val="28"/>
        </w:rPr>
      </w:pPr>
      <w:r>
        <w:rPr>
          <w:sz w:val="28"/>
        </w:rPr>
        <w:t>Decizia consiliului municipal Comrat din</w:t>
      </w:r>
      <w:r>
        <w:rPr>
          <w:spacing w:val="-2"/>
          <w:sz w:val="28"/>
        </w:rPr>
        <w:t> </w:t>
      </w:r>
      <w:r>
        <w:rPr>
          <w:sz w:val="28"/>
        </w:rPr>
        <w:t>04.09.2020.</w:t>
      </w:r>
    </w:p>
    <w:p>
      <w:pPr>
        <w:pStyle w:val="ListParagraph"/>
        <w:numPr>
          <w:ilvl w:val="0"/>
          <w:numId w:val="1"/>
        </w:numPr>
        <w:tabs>
          <w:tab w:pos="2091" w:val="left" w:leader="none"/>
        </w:tabs>
        <w:spacing w:line="240" w:lineRule="auto" w:before="48" w:after="0"/>
        <w:ind w:left="2090" w:right="0" w:hanging="281"/>
        <w:jc w:val="left"/>
        <w:rPr>
          <w:sz w:val="28"/>
        </w:rPr>
      </w:pPr>
      <w:r>
        <w:rPr>
          <w:sz w:val="28"/>
        </w:rPr>
        <w:t>Scrisoarea primarului mun. Comrat din</w:t>
      </w:r>
      <w:r>
        <w:rPr>
          <w:spacing w:val="-4"/>
          <w:sz w:val="28"/>
        </w:rPr>
        <w:t> </w:t>
      </w:r>
      <w:r>
        <w:rPr>
          <w:sz w:val="28"/>
        </w:rPr>
        <w:t>07.09.2020.</w:t>
      </w:r>
    </w:p>
    <w:p>
      <w:pPr>
        <w:pStyle w:val="ListParagraph"/>
        <w:numPr>
          <w:ilvl w:val="0"/>
          <w:numId w:val="1"/>
        </w:numPr>
        <w:tabs>
          <w:tab w:pos="2091" w:val="left" w:leader="none"/>
        </w:tabs>
        <w:spacing w:line="240" w:lineRule="auto" w:before="47" w:after="0"/>
        <w:ind w:left="2090" w:right="0" w:hanging="281"/>
        <w:jc w:val="left"/>
        <w:rPr>
          <w:sz w:val="28"/>
        </w:rPr>
      </w:pPr>
      <w:r>
        <w:rPr>
          <w:sz w:val="28"/>
        </w:rPr>
        <w:t>Extras</w:t>
      </w:r>
      <w:r>
        <w:rPr>
          <w:spacing w:val="-1"/>
          <w:sz w:val="28"/>
        </w:rPr>
        <w:t> </w:t>
      </w:r>
      <w:r>
        <w:rPr>
          <w:sz w:val="28"/>
        </w:rPr>
        <w:t>cadastru.</w:t>
      </w:r>
    </w:p>
    <w:p>
      <w:pPr>
        <w:pStyle w:val="ListParagraph"/>
        <w:numPr>
          <w:ilvl w:val="0"/>
          <w:numId w:val="1"/>
        </w:numPr>
        <w:tabs>
          <w:tab w:pos="2091" w:val="left" w:leader="none"/>
        </w:tabs>
        <w:spacing w:line="240" w:lineRule="auto" w:before="50" w:after="0"/>
        <w:ind w:left="2090" w:right="0" w:hanging="281"/>
        <w:jc w:val="left"/>
        <w:rPr>
          <w:sz w:val="28"/>
        </w:rPr>
      </w:pPr>
      <w:r>
        <w:rPr>
          <w:sz w:val="28"/>
        </w:rPr>
        <w:t>Cererea conducerii companiei</w:t>
      </w:r>
      <w:r>
        <w:rPr>
          <w:spacing w:val="-3"/>
          <w:sz w:val="28"/>
        </w:rPr>
        <w:t> </w:t>
      </w:r>
      <w:r>
        <w:rPr>
          <w:sz w:val="28"/>
        </w:rPr>
        <w:t>internaționale.</w:t>
      </w: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194"/>
        <w:ind w:right="278"/>
        <w:jc w:val="right"/>
      </w:pPr>
      <w:r>
        <w:rPr/>
        <w:t>Deputați în Parlament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4"/>
        </w:rPr>
      </w:pPr>
      <w:r>
        <w:rPr/>
        <w:pict>
          <v:line style="position:absolute;mso-position-horizontal-relative:page;mso-position-vertical-relative:paragraph;z-index:-1024;mso-wrap-distance-left:0;mso-wrap-distance-right:0" from="85.850098pt,16.151922pt" to="536.600098pt,16.151922pt" stroked="true" strokeweight=".75pt" strokecolor="#7e7e7e">
            <v:stroke dashstyle="solid"/>
            <w10:wrap type="topAndBottom"/>
          </v:line>
        </w:pict>
      </w:r>
    </w:p>
    <w:p>
      <w:pPr>
        <w:tabs>
          <w:tab w:pos="8519" w:val="left" w:leader="none"/>
        </w:tabs>
        <w:spacing w:before="156"/>
        <w:ind w:left="1104" w:right="0" w:firstLine="0"/>
        <w:jc w:val="left"/>
        <w:rPr>
          <w:rFonts w:ascii="Georgia" w:hAnsi="Georgia"/>
          <w:sz w:val="18"/>
        </w:rPr>
      </w:pPr>
      <w:r>
        <w:rPr>
          <w:rFonts w:ascii="Georgia" w:hAnsi="Georgia"/>
          <w:sz w:val="18"/>
        </w:rPr>
        <w:t>Republica Moldova,</w:t>
      </w:r>
      <w:r>
        <w:rPr>
          <w:rFonts w:ascii="Georgia" w:hAnsi="Georgia"/>
          <w:spacing w:val="-7"/>
          <w:sz w:val="18"/>
        </w:rPr>
        <w:t> </w:t>
      </w:r>
      <w:r>
        <w:rPr>
          <w:rFonts w:ascii="Georgia" w:hAnsi="Georgia"/>
          <w:sz w:val="18"/>
        </w:rPr>
        <w:t>MD-2073,</w:t>
      </w:r>
      <w:r>
        <w:rPr>
          <w:rFonts w:ascii="Georgia" w:hAnsi="Georgia"/>
          <w:spacing w:val="-2"/>
          <w:sz w:val="18"/>
        </w:rPr>
        <w:t> </w:t>
      </w:r>
      <w:r>
        <w:rPr>
          <w:rFonts w:ascii="Georgia" w:hAnsi="Georgia"/>
          <w:sz w:val="18"/>
        </w:rPr>
        <w:t>Chişinău</w:t>
        <w:tab/>
      </w:r>
      <w:hyperlink r:id="rId8">
        <w:r>
          <w:rPr>
            <w:rFonts w:ascii="Georgia" w:hAnsi="Georgia"/>
            <w:sz w:val="18"/>
          </w:rPr>
          <w:t>info@parlament.md</w:t>
        </w:r>
      </w:hyperlink>
    </w:p>
    <w:p>
      <w:pPr>
        <w:tabs>
          <w:tab w:pos="8553" w:val="left" w:leader="none"/>
        </w:tabs>
        <w:spacing w:before="31"/>
        <w:ind w:left="1104" w:right="0" w:firstLine="0"/>
        <w:jc w:val="left"/>
        <w:rPr>
          <w:rFonts w:ascii="Georgia" w:hAnsi="Georgia"/>
          <w:sz w:val="18"/>
        </w:rPr>
      </w:pPr>
      <w:r>
        <w:rPr>
          <w:rFonts w:ascii="Georgia" w:hAnsi="Georgia"/>
          <w:sz w:val="18"/>
        </w:rPr>
        <w:t>Bd. Ştefan cel Mare şi</w:t>
      </w:r>
      <w:r>
        <w:rPr>
          <w:rFonts w:ascii="Georgia" w:hAnsi="Georgia"/>
          <w:spacing w:val="-9"/>
          <w:sz w:val="18"/>
        </w:rPr>
        <w:t> </w:t>
      </w:r>
      <w:r>
        <w:rPr>
          <w:rFonts w:ascii="Georgia" w:hAnsi="Georgia"/>
          <w:sz w:val="18"/>
        </w:rPr>
        <w:t>Sfînt 105</w:t>
        <w:tab/>
      </w:r>
      <w:hyperlink r:id="rId9">
        <w:r>
          <w:rPr>
            <w:rFonts w:ascii="Georgia" w:hAnsi="Georgia"/>
            <w:sz w:val="18"/>
          </w:rPr>
          <w:t>www.parlament.md</w:t>
        </w:r>
      </w:hyperlink>
    </w:p>
    <w:p>
      <w:pPr>
        <w:spacing w:after="0"/>
        <w:jc w:val="left"/>
        <w:rPr>
          <w:rFonts w:ascii="Georgia" w:hAnsi="Georgia"/>
          <w:sz w:val="18"/>
        </w:rPr>
        <w:sectPr>
          <w:type w:val="continuous"/>
          <w:pgSz w:w="11910" w:h="16840"/>
          <w:pgMar w:top="820" w:bottom="280" w:left="600" w:right="740"/>
        </w:sectPr>
      </w:pPr>
    </w:p>
    <w:p>
      <w:pPr>
        <w:pStyle w:val="BodyText"/>
        <w:spacing w:before="74"/>
        <w:ind w:right="108"/>
        <w:jc w:val="right"/>
      </w:pPr>
      <w:bookmarkStart w:name="Proiectul legii FG16" w:id="2"/>
      <w:bookmarkEnd w:id="2"/>
      <w:r>
        <w:rPr/>
      </w:r>
      <w:r>
        <w:rPr/>
        <w:t>Proiect</w:t>
      </w:r>
    </w:p>
    <w:p>
      <w:pPr>
        <w:pStyle w:val="BodyText"/>
        <w:rPr>
          <w:sz w:val="30"/>
        </w:rPr>
      </w:pPr>
    </w:p>
    <w:p>
      <w:pPr>
        <w:pStyle w:val="BodyText"/>
        <w:spacing w:before="3"/>
        <w:rPr>
          <w:sz w:val="30"/>
        </w:rPr>
      </w:pPr>
    </w:p>
    <w:p>
      <w:pPr>
        <w:pStyle w:val="Heading1"/>
        <w:spacing w:before="1"/>
        <w:ind w:left="5266" w:right="4274"/>
      </w:pPr>
      <w:r>
        <w:rPr/>
        <w:t>L E G E</w:t>
      </w:r>
    </w:p>
    <w:p>
      <w:pPr>
        <w:spacing w:line="376" w:lineRule="auto" w:before="186"/>
        <w:ind w:left="1855" w:right="860" w:firstLine="1"/>
        <w:jc w:val="center"/>
        <w:rPr>
          <w:b/>
          <w:sz w:val="28"/>
        </w:rPr>
      </w:pPr>
      <w:r>
        <w:rPr>
          <w:b/>
          <w:sz w:val="28"/>
        </w:rPr>
        <w:t>pentru modificarea articolului 1 din Legea nr.1527/1998 privind Zona Antreprenoriatului Liber – Parcul de Producţie „Valkaneş”</w:t>
      </w:r>
    </w:p>
    <w:p>
      <w:pPr>
        <w:pStyle w:val="BodyText"/>
        <w:tabs>
          <w:tab w:pos="9770" w:val="left" w:leader="none"/>
        </w:tabs>
        <w:spacing w:before="5"/>
        <w:ind w:left="1646"/>
      </w:pPr>
      <w:r>
        <w:rPr>
          <w:w w:val="100"/>
          <w:u w:val="single"/>
        </w:rPr>
        <w:t> </w:t>
      </w:r>
      <w:r>
        <w:rPr>
          <w:u w:val="single"/>
        </w:rPr>
        <w:tab/>
      </w:r>
      <w:r>
        <w:rPr/>
        <w:t>_</w:t>
      </w:r>
    </w:p>
    <w:p>
      <w:pPr>
        <w:pStyle w:val="BodyText"/>
        <w:rPr>
          <w:sz w:val="30"/>
        </w:rPr>
      </w:pPr>
    </w:p>
    <w:p>
      <w:pPr>
        <w:pStyle w:val="BodyText"/>
        <w:spacing w:before="3"/>
        <w:rPr>
          <w:sz w:val="30"/>
        </w:rPr>
      </w:pPr>
    </w:p>
    <w:p>
      <w:pPr>
        <w:pStyle w:val="BodyText"/>
        <w:ind w:left="1668"/>
      </w:pPr>
      <w:r>
        <w:rPr/>
        <w:t>Parlamentul adoptă prezenta lege organică.</w:t>
      </w:r>
    </w:p>
    <w:p>
      <w:pPr>
        <w:pStyle w:val="BodyText"/>
        <w:rPr>
          <w:sz w:val="30"/>
        </w:rPr>
      </w:pPr>
    </w:p>
    <w:p>
      <w:pPr>
        <w:pStyle w:val="BodyText"/>
        <w:rPr>
          <w:sz w:val="30"/>
        </w:rPr>
      </w:pPr>
    </w:p>
    <w:p>
      <w:pPr>
        <w:pStyle w:val="BodyText"/>
        <w:spacing w:line="259" w:lineRule="auto"/>
        <w:ind w:left="1101" w:right="104" w:firstLine="566"/>
        <w:jc w:val="both"/>
      </w:pPr>
      <w:r>
        <w:rPr>
          <w:b/>
        </w:rPr>
        <w:t>Articol unic. </w:t>
      </w:r>
      <w:r>
        <w:rPr/>
        <w:t>– La articolul 1 din Legea nr.1527/1998 privind Zona Antreprenoriatului Liber – Parcul de Producţie „Valkaneş” (Monitorul Oficial al Republicii Moldova, 1998, nr.36–37, art.236), cu modificările ulterioare, alineatul</w:t>
      </w:r>
    </w:p>
    <w:p>
      <w:pPr>
        <w:pStyle w:val="BodyText"/>
        <w:spacing w:line="323" w:lineRule="exact"/>
        <w:ind w:left="1101"/>
      </w:pPr>
      <w:r>
        <w:rPr/>
        <w:t>(2) se completează cu litera d</w:t>
      </w:r>
      <w:r>
        <w:rPr>
          <w:position w:val="10"/>
          <w:sz w:val="18"/>
        </w:rPr>
        <w:t>1</w:t>
      </w:r>
      <w:r>
        <w:rPr/>
        <w:t>) cu următorul cuprins:</w:t>
      </w:r>
    </w:p>
    <w:p>
      <w:pPr>
        <w:pStyle w:val="BodyText"/>
        <w:rPr>
          <w:sz w:val="32"/>
        </w:rPr>
      </w:pPr>
    </w:p>
    <w:p>
      <w:pPr>
        <w:pStyle w:val="BodyText"/>
        <w:spacing w:before="8"/>
        <w:rPr>
          <w:sz w:val="27"/>
        </w:rPr>
      </w:pPr>
    </w:p>
    <w:p>
      <w:pPr>
        <w:pStyle w:val="BodyText"/>
        <w:spacing w:line="259" w:lineRule="auto"/>
        <w:ind w:left="1101" w:right="105" w:firstLine="566"/>
        <w:jc w:val="both"/>
      </w:pPr>
      <w:r>
        <w:rPr/>
        <w:t>,,d</w:t>
      </w:r>
      <w:r>
        <w:rPr>
          <w:position w:val="10"/>
          <w:sz w:val="18"/>
        </w:rPr>
        <w:t>1</w:t>
      </w:r>
      <w:r>
        <w:rPr/>
        <w:t>) un teren de 0,9655 ha, cu numărul cadastral 9601205.151, amplasat pe str. Buzin nr. 2, municipiul Comrat, precum și construcția cu numărul cadastral 9601205.051.01, cu suprafața 3732,2</w:t>
      </w:r>
      <w:r>
        <w:rPr>
          <w:spacing w:val="-5"/>
        </w:rPr>
        <w:t> </w:t>
      </w:r>
      <w:r>
        <w:rPr/>
        <w:t>m.p.;”.</w:t>
      </w:r>
    </w:p>
    <w:p>
      <w:pPr>
        <w:pStyle w:val="BodyText"/>
        <w:rPr>
          <w:sz w:val="30"/>
        </w:rPr>
      </w:pPr>
    </w:p>
    <w:p>
      <w:pPr>
        <w:pStyle w:val="BodyText"/>
        <w:spacing w:before="10"/>
        <w:rPr>
          <w:sz w:val="27"/>
        </w:rPr>
      </w:pPr>
    </w:p>
    <w:p>
      <w:pPr>
        <w:pStyle w:val="BodyText"/>
        <w:spacing w:before="1"/>
        <w:ind w:left="1668"/>
      </w:pPr>
      <w:r>
        <w:rPr/>
        <w:t>PREŞEDINTELE</w:t>
      </w:r>
      <w:r>
        <w:rPr>
          <w:spacing w:val="-20"/>
        </w:rPr>
        <w:t> </w:t>
      </w:r>
      <w:r>
        <w:rPr/>
        <w:t>PARLAMENTULUI</w:t>
      </w:r>
    </w:p>
    <w:p>
      <w:pPr>
        <w:spacing w:after="0"/>
        <w:sectPr>
          <w:pgSz w:w="11910" w:h="16840"/>
          <w:pgMar w:top="1040" w:bottom="280" w:left="600" w:right="740"/>
        </w:sectPr>
      </w:pPr>
    </w:p>
    <w:p>
      <w:pPr>
        <w:pStyle w:val="Heading1"/>
        <w:spacing w:before="74"/>
        <w:ind w:left="4305"/>
        <w:jc w:val="left"/>
      </w:pPr>
      <w:r>
        <w:rPr/>
        <w:t>NOTA INFORMATIVĂ</w:t>
      </w:r>
    </w:p>
    <w:p>
      <w:pPr>
        <w:spacing w:line="259" w:lineRule="auto" w:before="187"/>
        <w:ind w:left="1375" w:right="382" w:hanging="1"/>
        <w:jc w:val="center"/>
        <w:rPr>
          <w:b/>
          <w:sz w:val="28"/>
        </w:rPr>
      </w:pPr>
      <w:r>
        <w:rPr>
          <w:b/>
          <w:sz w:val="28"/>
        </w:rPr>
        <w:t>la proiectul Legii pentru modificarea articolului 1 din Legea nr.1527/1998 privind Zona Antreprenoriatului Liber – Parcul de Producţie „Valkaneş”</w:t>
      </w:r>
    </w:p>
    <w:p>
      <w:pPr>
        <w:pStyle w:val="BodyText"/>
        <w:rPr>
          <w:b/>
          <w:sz w:val="30"/>
        </w:rPr>
      </w:pPr>
    </w:p>
    <w:p>
      <w:pPr>
        <w:pStyle w:val="BodyText"/>
        <w:spacing w:before="1"/>
        <w:rPr>
          <w:b/>
        </w:rPr>
      </w:pPr>
    </w:p>
    <w:p>
      <w:pPr>
        <w:pStyle w:val="BodyText"/>
        <w:spacing w:line="276" w:lineRule="auto"/>
        <w:ind w:left="1101" w:right="107" w:firstLine="427"/>
        <w:jc w:val="both"/>
      </w:pPr>
      <w:r>
        <w:rPr/>
        <w:t>Proiectul Legii pentru modificarea articolului 1 din Legea nr.1527/1998 privind Zona Antreprenoriatului Liber – Parcul de Producţie „Valkaneş” a fost elaborat cu scopul utilizării mai eficiente a proprietății publice, stimulând construcția unui complex modern pentru gestionarea regională a situațiilor de urgență, precum și crearea locuri de muncă suplimentare prin atragerea investițiilor straine.</w:t>
      </w:r>
    </w:p>
    <w:p>
      <w:pPr>
        <w:pStyle w:val="BodyText"/>
        <w:spacing w:line="276" w:lineRule="auto" w:before="159"/>
        <w:ind w:left="1100" w:right="105" w:firstLine="427"/>
        <w:jc w:val="both"/>
      </w:pPr>
      <w:r>
        <w:rPr/>
        <w:t>Proiectul de lege prevede extinderea subzonei în mun. Comrat în Zona Antreprenoriatului Liber – Parcul de Producţie „Valkaneş” (în continuare - parcul industrial) datorită includerii unui teren de 0,9655 hectare (numărul cadastral 9601205.151), amplasat pe str. Buzin nr.2 a mun. Comrat, care a fost transferat administrației parcului de producție prin decizia consiliului municipal Comrat.</w:t>
      </w:r>
    </w:p>
    <w:p>
      <w:pPr>
        <w:pStyle w:val="BodyText"/>
        <w:spacing w:line="276" w:lineRule="auto" w:before="160"/>
        <w:ind w:left="1101" w:right="104" w:firstLine="566"/>
        <w:jc w:val="both"/>
      </w:pPr>
      <w:r>
        <w:rPr/>
        <w:t>Proiectul de lege prevede și transferul către administrația parcului industrial al unei clădiri cu o suprafață de 3.732,2 m.p, care este proprietatea statului, aflată în prezent în jurisdicția Inspectoratului General pentru Situații de Urgență al Ministerului Afacerilor Interne al Republicii Moldova. Această clădire, ca depozit, a fost într-o stare deteriorată pentru o lungă perioadă de timp. În anul 2017, prin acordul dintre Comitetul Executiv al Găgăuziei și Ministerul Afacerilor Interne al Republicii Moldova, această clădire a fost transferată pentru utilizare temporară la primăria mun. Comrat și reconstituită din sursele bugetului regional și local pentru instalațiile</w:t>
      </w:r>
      <w:r>
        <w:rPr>
          <w:spacing w:val="-8"/>
        </w:rPr>
        <w:t> </w:t>
      </w:r>
      <w:r>
        <w:rPr/>
        <w:t>de</w:t>
      </w:r>
      <w:r>
        <w:rPr>
          <w:spacing w:val="-8"/>
        </w:rPr>
        <w:t> </w:t>
      </w:r>
      <w:r>
        <w:rPr/>
        <w:t>producție</w:t>
      </w:r>
      <w:r>
        <w:rPr>
          <w:spacing w:val="-7"/>
        </w:rPr>
        <w:t> </w:t>
      </w:r>
      <w:r>
        <w:rPr/>
        <w:t>cu</w:t>
      </w:r>
      <w:r>
        <w:rPr>
          <w:spacing w:val="-7"/>
        </w:rPr>
        <w:t> </w:t>
      </w:r>
      <w:r>
        <w:rPr/>
        <w:t>crearea</w:t>
      </w:r>
      <w:r>
        <w:rPr>
          <w:spacing w:val="-9"/>
        </w:rPr>
        <w:t> </w:t>
      </w:r>
      <w:r>
        <w:rPr/>
        <w:t>infrastructurii</w:t>
      </w:r>
      <w:r>
        <w:rPr>
          <w:spacing w:val="-6"/>
        </w:rPr>
        <w:t> </w:t>
      </w:r>
      <w:r>
        <w:rPr/>
        <w:t>și</w:t>
      </w:r>
      <w:r>
        <w:rPr>
          <w:spacing w:val="-6"/>
        </w:rPr>
        <w:t> </w:t>
      </w:r>
      <w:r>
        <w:rPr/>
        <w:t>utilităților</w:t>
      </w:r>
      <w:r>
        <w:rPr>
          <w:spacing w:val="-8"/>
        </w:rPr>
        <w:t> </w:t>
      </w:r>
      <w:r>
        <w:rPr/>
        <w:t>necesare.</w:t>
      </w:r>
      <w:r>
        <w:rPr>
          <w:spacing w:val="-8"/>
        </w:rPr>
        <w:t> </w:t>
      </w:r>
      <w:r>
        <w:rPr/>
        <w:t>Suma</w:t>
      </w:r>
      <w:r>
        <w:rPr>
          <w:spacing w:val="-7"/>
        </w:rPr>
        <w:t> </w:t>
      </w:r>
      <w:r>
        <w:rPr/>
        <w:t>totală cheltuită pentru reconstrucția clădirii indicate s-a ridicat la 12 milioane 124 mii 155 lei.</w:t>
      </w:r>
    </w:p>
    <w:p>
      <w:pPr>
        <w:pStyle w:val="BodyText"/>
        <w:spacing w:line="276" w:lineRule="auto" w:before="158"/>
        <w:ind w:left="1101" w:right="104" w:firstLine="566"/>
        <w:jc w:val="both"/>
      </w:pPr>
      <w:r>
        <w:rPr/>
        <w:t>De asemenea, între Ministerul Afacerilor Interne al Republicii Moldova </w:t>
      </w:r>
      <w:r>
        <w:rPr>
          <w:spacing w:val="-4"/>
        </w:rPr>
        <w:t>și </w:t>
      </w:r>
      <w:r>
        <w:rPr/>
        <w:t>primăria mun. Comrat a fost semnat un acord privind construcția unui nou complex de</w:t>
      </w:r>
      <w:r>
        <w:rPr>
          <w:spacing w:val="-7"/>
        </w:rPr>
        <w:t> </w:t>
      </w:r>
      <w:r>
        <w:rPr/>
        <w:t>clădiri</w:t>
      </w:r>
      <w:r>
        <w:rPr>
          <w:spacing w:val="-6"/>
        </w:rPr>
        <w:t> </w:t>
      </w:r>
      <w:r>
        <w:rPr/>
        <w:t>pentru</w:t>
      </w:r>
      <w:r>
        <w:rPr>
          <w:spacing w:val="-9"/>
        </w:rPr>
        <w:t> </w:t>
      </w:r>
      <w:r>
        <w:rPr/>
        <w:t>a</w:t>
      </w:r>
      <w:r>
        <w:rPr>
          <w:spacing w:val="-7"/>
        </w:rPr>
        <w:t> </w:t>
      </w:r>
      <w:r>
        <w:rPr/>
        <w:t>permiterea</w:t>
      </w:r>
      <w:r>
        <w:rPr>
          <w:spacing w:val="-7"/>
        </w:rPr>
        <w:t> </w:t>
      </w:r>
      <w:r>
        <w:rPr/>
        <w:t>activării</w:t>
      </w:r>
      <w:r>
        <w:rPr>
          <w:spacing w:val="-6"/>
        </w:rPr>
        <w:t> </w:t>
      </w:r>
      <w:r>
        <w:rPr/>
        <w:t>Biroului</w:t>
      </w:r>
      <w:r>
        <w:rPr>
          <w:spacing w:val="-9"/>
        </w:rPr>
        <w:t> </w:t>
      </w:r>
      <w:r>
        <w:rPr/>
        <w:t>Regional</w:t>
      </w:r>
      <w:r>
        <w:rPr>
          <w:spacing w:val="-8"/>
        </w:rPr>
        <w:t> </w:t>
      </w:r>
      <w:r>
        <w:rPr/>
        <w:t>pentru</w:t>
      </w:r>
      <w:r>
        <w:rPr>
          <w:spacing w:val="-9"/>
        </w:rPr>
        <w:t> </w:t>
      </w:r>
      <w:r>
        <w:rPr/>
        <w:t>Situații</w:t>
      </w:r>
      <w:r>
        <w:rPr>
          <w:spacing w:val="-6"/>
        </w:rPr>
        <w:t> </w:t>
      </w:r>
      <w:r>
        <w:rPr/>
        <w:t>de</w:t>
      </w:r>
      <w:r>
        <w:rPr>
          <w:spacing w:val="-8"/>
        </w:rPr>
        <w:t> </w:t>
      </w:r>
      <w:r>
        <w:rPr/>
        <w:t>Urgență. Costurile de construcție sunt suportate de bugetul municipiului Comrat. Pentru construcția unui nou complex destinat Biroului sus indicat, primăria mun. Comrat a alocat un teren cu o suprafață de 2 hectare (număr cadastral 9601240.012), situat într-un loc convenabil pentru îndeplinirea atribuțiilor de serviciu a acestei instituții de stat. La finalizarea construcției complexului dat, conform Acordului, proprietarii vor face schimb de</w:t>
      </w:r>
      <w:r>
        <w:rPr>
          <w:spacing w:val="-5"/>
        </w:rPr>
        <w:t> </w:t>
      </w:r>
      <w:r>
        <w:rPr/>
        <w:t>clădiri.</w:t>
      </w:r>
    </w:p>
    <w:p>
      <w:pPr>
        <w:pStyle w:val="BodyText"/>
        <w:spacing w:line="276" w:lineRule="auto" w:before="162"/>
        <w:ind w:left="1102" w:right="103" w:firstLine="427"/>
      </w:pPr>
      <w:r>
        <w:rPr/>
        <w:t>Terenul propus pentru includerea în zona liberă, precum și clădirea situată pe acest teren, reprezintă un teritoriu de producție dezvoltat: un gard a fost ridicat de-a</w:t>
      </w:r>
    </w:p>
    <w:p>
      <w:pPr>
        <w:spacing w:after="0" w:line="276" w:lineRule="auto"/>
        <w:sectPr>
          <w:pgSz w:w="11910" w:h="16840"/>
          <w:pgMar w:top="1040" w:bottom="280" w:left="600" w:right="740"/>
        </w:sectPr>
      </w:pPr>
    </w:p>
    <w:p>
      <w:pPr>
        <w:pStyle w:val="BodyText"/>
        <w:spacing w:line="276" w:lineRule="auto" w:before="74"/>
        <w:ind w:left="1101" w:right="105"/>
        <w:jc w:val="both"/>
      </w:pPr>
      <w:r>
        <w:rPr/>
        <w:t>lungul perimetrului teritoriului, există toată infrastructura necesară (apă, canalizare, electricitate,</w:t>
      </w:r>
      <w:r>
        <w:rPr>
          <w:spacing w:val="-20"/>
        </w:rPr>
        <w:t> </w:t>
      </w:r>
      <w:r>
        <w:rPr/>
        <w:t>gaz).</w:t>
      </w:r>
      <w:r>
        <w:rPr>
          <w:spacing w:val="-17"/>
        </w:rPr>
        <w:t> </w:t>
      </w:r>
      <w:r>
        <w:rPr/>
        <w:t>Pentru</w:t>
      </w:r>
      <w:r>
        <w:rPr>
          <w:spacing w:val="-19"/>
        </w:rPr>
        <w:t> </w:t>
      </w:r>
      <w:r>
        <w:rPr/>
        <w:t>organizarea</w:t>
      </w:r>
      <w:r>
        <w:rPr>
          <w:spacing w:val="-19"/>
        </w:rPr>
        <w:t> </w:t>
      </w:r>
      <w:r>
        <w:rPr/>
        <w:t>producției</w:t>
      </w:r>
      <w:r>
        <w:rPr>
          <w:spacing w:val="-18"/>
        </w:rPr>
        <w:t> </w:t>
      </w:r>
      <w:r>
        <w:rPr/>
        <w:t>și</w:t>
      </w:r>
      <w:r>
        <w:rPr>
          <w:spacing w:val="-18"/>
        </w:rPr>
        <w:t> </w:t>
      </w:r>
      <w:r>
        <w:rPr/>
        <w:t>includerea</w:t>
      </w:r>
      <w:r>
        <w:rPr>
          <w:spacing w:val="-17"/>
        </w:rPr>
        <w:t> </w:t>
      </w:r>
      <w:r>
        <w:rPr/>
        <w:t>în</w:t>
      </w:r>
      <w:r>
        <w:rPr>
          <w:spacing w:val="-18"/>
        </w:rPr>
        <w:t> </w:t>
      </w:r>
      <w:r>
        <w:rPr/>
        <w:t>zona</w:t>
      </w:r>
      <w:r>
        <w:rPr>
          <w:spacing w:val="-19"/>
        </w:rPr>
        <w:t> </w:t>
      </w:r>
      <w:r>
        <w:rPr/>
        <w:t>vamală</w:t>
      </w:r>
      <w:r>
        <w:rPr>
          <w:spacing w:val="-17"/>
        </w:rPr>
        <w:t> </w:t>
      </w:r>
      <w:r>
        <w:rPr/>
        <w:t>nu</w:t>
      </w:r>
      <w:r>
        <w:rPr>
          <w:spacing w:val="-15"/>
        </w:rPr>
        <w:t> </w:t>
      </w:r>
      <w:r>
        <w:rPr/>
        <w:t>sunt necesare costuri</w:t>
      </w:r>
      <w:r>
        <w:rPr>
          <w:spacing w:val="-4"/>
        </w:rPr>
        <w:t> </w:t>
      </w:r>
      <w:r>
        <w:rPr/>
        <w:t>suplimentare.</w:t>
      </w:r>
    </w:p>
    <w:p>
      <w:pPr>
        <w:pStyle w:val="BodyText"/>
        <w:spacing w:line="276" w:lineRule="auto" w:before="162"/>
        <w:ind w:left="1101" w:right="107" w:firstLine="427"/>
        <w:jc w:val="both"/>
      </w:pPr>
      <w:r>
        <w:rPr/>
        <w:t>În</w:t>
      </w:r>
      <w:r>
        <w:rPr>
          <w:spacing w:val="-11"/>
        </w:rPr>
        <w:t> </w:t>
      </w:r>
      <w:r>
        <w:rPr/>
        <w:t>plus,</w:t>
      </w:r>
      <w:r>
        <w:rPr>
          <w:spacing w:val="-13"/>
        </w:rPr>
        <w:t> </w:t>
      </w:r>
      <w:r>
        <w:rPr/>
        <w:t>există</w:t>
      </w:r>
      <w:r>
        <w:rPr>
          <w:spacing w:val="-11"/>
        </w:rPr>
        <w:t> </w:t>
      </w:r>
      <w:r>
        <w:rPr/>
        <w:t>în</w:t>
      </w:r>
      <w:r>
        <w:rPr>
          <w:spacing w:val="-11"/>
        </w:rPr>
        <w:t> </w:t>
      </w:r>
      <w:r>
        <w:rPr/>
        <w:t>prezent</w:t>
      </w:r>
      <w:r>
        <w:rPr>
          <w:spacing w:val="-13"/>
        </w:rPr>
        <w:t> </w:t>
      </w:r>
      <w:r>
        <w:rPr/>
        <w:t>potențiali</w:t>
      </w:r>
      <w:r>
        <w:rPr>
          <w:spacing w:val="-11"/>
        </w:rPr>
        <w:t> </w:t>
      </w:r>
      <w:r>
        <w:rPr/>
        <w:t>investitori</w:t>
      </w:r>
      <w:r>
        <w:rPr>
          <w:spacing w:val="-11"/>
        </w:rPr>
        <w:t> </w:t>
      </w:r>
      <w:r>
        <w:rPr/>
        <w:t>cu</w:t>
      </w:r>
      <w:r>
        <w:rPr>
          <w:spacing w:val="-10"/>
        </w:rPr>
        <w:t> </w:t>
      </w:r>
      <w:r>
        <w:rPr/>
        <w:t>proiecte</w:t>
      </w:r>
      <w:r>
        <w:rPr>
          <w:spacing w:val="-12"/>
        </w:rPr>
        <w:t> </w:t>
      </w:r>
      <w:r>
        <w:rPr/>
        <w:t>promițătoare,</w:t>
      </w:r>
      <w:r>
        <w:rPr>
          <w:spacing w:val="-12"/>
        </w:rPr>
        <w:t> </w:t>
      </w:r>
      <w:r>
        <w:rPr/>
        <w:t>care</w:t>
      </w:r>
      <w:r>
        <w:rPr>
          <w:spacing w:val="-12"/>
        </w:rPr>
        <w:t> </w:t>
      </w:r>
      <w:r>
        <w:rPr/>
        <w:t>sunt gata s-a acorde investiții în dezvoltarea obiectului</w:t>
      </w:r>
      <w:r>
        <w:rPr>
          <w:spacing w:val="-13"/>
        </w:rPr>
        <w:t> </w:t>
      </w:r>
      <w:r>
        <w:rPr/>
        <w:t>dat.</w:t>
      </w:r>
    </w:p>
    <w:p>
      <w:pPr>
        <w:pStyle w:val="BodyText"/>
        <w:spacing w:line="276" w:lineRule="auto" w:before="159"/>
        <w:ind w:left="1101" w:right="104" w:firstLine="427"/>
        <w:jc w:val="both"/>
      </w:pPr>
      <w:r>
        <w:rPr/>
        <w:t>Una dintre companiile internaționale, care lucrează în domeniul cablajelor electrice pentru industria auto și-a exprimat intenția de a deschide o producție industrială mare în scurt timp. Această companie intenționează să organizeze producția</w:t>
      </w:r>
      <w:r>
        <w:rPr>
          <w:spacing w:val="-16"/>
        </w:rPr>
        <w:t> </w:t>
      </w:r>
      <w:r>
        <w:rPr/>
        <w:t>pe</w:t>
      </w:r>
      <w:r>
        <w:rPr>
          <w:spacing w:val="-14"/>
        </w:rPr>
        <w:t> </w:t>
      </w:r>
      <w:r>
        <w:rPr/>
        <w:t>acest</w:t>
      </w:r>
      <w:r>
        <w:rPr>
          <w:spacing w:val="-13"/>
        </w:rPr>
        <w:t> </w:t>
      </w:r>
      <w:r>
        <w:rPr/>
        <w:t>teritoriu</w:t>
      </w:r>
      <w:r>
        <w:rPr>
          <w:spacing w:val="-13"/>
        </w:rPr>
        <w:t> </w:t>
      </w:r>
      <w:r>
        <w:rPr/>
        <w:t>începând</w:t>
      </w:r>
      <w:r>
        <w:rPr>
          <w:spacing w:val="-13"/>
        </w:rPr>
        <w:t> </w:t>
      </w:r>
      <w:r>
        <w:rPr/>
        <w:t>cu</w:t>
      </w:r>
      <w:r>
        <w:rPr>
          <w:spacing w:val="-13"/>
        </w:rPr>
        <w:t> </w:t>
      </w:r>
      <w:r>
        <w:rPr/>
        <w:t>2021;</w:t>
      </w:r>
      <w:r>
        <w:rPr>
          <w:spacing w:val="-13"/>
        </w:rPr>
        <w:t> </w:t>
      </w:r>
      <w:r>
        <w:rPr/>
        <w:t>în</w:t>
      </w:r>
      <w:r>
        <w:rPr>
          <w:spacing w:val="-13"/>
        </w:rPr>
        <w:t> </w:t>
      </w:r>
      <w:r>
        <w:rPr/>
        <w:t>prima</w:t>
      </w:r>
      <w:r>
        <w:rPr>
          <w:spacing w:val="-14"/>
        </w:rPr>
        <w:t> </w:t>
      </w:r>
      <w:r>
        <w:rPr/>
        <w:t>etapă,</w:t>
      </w:r>
      <w:r>
        <w:rPr>
          <w:spacing w:val="-14"/>
        </w:rPr>
        <w:t> </w:t>
      </w:r>
      <w:r>
        <w:rPr/>
        <w:t>este</w:t>
      </w:r>
      <w:r>
        <w:rPr>
          <w:spacing w:val="-16"/>
        </w:rPr>
        <w:t> </w:t>
      </w:r>
      <w:r>
        <w:rPr/>
        <w:t>planificată</w:t>
      </w:r>
      <w:r>
        <w:rPr>
          <w:spacing w:val="-14"/>
        </w:rPr>
        <w:t> </w:t>
      </w:r>
      <w:r>
        <w:rPr/>
        <w:t>crearea a 150 de locuri noi de</w:t>
      </w:r>
      <w:r>
        <w:rPr>
          <w:spacing w:val="-9"/>
        </w:rPr>
        <w:t> </w:t>
      </w:r>
      <w:r>
        <w:rPr/>
        <w:t>muncă.</w:t>
      </w:r>
    </w:p>
    <w:p>
      <w:pPr>
        <w:pStyle w:val="BodyText"/>
        <w:spacing w:line="276" w:lineRule="auto" w:before="160"/>
        <w:ind w:left="1101" w:right="104" w:firstLine="426"/>
        <w:jc w:val="both"/>
      </w:pPr>
      <w:r>
        <w:rPr/>
        <w:t>Implementarea acestor proiecte de investiții vor avea un efect pozitiv asupra situației socio-economice din oraș și din regiune și de asemenea, un impact asupra îmbunătățirii bunăstării populației locale. Totodată, având în vedere complexitatea producției industriale, investitorii intenționează să organizeze și instruirea</w:t>
      </w:r>
      <w:r>
        <w:rPr>
          <w:spacing w:val="-42"/>
        </w:rPr>
        <w:t> </w:t>
      </w:r>
      <w:r>
        <w:rPr/>
        <w:t>calificată a personalului. Drept urmare, printre efectele așteptate ale noii producții se va număra</w:t>
      </w:r>
      <w:r>
        <w:rPr>
          <w:spacing w:val="-5"/>
        </w:rPr>
        <w:t> </w:t>
      </w:r>
      <w:r>
        <w:rPr/>
        <w:t>nu</w:t>
      </w:r>
      <w:r>
        <w:rPr>
          <w:spacing w:val="-5"/>
        </w:rPr>
        <w:t> </w:t>
      </w:r>
      <w:r>
        <w:rPr/>
        <w:t>numai</w:t>
      </w:r>
      <w:r>
        <w:rPr>
          <w:spacing w:val="-4"/>
        </w:rPr>
        <w:t> </w:t>
      </w:r>
      <w:r>
        <w:rPr/>
        <w:t>o</w:t>
      </w:r>
      <w:r>
        <w:rPr>
          <w:spacing w:val="-5"/>
        </w:rPr>
        <w:t> </w:t>
      </w:r>
      <w:r>
        <w:rPr/>
        <w:t>creștere</w:t>
      </w:r>
      <w:r>
        <w:rPr>
          <w:spacing w:val="-6"/>
        </w:rPr>
        <w:t> </w:t>
      </w:r>
      <w:r>
        <w:rPr/>
        <w:t>a</w:t>
      </w:r>
      <w:r>
        <w:rPr>
          <w:spacing w:val="-6"/>
        </w:rPr>
        <w:t> </w:t>
      </w:r>
      <w:r>
        <w:rPr/>
        <w:t>veniturilor</w:t>
      </w:r>
      <w:r>
        <w:rPr>
          <w:spacing w:val="-6"/>
        </w:rPr>
        <w:t> </w:t>
      </w:r>
      <w:r>
        <w:rPr/>
        <w:t>la</w:t>
      </w:r>
      <w:r>
        <w:rPr>
          <w:spacing w:val="-6"/>
        </w:rPr>
        <w:t> </w:t>
      </w:r>
      <w:r>
        <w:rPr/>
        <w:t>bugetele</w:t>
      </w:r>
      <w:r>
        <w:rPr>
          <w:spacing w:val="-6"/>
        </w:rPr>
        <w:t> </w:t>
      </w:r>
      <w:r>
        <w:rPr/>
        <w:t>locale</w:t>
      </w:r>
      <w:r>
        <w:rPr>
          <w:spacing w:val="-5"/>
        </w:rPr>
        <w:t> </w:t>
      </w:r>
      <w:r>
        <w:rPr/>
        <w:t>și</w:t>
      </w:r>
      <w:r>
        <w:rPr>
          <w:spacing w:val="-5"/>
        </w:rPr>
        <w:t> </w:t>
      </w:r>
      <w:r>
        <w:rPr/>
        <w:t>de</w:t>
      </w:r>
      <w:r>
        <w:rPr>
          <w:spacing w:val="-6"/>
        </w:rPr>
        <w:t> </w:t>
      </w:r>
      <w:r>
        <w:rPr/>
        <w:t>stat,</w:t>
      </w:r>
      <w:r>
        <w:rPr>
          <w:spacing w:val="-6"/>
        </w:rPr>
        <w:t> </w:t>
      </w:r>
      <w:r>
        <w:rPr/>
        <w:t>ci</w:t>
      </w:r>
      <w:r>
        <w:rPr>
          <w:spacing w:val="-3"/>
        </w:rPr>
        <w:t> </w:t>
      </w:r>
      <w:r>
        <w:rPr/>
        <w:t>o</w:t>
      </w:r>
      <w:r>
        <w:rPr>
          <w:spacing w:val="-5"/>
        </w:rPr>
        <w:t> </w:t>
      </w:r>
      <w:r>
        <w:rPr/>
        <w:t>reducere</w:t>
      </w:r>
      <w:r>
        <w:rPr>
          <w:spacing w:val="-8"/>
        </w:rPr>
        <w:t> </w:t>
      </w:r>
      <w:r>
        <w:rPr/>
        <w:t>a șomajului și o creștere a calificărilor profesionale ale lucrătorilor, care vor fi antrenori în procesul de</w:t>
      </w:r>
      <w:r>
        <w:rPr>
          <w:spacing w:val="-2"/>
        </w:rPr>
        <w:t> </w:t>
      </w:r>
      <w:r>
        <w:rPr/>
        <w:t>lucru.</w:t>
      </w:r>
    </w:p>
    <w:p>
      <w:pPr>
        <w:pStyle w:val="BodyText"/>
        <w:spacing w:line="276" w:lineRule="auto" w:before="160"/>
        <w:ind w:left="1101" w:right="105" w:firstLine="427"/>
        <w:jc w:val="both"/>
      </w:pPr>
      <w:r>
        <w:rPr/>
        <w:t>Astfel, adoptarea acestui proiect de lege va permite o utilizare mai eficientă a proprietății de stat, va activa construcția unui complex modern pentru plasarea Biroului Regional pentru Situații de Urgență, va contribui la crearea locuri noi de muncă și va avea de asemenea, un efect benefic asupra dezvoltării</w:t>
      </w:r>
      <w:r>
        <w:rPr>
          <w:spacing w:val="-42"/>
        </w:rPr>
        <w:t> </w:t>
      </w:r>
      <w:r>
        <w:rPr/>
        <w:t>socio-economice a regiunii și va crește potențialul de export al țării</w:t>
      </w:r>
      <w:r>
        <w:rPr>
          <w:spacing w:val="-13"/>
        </w:rPr>
        <w:t> </w:t>
      </w:r>
      <w:r>
        <w:rPr/>
        <w:t>noastre.</w:t>
      </w:r>
    </w:p>
    <w:p>
      <w:pPr>
        <w:pStyle w:val="BodyText"/>
        <w:spacing w:line="278" w:lineRule="auto" w:before="159"/>
        <w:ind w:left="1101" w:right="107" w:firstLine="427"/>
        <w:jc w:val="both"/>
      </w:pPr>
      <w:r>
        <w:rPr/>
        <w:t>Adoptarea proiectului de lege nu necesită cheltuieli suplimentare de la bugetul de stat și nu contravine cadrului normativ actual.</w:t>
      </w:r>
    </w:p>
    <w:p>
      <w:pPr>
        <w:pStyle w:val="BodyText"/>
        <w:rPr>
          <w:sz w:val="30"/>
        </w:rPr>
      </w:pPr>
    </w:p>
    <w:p>
      <w:pPr>
        <w:pStyle w:val="BodyText"/>
        <w:spacing w:before="7"/>
        <w:rPr>
          <w:sz w:val="27"/>
        </w:rPr>
      </w:pPr>
    </w:p>
    <w:p>
      <w:pPr>
        <w:pStyle w:val="BodyText"/>
        <w:ind w:right="106"/>
        <w:jc w:val="right"/>
      </w:pPr>
      <w:r>
        <w:rPr/>
        <w:t>Deputați în Parlament</w:t>
      </w:r>
    </w:p>
    <w:sectPr>
      <w:pgSz w:w="11910" w:h="16840"/>
      <w:pgMar w:top="1040" w:bottom="280" w:left="60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2090" w:hanging="281"/>
        <w:jc w:val="left"/>
      </w:pPr>
      <w:rPr>
        <w:rFonts w:hint="default" w:ascii="Times New Roman" w:hAnsi="Times New Roman" w:eastAsia="Times New Roman" w:cs="Times New Roman"/>
        <w:spacing w:val="0"/>
        <w:w w:val="100"/>
        <w:sz w:val="28"/>
        <w:szCs w:val="28"/>
      </w:rPr>
    </w:lvl>
    <w:lvl w:ilvl="1">
      <w:start w:val="0"/>
      <w:numFmt w:val="bullet"/>
      <w:lvlText w:val="•"/>
      <w:lvlJc w:val="left"/>
      <w:pPr>
        <w:ind w:left="2946" w:hanging="281"/>
      </w:pPr>
      <w:rPr>
        <w:rFonts w:hint="default"/>
      </w:rPr>
    </w:lvl>
    <w:lvl w:ilvl="2">
      <w:start w:val="0"/>
      <w:numFmt w:val="bullet"/>
      <w:lvlText w:val="•"/>
      <w:lvlJc w:val="left"/>
      <w:pPr>
        <w:ind w:left="3793" w:hanging="281"/>
      </w:pPr>
      <w:rPr>
        <w:rFonts w:hint="default"/>
      </w:rPr>
    </w:lvl>
    <w:lvl w:ilvl="3">
      <w:start w:val="0"/>
      <w:numFmt w:val="bullet"/>
      <w:lvlText w:val="•"/>
      <w:lvlJc w:val="left"/>
      <w:pPr>
        <w:ind w:left="4639" w:hanging="281"/>
      </w:pPr>
      <w:rPr>
        <w:rFonts w:hint="default"/>
      </w:rPr>
    </w:lvl>
    <w:lvl w:ilvl="4">
      <w:start w:val="0"/>
      <w:numFmt w:val="bullet"/>
      <w:lvlText w:val="•"/>
      <w:lvlJc w:val="left"/>
      <w:pPr>
        <w:ind w:left="5486" w:hanging="281"/>
      </w:pPr>
      <w:rPr>
        <w:rFonts w:hint="default"/>
      </w:rPr>
    </w:lvl>
    <w:lvl w:ilvl="5">
      <w:start w:val="0"/>
      <w:numFmt w:val="bullet"/>
      <w:lvlText w:val="•"/>
      <w:lvlJc w:val="left"/>
      <w:pPr>
        <w:ind w:left="6333" w:hanging="281"/>
      </w:pPr>
      <w:rPr>
        <w:rFonts w:hint="default"/>
      </w:rPr>
    </w:lvl>
    <w:lvl w:ilvl="6">
      <w:start w:val="0"/>
      <w:numFmt w:val="bullet"/>
      <w:lvlText w:val="•"/>
      <w:lvlJc w:val="left"/>
      <w:pPr>
        <w:ind w:left="7179" w:hanging="281"/>
      </w:pPr>
      <w:rPr>
        <w:rFonts w:hint="default"/>
      </w:rPr>
    </w:lvl>
    <w:lvl w:ilvl="7">
      <w:start w:val="0"/>
      <w:numFmt w:val="bullet"/>
      <w:lvlText w:val="•"/>
      <w:lvlJc w:val="left"/>
      <w:pPr>
        <w:ind w:left="8026" w:hanging="281"/>
      </w:pPr>
      <w:rPr>
        <w:rFonts w:hint="default"/>
      </w:rPr>
    </w:lvl>
    <w:lvl w:ilvl="8">
      <w:start w:val="0"/>
      <w:numFmt w:val="bullet"/>
      <w:lvlText w:val="•"/>
      <w:lvlJc w:val="left"/>
      <w:pPr>
        <w:ind w:left="8873" w:hanging="281"/>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1375"/>
      <w:jc w:val="center"/>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spacing w:before="48"/>
      <w:ind w:left="2090" w:hanging="281"/>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8" Type="http://schemas.openxmlformats.org/officeDocument/2006/relationships/hyperlink" Target="mailto:info@parlament.md" TargetMode="External"/><Relationship Id="rId13" Type="http://schemas.openxmlformats.org/officeDocument/2006/relationships/customXml" Target="../customXml/item3.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numbering" Target="numbering.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2837C30-12E8-4BD0-8951-786D0FBFEC62}"/>
</file>

<file path=customXml/itemProps2.xml><?xml version="1.0" encoding="utf-8"?>
<ds:datastoreItem xmlns:ds="http://schemas.openxmlformats.org/officeDocument/2006/customXml" ds:itemID="{B4CB177D-AF7F-430D-A774-B607943F7974}"/>
</file>

<file path=customXml/itemProps3.xml><?xml version="1.0" encoding="utf-8"?>
<ds:datastoreItem xmlns:ds="http://schemas.openxmlformats.org/officeDocument/2006/customXml" ds:itemID="{0FEA7159-F763-44FA-BEA0-5EAD2E81F9DC}"/>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387.2020.ro</dc:title>
  <dcterms:created xsi:type="dcterms:W3CDTF">2020-09-15T11:12:36Z</dcterms:created>
  <dcterms:modified xsi:type="dcterms:W3CDTF">2020-09-15T11:12:36Z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