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sz w:val="34"/>
        </w:rPr>
      </w:pPr>
    </w:p>
    <w:p>
      <w:pPr>
        <w:pStyle w:val="BodyText"/>
        <w:rPr>
          <w:sz w:val="34"/>
        </w:rPr>
      </w:pPr>
    </w:p>
    <w:p>
      <w:pPr>
        <w:pStyle w:val="BodyText"/>
        <w:rPr>
          <w:sz w:val="34"/>
        </w:rPr>
      </w:pPr>
    </w:p>
    <w:p>
      <w:pPr>
        <w:pStyle w:val="BodyText"/>
        <w:rPr>
          <w:sz w:val="34"/>
        </w:rPr>
      </w:pPr>
    </w:p>
    <w:p>
      <w:pPr>
        <w:spacing w:line="254" w:lineRule="auto" w:before="198"/>
        <w:ind w:left="1103" w:right="19" w:firstLine="0"/>
        <w:jc w:val="left"/>
        <w:rPr>
          <w:rFonts w:ascii="Georgia" w:hAnsi="Georgia"/>
          <w:b/>
          <w:sz w:val="30"/>
        </w:rPr>
      </w:pPr>
      <w:r>
        <w:rPr/>
        <w:drawing>
          <wp:anchor distT="0" distB="0" distL="0" distR="0" allowOverlap="1" layoutInCell="1" locked="0" behindDoc="0" simplePos="0" relativeHeight="1048">
            <wp:simplePos x="0" y="0"/>
            <wp:positionH relativeFrom="page">
              <wp:posOffset>451927</wp:posOffset>
            </wp:positionH>
            <wp:positionV relativeFrom="paragraph">
              <wp:posOffset>-616866</wp:posOffset>
            </wp:positionV>
            <wp:extent cx="353188" cy="428625"/>
            <wp:effectExtent l="0" t="0" r="0" b="0"/>
            <wp:wrapNone/>
            <wp:docPr id="1" name="image1.png" descr=""/>
            <wp:cNvGraphicFramePr>
              <a:graphicFrameLocks noChangeAspect="1"/>
            </wp:cNvGraphicFramePr>
            <a:graphic>
              <a:graphicData uri="http://schemas.openxmlformats.org/drawingml/2006/picture">
                <pic:pic>
                  <pic:nvPicPr>
                    <pic:cNvPr id="2" name="image1.png"/>
                    <pic:cNvPicPr/>
                  </pic:nvPicPr>
                  <pic:blipFill>
                    <a:blip r:embed="rId5" cstate="print"/>
                    <a:stretch>
                      <a:fillRect/>
                    </a:stretch>
                  </pic:blipFill>
                  <pic:spPr>
                    <a:xfrm>
                      <a:off x="0" y="0"/>
                      <a:ext cx="353188" cy="428625"/>
                    </a:xfrm>
                    <a:prstGeom prst="rect">
                      <a:avLst/>
                    </a:prstGeom>
                  </pic:spPr>
                </pic:pic>
              </a:graphicData>
            </a:graphic>
          </wp:anchor>
        </w:drawing>
      </w:r>
      <w:r>
        <w:rPr/>
        <w:drawing>
          <wp:anchor distT="0" distB="0" distL="0" distR="0" allowOverlap="1" layoutInCell="1" locked="0" behindDoc="0" simplePos="0" relativeHeight="1072">
            <wp:simplePos x="0" y="0"/>
            <wp:positionH relativeFrom="page">
              <wp:posOffset>1089326</wp:posOffset>
            </wp:positionH>
            <wp:positionV relativeFrom="paragraph">
              <wp:posOffset>-344699</wp:posOffset>
            </wp:positionV>
            <wp:extent cx="1157469" cy="276225"/>
            <wp:effectExtent l="0" t="0" r="0" b="0"/>
            <wp:wrapNone/>
            <wp:docPr id="3" name="image2.png" descr=""/>
            <wp:cNvGraphicFramePr>
              <a:graphicFrameLocks noChangeAspect="1"/>
            </wp:cNvGraphicFramePr>
            <a:graphic>
              <a:graphicData uri="http://schemas.openxmlformats.org/drawingml/2006/picture">
                <pic:pic>
                  <pic:nvPicPr>
                    <pic:cNvPr id="4" name="image2.png"/>
                    <pic:cNvPicPr/>
                  </pic:nvPicPr>
                  <pic:blipFill>
                    <a:blip r:embed="rId6" cstate="print"/>
                    <a:stretch>
                      <a:fillRect/>
                    </a:stretch>
                  </pic:blipFill>
                  <pic:spPr>
                    <a:xfrm>
                      <a:off x="0" y="0"/>
                      <a:ext cx="1157469" cy="276225"/>
                    </a:xfrm>
                    <a:prstGeom prst="rect">
                      <a:avLst/>
                    </a:prstGeom>
                  </pic:spPr>
                </pic:pic>
              </a:graphicData>
            </a:graphic>
          </wp:anchor>
        </w:drawing>
      </w:r>
      <w:r>
        <w:rPr/>
        <w:drawing>
          <wp:anchor distT="0" distB="0" distL="0" distR="0" allowOverlap="1" layoutInCell="1" locked="0" behindDoc="0" simplePos="0" relativeHeight="1096">
            <wp:simplePos x="0" y="0"/>
            <wp:positionH relativeFrom="page">
              <wp:posOffset>1101253</wp:posOffset>
            </wp:positionH>
            <wp:positionV relativeFrom="paragraph">
              <wp:posOffset>-616866</wp:posOffset>
            </wp:positionV>
            <wp:extent cx="714987" cy="223837"/>
            <wp:effectExtent l="0" t="0" r="0" b="0"/>
            <wp:wrapNone/>
            <wp:docPr id="5" name="image3.png" descr=""/>
            <wp:cNvGraphicFramePr>
              <a:graphicFrameLocks noChangeAspect="1"/>
            </wp:cNvGraphicFramePr>
            <a:graphic>
              <a:graphicData uri="http://schemas.openxmlformats.org/drawingml/2006/picture">
                <pic:pic>
                  <pic:nvPicPr>
                    <pic:cNvPr id="6" name="image3.png"/>
                    <pic:cNvPicPr/>
                  </pic:nvPicPr>
                  <pic:blipFill>
                    <a:blip r:embed="rId7" cstate="print"/>
                    <a:stretch>
                      <a:fillRect/>
                    </a:stretch>
                  </pic:blipFill>
                  <pic:spPr>
                    <a:xfrm>
                      <a:off x="0" y="0"/>
                      <a:ext cx="714987" cy="223837"/>
                    </a:xfrm>
                    <a:prstGeom prst="rect">
                      <a:avLst/>
                    </a:prstGeom>
                  </pic:spPr>
                </pic:pic>
              </a:graphicData>
            </a:graphic>
          </wp:anchor>
        </w:drawing>
      </w:r>
      <w:r>
        <w:rPr/>
        <w:pict>
          <v:line style="position:absolute;mso-position-horizontal-relative:page;mso-position-vertical-relative:paragraph;z-index:1120" from="72.66301pt,-50.223549pt" to="72.66301pt,-5.598595pt" stroked="true" strokeweight=".375665pt" strokecolor="#2f3741">
            <v:stroke dashstyle="solid"/>
            <w10:wrap type="none"/>
          </v:line>
        </w:pict>
      </w:r>
      <w:bookmarkStart w:name="30 demers" w:id="1"/>
      <w:bookmarkEnd w:id="1"/>
      <w:r>
        <w:rPr/>
      </w:r>
      <w:r>
        <w:rPr>
          <w:rFonts w:ascii="Georgia" w:hAnsi="Georgia"/>
          <w:b/>
          <w:color w:val="2F3741"/>
          <w:sz w:val="30"/>
        </w:rPr>
        <w:t>Deputat în Parlamentul Republicii Moldova</w:t>
      </w:r>
    </w:p>
    <w:p>
      <w:pPr>
        <w:spacing w:before="77"/>
        <w:ind w:left="344" w:right="0" w:firstLine="0"/>
        <w:jc w:val="left"/>
        <w:rPr>
          <w:rFonts w:ascii="Georgia"/>
          <w:sz w:val="24"/>
        </w:rPr>
      </w:pPr>
      <w:r>
        <w:rPr/>
        <w:br w:type="column"/>
      </w:r>
      <w:r>
        <w:rPr>
          <w:rFonts w:ascii="Georgia"/>
          <w:color w:val="2F3741"/>
          <w:sz w:val="24"/>
        </w:rPr>
        <w:t>AS nr.</w:t>
      </w:r>
      <w:r>
        <w:rPr>
          <w:rFonts w:ascii="Georgia"/>
          <w:color w:val="2F3741"/>
          <w:spacing w:val="-6"/>
          <w:sz w:val="24"/>
        </w:rPr>
        <w:t> </w:t>
      </w:r>
      <w:r>
        <w:rPr>
          <w:rFonts w:ascii="Georgia"/>
          <w:color w:val="2F3741"/>
          <w:sz w:val="24"/>
        </w:rPr>
        <w:t>30</w:t>
      </w:r>
    </w:p>
    <w:p>
      <w:pPr>
        <w:spacing w:before="174"/>
        <w:ind w:left="111" w:right="0" w:firstLine="0"/>
        <w:jc w:val="left"/>
        <w:rPr>
          <w:rFonts w:ascii="Georgia"/>
          <w:sz w:val="24"/>
        </w:rPr>
      </w:pPr>
      <w:r>
        <w:rPr>
          <w:rFonts w:ascii="Georgia"/>
          <w:color w:val="2F3741"/>
          <w:sz w:val="24"/>
        </w:rPr>
        <w:t>07.07.2020</w:t>
      </w:r>
    </w:p>
    <w:p>
      <w:pPr>
        <w:spacing w:after="0"/>
        <w:jc w:val="left"/>
        <w:rPr>
          <w:rFonts w:ascii="Georgia"/>
          <w:sz w:val="24"/>
        </w:rPr>
        <w:sectPr>
          <w:type w:val="continuous"/>
          <w:pgSz w:w="11910" w:h="16840"/>
          <w:pgMar w:top="260" w:bottom="280" w:left="600" w:right="740"/>
          <w:cols w:num="2" w:equalWidth="0">
            <w:col w:w="4783" w:space="4093"/>
            <w:col w:w="1694"/>
          </w:cols>
        </w:sectPr>
      </w:pPr>
    </w:p>
    <w:p>
      <w:pPr>
        <w:pStyle w:val="BodyText"/>
        <w:rPr>
          <w:rFonts w:ascii="Georgia"/>
          <w:sz w:val="20"/>
        </w:rPr>
      </w:pPr>
    </w:p>
    <w:p>
      <w:pPr>
        <w:pStyle w:val="BodyText"/>
        <w:rPr>
          <w:rFonts w:ascii="Georgia"/>
          <w:sz w:val="20"/>
        </w:rPr>
      </w:pPr>
    </w:p>
    <w:p>
      <w:pPr>
        <w:pStyle w:val="BodyText"/>
        <w:rPr>
          <w:rFonts w:ascii="Georgia"/>
          <w:sz w:val="20"/>
        </w:rPr>
      </w:pPr>
    </w:p>
    <w:p>
      <w:pPr>
        <w:pStyle w:val="BodyText"/>
        <w:spacing w:before="6"/>
        <w:rPr>
          <w:rFonts w:ascii="Georgia"/>
          <w:sz w:val="18"/>
        </w:rPr>
      </w:pPr>
    </w:p>
    <w:p>
      <w:pPr>
        <w:pStyle w:val="Heading1"/>
        <w:spacing w:line="328" w:lineRule="auto" w:before="101"/>
        <w:ind w:left="5486" w:right="95" w:firstLine="2032"/>
        <w:rPr>
          <w:rFonts w:ascii="Georgia"/>
        </w:rPr>
      </w:pPr>
      <w:r>
        <w:rPr>
          <w:rFonts w:ascii="Georgia"/>
        </w:rPr>
        <w:t>Biroul Permanent al Parlamentului Republicii Moldova</w:t>
      </w:r>
    </w:p>
    <w:p>
      <w:pPr>
        <w:pStyle w:val="BodyText"/>
        <w:rPr>
          <w:rFonts w:ascii="Georgia"/>
          <w:b/>
          <w:sz w:val="32"/>
        </w:rPr>
      </w:pPr>
    </w:p>
    <w:p>
      <w:pPr>
        <w:pStyle w:val="BodyText"/>
        <w:spacing w:before="5"/>
        <w:rPr>
          <w:rFonts w:ascii="Georgia"/>
          <w:b/>
          <w:sz w:val="45"/>
        </w:rPr>
      </w:pPr>
    </w:p>
    <w:p>
      <w:pPr>
        <w:pStyle w:val="BodyText"/>
        <w:spacing w:line="360" w:lineRule="auto"/>
        <w:ind w:left="818" w:right="103" w:firstLine="991"/>
        <w:jc w:val="both"/>
      </w:pPr>
      <w:r>
        <w:rPr/>
        <w:t>În conformitate cu articolul 73 din Constituția Republicii Moldova și articolul 47 din Regulamentul Parlamentului se înaintează cu titlu de inițiativă legislativă proiectul de lege cu privire la modificarea și  completarea Legii  nr. </w:t>
      </w:r>
      <w:r>
        <w:rPr>
          <w:spacing w:val="-2"/>
        </w:rPr>
        <w:t>397 </w:t>
      </w:r>
      <w:r>
        <w:rPr/>
        <w:t>din 16 octombrie 2003 privind finanțele publice locale (republicată în Monitorul Oficial al Republicii Moldova, 2018, nr.321-332,</w:t>
      </w:r>
      <w:r>
        <w:rPr>
          <w:spacing w:val="-8"/>
        </w:rPr>
        <w:t> </w:t>
      </w:r>
      <w:r>
        <w:rPr/>
        <w:t>art.529)</w:t>
      </w:r>
    </w:p>
    <w:p>
      <w:pPr>
        <w:pStyle w:val="BodyText"/>
        <w:spacing w:before="10"/>
        <w:rPr>
          <w:sz w:val="41"/>
        </w:rPr>
      </w:pPr>
    </w:p>
    <w:p>
      <w:pPr>
        <w:pStyle w:val="Heading1"/>
        <w:spacing w:line="360" w:lineRule="auto"/>
        <w:ind w:left="1235" w:right="6406"/>
      </w:pPr>
      <w:r>
        <w:rPr/>
        <w:t>Deputați în Parlamentul Republicii Moldova</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0"/>
        <w:rPr>
          <w:b/>
          <w:sz w:val="25"/>
        </w:rPr>
      </w:pPr>
      <w:r>
        <w:rPr/>
        <w:pict>
          <v:line style="position:absolute;mso-position-horizontal-relative:page;mso-position-vertical-relative:paragraph;z-index:-1024;mso-wrap-distance-left:0;mso-wrap-distance-right:0" from="85.849998pt,17.227598pt" to="536.599998pt,17.227598pt" stroked="true" strokeweight=".75pt" strokecolor="#7e7e7e">
            <v:stroke dashstyle="solid"/>
            <w10:wrap type="topAndBottom"/>
          </v:line>
        </w:pict>
      </w:r>
    </w:p>
    <w:p>
      <w:pPr>
        <w:tabs>
          <w:tab w:pos="8519" w:val="left" w:leader="none"/>
        </w:tabs>
        <w:spacing w:before="155"/>
        <w:ind w:left="1104" w:right="0" w:firstLine="0"/>
        <w:jc w:val="left"/>
        <w:rPr>
          <w:rFonts w:ascii="Georgia" w:hAnsi="Georgia"/>
          <w:sz w:val="18"/>
        </w:rPr>
      </w:pPr>
      <w:r>
        <w:rPr>
          <w:rFonts w:ascii="Georgia" w:hAnsi="Georgia"/>
          <w:sz w:val="18"/>
        </w:rPr>
        <w:t>Republica Moldova,</w:t>
      </w:r>
      <w:r>
        <w:rPr>
          <w:rFonts w:ascii="Georgia" w:hAnsi="Georgia"/>
          <w:spacing w:val="-6"/>
          <w:sz w:val="18"/>
        </w:rPr>
        <w:t> </w:t>
      </w:r>
      <w:r>
        <w:rPr>
          <w:rFonts w:ascii="Georgia" w:hAnsi="Georgia"/>
          <w:sz w:val="18"/>
        </w:rPr>
        <w:t>MD-2004,</w:t>
      </w:r>
      <w:r>
        <w:rPr>
          <w:rFonts w:ascii="Georgia" w:hAnsi="Georgia"/>
          <w:spacing w:val="-5"/>
          <w:sz w:val="18"/>
        </w:rPr>
        <w:t> </w:t>
      </w:r>
      <w:r>
        <w:rPr>
          <w:rFonts w:ascii="Georgia" w:hAnsi="Georgia"/>
          <w:sz w:val="18"/>
        </w:rPr>
        <w:t>Chişinău</w:t>
        <w:tab/>
      </w:r>
      <w:hyperlink r:id="rId8">
        <w:r>
          <w:rPr>
            <w:rFonts w:ascii="Georgia" w:hAnsi="Georgia"/>
            <w:sz w:val="18"/>
          </w:rPr>
          <w:t>info@parlament.md</w:t>
        </w:r>
      </w:hyperlink>
    </w:p>
    <w:p>
      <w:pPr>
        <w:tabs>
          <w:tab w:pos="8553" w:val="left" w:leader="none"/>
        </w:tabs>
        <w:spacing w:before="31"/>
        <w:ind w:left="1104" w:right="0" w:firstLine="0"/>
        <w:jc w:val="left"/>
        <w:rPr>
          <w:rFonts w:ascii="Georgia" w:hAnsi="Georgia"/>
          <w:sz w:val="18"/>
        </w:rPr>
      </w:pPr>
      <w:r>
        <w:rPr>
          <w:rFonts w:ascii="Georgia" w:hAnsi="Georgia"/>
          <w:sz w:val="18"/>
        </w:rPr>
        <w:t>Bd. Ştefan cel Mare şi</w:t>
      </w:r>
      <w:r>
        <w:rPr>
          <w:rFonts w:ascii="Georgia" w:hAnsi="Georgia"/>
          <w:spacing w:val="-9"/>
          <w:sz w:val="18"/>
        </w:rPr>
        <w:t> </w:t>
      </w:r>
      <w:r>
        <w:rPr>
          <w:rFonts w:ascii="Georgia" w:hAnsi="Georgia"/>
          <w:sz w:val="18"/>
        </w:rPr>
        <w:t>Sfânt 105</w:t>
        <w:tab/>
      </w:r>
      <w:hyperlink r:id="rId9">
        <w:r>
          <w:rPr>
            <w:rFonts w:ascii="Georgia" w:hAnsi="Georgia"/>
            <w:sz w:val="18"/>
          </w:rPr>
          <w:t>www.parlament.md</w:t>
        </w:r>
      </w:hyperlink>
    </w:p>
    <w:p>
      <w:pPr>
        <w:spacing w:after="0"/>
        <w:jc w:val="left"/>
        <w:rPr>
          <w:rFonts w:ascii="Georgia" w:hAnsi="Georgia"/>
          <w:sz w:val="18"/>
        </w:rPr>
        <w:sectPr>
          <w:type w:val="continuous"/>
          <w:pgSz w:w="11910" w:h="16840"/>
          <w:pgMar w:top="260" w:bottom="280" w:left="600" w:right="740"/>
        </w:sectPr>
      </w:pPr>
    </w:p>
    <w:p>
      <w:pPr>
        <w:spacing w:before="74"/>
        <w:ind w:left="0" w:right="675" w:firstLine="0"/>
        <w:jc w:val="right"/>
        <w:rPr>
          <w:i/>
          <w:sz w:val="28"/>
        </w:rPr>
      </w:pPr>
      <w:bookmarkStart w:name="30 AS din 07.07.2020 Proiect bugetele lo" w:id="2"/>
      <w:bookmarkEnd w:id="2"/>
      <w:r>
        <w:rPr/>
      </w:r>
      <w:r>
        <w:rPr>
          <w:i/>
          <w:sz w:val="28"/>
        </w:rPr>
        <w:t>Proiect</w:t>
      </w:r>
    </w:p>
    <w:p>
      <w:pPr>
        <w:pStyle w:val="BodyText"/>
        <w:spacing w:before="5"/>
        <w:rPr>
          <w:i/>
          <w:sz w:val="20"/>
        </w:rPr>
      </w:pPr>
    </w:p>
    <w:p>
      <w:pPr>
        <w:pStyle w:val="Heading1"/>
        <w:spacing w:before="89"/>
        <w:ind w:right="260"/>
        <w:jc w:val="center"/>
      </w:pPr>
      <w:r>
        <w:rPr/>
        <w:t>PARLAMENTUL REPUBLICII MOLDOVA</w:t>
      </w:r>
    </w:p>
    <w:p>
      <w:pPr>
        <w:pStyle w:val="BodyText"/>
        <w:rPr>
          <w:b/>
          <w:sz w:val="30"/>
        </w:rPr>
      </w:pPr>
    </w:p>
    <w:p>
      <w:pPr>
        <w:pStyle w:val="BodyText"/>
        <w:spacing w:before="10"/>
        <w:rPr>
          <w:b/>
          <w:sz w:val="25"/>
        </w:rPr>
      </w:pPr>
    </w:p>
    <w:p>
      <w:pPr>
        <w:spacing w:line="322" w:lineRule="exact" w:before="0"/>
        <w:ind w:left="959" w:right="101" w:firstLine="0"/>
        <w:jc w:val="center"/>
        <w:rPr>
          <w:b/>
          <w:sz w:val="28"/>
        </w:rPr>
      </w:pPr>
      <w:r>
        <w:rPr>
          <w:b/>
          <w:sz w:val="28"/>
        </w:rPr>
        <w:t>L E G E</w:t>
      </w:r>
    </w:p>
    <w:p>
      <w:pPr>
        <w:spacing w:before="0"/>
        <w:ind w:left="959" w:right="257" w:firstLine="0"/>
        <w:jc w:val="center"/>
        <w:rPr>
          <w:b/>
          <w:sz w:val="28"/>
        </w:rPr>
      </w:pPr>
      <w:r>
        <w:rPr>
          <w:b/>
          <w:sz w:val="28"/>
        </w:rPr>
        <w:t>cu privire la modificarea și completarea Legii nr. 397 din 16</w:t>
      </w:r>
    </w:p>
    <w:p>
      <w:pPr>
        <w:spacing w:before="2"/>
        <w:ind w:left="959" w:right="821" w:firstLine="0"/>
        <w:jc w:val="center"/>
        <w:rPr>
          <w:b/>
          <w:sz w:val="28"/>
        </w:rPr>
      </w:pPr>
      <w:r>
        <w:rPr>
          <w:b/>
          <w:sz w:val="28"/>
        </w:rPr>
        <w:t>octombrie 2003 privind finanțele publice locale</w:t>
      </w:r>
    </w:p>
    <w:p>
      <w:pPr>
        <w:pStyle w:val="BodyText"/>
        <w:spacing w:before="11"/>
        <w:rPr>
          <w:b/>
          <w:sz w:val="27"/>
        </w:rPr>
      </w:pPr>
    </w:p>
    <w:p>
      <w:pPr>
        <w:spacing w:before="0"/>
        <w:ind w:left="1382" w:right="0" w:firstLine="0"/>
        <w:jc w:val="left"/>
        <w:rPr>
          <w:i/>
          <w:sz w:val="28"/>
        </w:rPr>
      </w:pPr>
      <w:r>
        <w:rPr>
          <w:i/>
          <w:sz w:val="28"/>
        </w:rPr>
        <w:t>Parlamentul adoptă prezenta lege organică.</w:t>
      </w:r>
    </w:p>
    <w:p>
      <w:pPr>
        <w:pStyle w:val="BodyText"/>
        <w:spacing w:before="10"/>
        <w:rPr>
          <w:i/>
          <w:sz w:val="27"/>
        </w:rPr>
      </w:pPr>
    </w:p>
    <w:p>
      <w:pPr>
        <w:pStyle w:val="BodyText"/>
        <w:spacing w:line="278" w:lineRule="auto" w:before="1"/>
        <w:ind w:left="816" w:right="674" w:firstLine="707"/>
        <w:jc w:val="both"/>
      </w:pPr>
      <w:r>
        <w:rPr>
          <w:b/>
        </w:rPr>
        <w:t>Art. I. </w:t>
      </w:r>
      <w:r>
        <w:rPr/>
        <w:t>Legea nr. 397 din 16 octombrie 2003 privind finanțele publice locale (republicată în Monitorul Oficial al Republicii Moldova, 2018, nr.321- 332, art.529) se modifică și se completează, după cum urmează:</w:t>
      </w:r>
    </w:p>
    <w:p>
      <w:pPr>
        <w:pStyle w:val="ListParagraph"/>
        <w:numPr>
          <w:ilvl w:val="0"/>
          <w:numId w:val="1"/>
        </w:numPr>
        <w:tabs>
          <w:tab w:pos="1841" w:val="left" w:leader="none"/>
        </w:tabs>
        <w:spacing w:line="276" w:lineRule="auto" w:before="189" w:after="0"/>
        <w:ind w:left="815" w:right="673" w:firstLine="709"/>
        <w:jc w:val="both"/>
        <w:rPr>
          <w:sz w:val="28"/>
        </w:rPr>
      </w:pPr>
      <w:r>
        <w:rPr>
          <w:sz w:val="28"/>
        </w:rPr>
        <w:t>Articolul 5, alineatul (1), pct. 1) din Legea nr. 397 din 16 octombrie 2003 privind finanțele publice locale (republicată în Monitorul Oficial al Republicii Moldova, 2018, nr.321-332, art.529) se completează, cu litera b)</w:t>
      </w:r>
      <w:r>
        <w:rPr>
          <w:position w:val="10"/>
          <w:sz w:val="18"/>
        </w:rPr>
        <w:t>1 </w:t>
      </w:r>
      <w:r>
        <w:rPr>
          <w:spacing w:val="-3"/>
          <w:sz w:val="28"/>
        </w:rPr>
        <w:t>cu </w:t>
      </w:r>
      <w:r>
        <w:rPr>
          <w:sz w:val="28"/>
        </w:rPr>
        <w:t>următorul</w:t>
      </w:r>
      <w:r>
        <w:rPr>
          <w:spacing w:val="-1"/>
          <w:sz w:val="28"/>
        </w:rPr>
        <w:t> </w:t>
      </w:r>
      <w:r>
        <w:rPr>
          <w:sz w:val="28"/>
        </w:rPr>
        <w:t>conținut:</w:t>
      </w:r>
    </w:p>
    <w:p>
      <w:pPr>
        <w:pStyle w:val="BodyText"/>
        <w:spacing w:line="276" w:lineRule="auto" w:before="189"/>
        <w:ind w:left="816" w:right="673" w:firstLine="359"/>
        <w:jc w:val="both"/>
      </w:pPr>
      <w:r>
        <w:rPr/>
        <w:t>”b)</w:t>
      </w:r>
      <w:r>
        <w:rPr>
          <w:position w:val="10"/>
          <w:sz w:val="18"/>
        </w:rPr>
        <w:t>1 </w:t>
      </w:r>
      <w:r>
        <w:rPr/>
        <w:t>defalcări de la impozitul pe venitul persoanelor juridice pentru bugetele municipiilor, orașelor, satelor (comunelor) excepţie făcând bugetele satelor (comunelor) şi ale oraşelor (municipiilor) din componenţa unităţii teritoriale autonome cu statut juridic special, în următoarele proporții din volumul total colectat pe teritoriul unității administrativ-teritoriale respective, pe baza datelor din ultimul an pentru care există execuție bugetară definitivă: 10% pentru bugetele municipiilor și orașelor reședință de raion; - 25% pentru bugetele orașelor și satelor (comunelor).”</w:t>
      </w:r>
    </w:p>
    <w:p>
      <w:pPr>
        <w:pStyle w:val="ListParagraph"/>
        <w:numPr>
          <w:ilvl w:val="0"/>
          <w:numId w:val="1"/>
        </w:numPr>
        <w:tabs>
          <w:tab w:pos="1841" w:val="left" w:leader="none"/>
        </w:tabs>
        <w:spacing w:line="276" w:lineRule="auto" w:before="198" w:after="0"/>
        <w:ind w:left="815" w:right="673" w:firstLine="709"/>
        <w:jc w:val="both"/>
        <w:rPr>
          <w:sz w:val="28"/>
        </w:rPr>
      </w:pPr>
      <w:r>
        <w:rPr>
          <w:sz w:val="28"/>
        </w:rPr>
        <w:t>Articolul 5, alineatul (5), pct. 1) din Legea nr. 397 din 16 octombrie 2003 privind finanțele publice locale (republicată în Monitorul Oficial al Republicii Moldova, 2018, nr.321-332, art.529) se completează, cu litera b)</w:t>
      </w:r>
      <w:r>
        <w:rPr>
          <w:position w:val="10"/>
          <w:sz w:val="18"/>
        </w:rPr>
        <w:t>1 </w:t>
      </w:r>
      <w:r>
        <w:rPr>
          <w:spacing w:val="-3"/>
          <w:sz w:val="28"/>
        </w:rPr>
        <w:t>cu </w:t>
      </w:r>
      <w:r>
        <w:rPr>
          <w:sz w:val="28"/>
        </w:rPr>
        <w:t>următorul</w:t>
      </w:r>
      <w:r>
        <w:rPr>
          <w:spacing w:val="-1"/>
          <w:sz w:val="28"/>
        </w:rPr>
        <w:t> </w:t>
      </w:r>
      <w:r>
        <w:rPr>
          <w:sz w:val="28"/>
        </w:rPr>
        <w:t>conținut:</w:t>
      </w:r>
    </w:p>
    <w:p>
      <w:pPr>
        <w:pStyle w:val="BodyText"/>
        <w:spacing w:line="276" w:lineRule="auto" w:before="195"/>
        <w:ind w:left="815" w:right="673" w:firstLine="360"/>
        <w:jc w:val="both"/>
      </w:pPr>
      <w:r>
        <w:rPr/>
        <w:t>”b)¹ defalcări de la impozitul pe venitul persoanelor juridice pentru bugetele municipiilor Bălți și Chișinău – în mărime de 5% din volumul colectat în municipiile Chișinău și Bălți (cu excepția bugetelor satelor (comunelor) și ale orașelor (municipiilor) din componența unității teritoriale de nivelul I din componența municipiilor).”</w:t>
      </w:r>
    </w:p>
    <w:p>
      <w:pPr>
        <w:pStyle w:val="ListParagraph"/>
        <w:numPr>
          <w:ilvl w:val="0"/>
          <w:numId w:val="1"/>
        </w:numPr>
        <w:tabs>
          <w:tab w:pos="1822" w:val="left" w:leader="none"/>
        </w:tabs>
        <w:spacing w:line="240" w:lineRule="auto" w:before="201" w:after="0"/>
        <w:ind w:left="1821" w:right="0" w:hanging="298"/>
        <w:jc w:val="left"/>
        <w:rPr>
          <w:sz w:val="28"/>
        </w:rPr>
      </w:pPr>
      <w:r>
        <w:rPr>
          <w:sz w:val="28"/>
        </w:rPr>
        <w:t>La articolul 11, alineatul (1) din</w:t>
      </w:r>
      <w:r>
        <w:rPr>
          <w:spacing w:val="30"/>
          <w:sz w:val="28"/>
        </w:rPr>
        <w:t> </w:t>
      </w:r>
      <w:r>
        <w:rPr>
          <w:sz w:val="28"/>
        </w:rPr>
        <w:t>Legea nr. 397 din 16 octombrie 2003</w:t>
      </w:r>
    </w:p>
    <w:p>
      <w:pPr>
        <w:pStyle w:val="BodyText"/>
        <w:spacing w:before="47"/>
        <w:ind w:left="959" w:right="822"/>
        <w:jc w:val="center"/>
      </w:pPr>
      <w:r>
        <w:rPr/>
        <w:t>privind finanțele publice locale (republicată în Monitorul Oficial al Republicii</w:t>
      </w:r>
    </w:p>
    <w:p>
      <w:pPr>
        <w:spacing w:after="0"/>
        <w:jc w:val="center"/>
        <w:sectPr>
          <w:pgSz w:w="11910" w:h="16840"/>
          <w:pgMar w:top="1040" w:bottom="280" w:left="600" w:right="740"/>
        </w:sectPr>
      </w:pPr>
    </w:p>
    <w:p>
      <w:pPr>
        <w:pStyle w:val="BodyText"/>
        <w:spacing w:line="276" w:lineRule="auto" w:before="74"/>
        <w:ind w:left="815" w:right="672"/>
        <w:jc w:val="both"/>
      </w:pPr>
      <w:r>
        <w:rPr/>
        <w:t>Moldova, 2018, nr.321-332, art.529), textul: ”Transferurile cu destinație generală se efectuează din fondul de susținere financiară a unităților administrativ-teritoriale, care se formează din impozitul pe venitul persoanelor fizice, nealocat sub formă de defalcări la bugetele locale, pe baza datelor din ultimul an pentru care există execuție bugetară definitivă.</w:t>
      </w:r>
      <w:r>
        <w:rPr>
          <w:spacing w:val="-30"/>
        </w:rPr>
        <w:t> </w:t>
      </w:r>
      <w:r>
        <w:rPr/>
        <w:t>”,</w:t>
      </w:r>
    </w:p>
    <w:p>
      <w:pPr>
        <w:pStyle w:val="BodyText"/>
        <w:spacing w:before="203"/>
        <w:ind w:left="1593"/>
      </w:pPr>
      <w:r>
        <w:rPr/>
        <w:t>se va substitui cu următorul text:</w:t>
      </w:r>
    </w:p>
    <w:p>
      <w:pPr>
        <w:pStyle w:val="BodyText"/>
        <w:spacing w:line="276" w:lineRule="auto" w:before="247"/>
        <w:ind w:left="816" w:right="672" w:firstLine="359"/>
        <w:jc w:val="both"/>
      </w:pPr>
      <w:r>
        <w:rPr/>
        <w:t>” (1) Transferurile cu destinaţie generală se efectuează din fondul de susţinere financiară a unităţilor administrativ-teritoriale, care se formează din impozitul pe venitul persoanelor fizice, nealocat sub formă de defalcări la bugetele unităţilor administrativ-teritoriale și defalcări din impozitul pe venitul persoanelor juridice, pe baza datelor din ultimul an pentru care există execuţie bugetară definitivă în următoarele proporții din volumul total colectat pe teritoriul unității administrativ-teritoriale respective: 5% pentru bugetele municipiilor Bălți și Chișinău; 10% pentru bugetele municipiilor și orașelor reședință de raion; - 25% pentru bugetele orașelor și satelor</w:t>
      </w:r>
      <w:r>
        <w:rPr>
          <w:spacing w:val="-17"/>
        </w:rPr>
        <w:t> </w:t>
      </w:r>
      <w:r>
        <w:rPr/>
        <w:t>(comunelor).”</w:t>
      </w:r>
    </w:p>
    <w:p>
      <w:pPr>
        <w:pStyle w:val="ListParagraph"/>
        <w:numPr>
          <w:ilvl w:val="0"/>
          <w:numId w:val="1"/>
        </w:numPr>
        <w:tabs>
          <w:tab w:pos="1499" w:val="left" w:leader="none"/>
        </w:tabs>
        <w:spacing w:line="276" w:lineRule="auto" w:before="201" w:after="0"/>
        <w:ind w:left="816" w:right="674" w:firstLine="360"/>
        <w:jc w:val="both"/>
        <w:rPr>
          <w:sz w:val="28"/>
        </w:rPr>
      </w:pPr>
      <w:r>
        <w:rPr>
          <w:sz w:val="28"/>
        </w:rPr>
        <w:t>La articolul 11, alineatul (3) din Legea nr. 397 din 16 octombrie 2003 privind finanțele publice locale (republicată în Monitorul Oficial al Republicii Moldova, 2018, nr. 321-332, art.529), sintagma: ”55%” se va substitui cu sintagma:</w:t>
      </w:r>
      <w:r>
        <w:rPr>
          <w:spacing w:val="-1"/>
          <w:sz w:val="28"/>
        </w:rPr>
        <w:t> </w:t>
      </w:r>
      <w:r>
        <w:rPr>
          <w:sz w:val="28"/>
        </w:rPr>
        <w:t>”50%”</w:t>
      </w:r>
    </w:p>
    <w:p>
      <w:pPr>
        <w:pStyle w:val="BodyText"/>
        <w:spacing w:before="201"/>
        <w:ind w:left="1524"/>
      </w:pPr>
      <w:r>
        <w:rPr>
          <w:b/>
        </w:rPr>
        <w:t>Art. II. </w:t>
      </w:r>
      <w:r>
        <w:rPr/>
        <w:t>(1) Prezenta lege intră în vigoare din data de</w:t>
      </w:r>
      <w:r>
        <w:rPr>
          <w:spacing w:val="54"/>
        </w:rPr>
        <w:t> </w:t>
      </w:r>
      <w:r>
        <w:rPr/>
        <w:t>01.01.2021.</w:t>
      </w:r>
    </w:p>
    <w:p>
      <w:pPr>
        <w:pStyle w:val="BodyText"/>
        <w:spacing w:line="278" w:lineRule="auto" w:before="247"/>
        <w:ind w:left="816" w:right="647" w:firstLine="707"/>
      </w:pPr>
      <w:r>
        <w:rPr/>
        <w:t>(2) Guvernul va întreprinde măsurile necesare în vederea punerii în aplicare a prezentei legi odată cu intrarea în vigoare.</w:t>
      </w:r>
    </w:p>
    <w:p>
      <w:pPr>
        <w:pStyle w:val="BodyText"/>
        <w:rPr>
          <w:sz w:val="30"/>
        </w:rPr>
      </w:pPr>
    </w:p>
    <w:p>
      <w:pPr>
        <w:pStyle w:val="BodyText"/>
        <w:spacing w:before="6"/>
        <w:rPr>
          <w:sz w:val="36"/>
        </w:rPr>
      </w:pPr>
    </w:p>
    <w:p>
      <w:pPr>
        <w:pStyle w:val="Heading1"/>
        <w:ind w:left="1176"/>
      </w:pPr>
      <w:r>
        <w:rPr/>
        <w:t>PREȘEDINTELE PARLAMENTULUI</w:t>
      </w:r>
    </w:p>
    <w:p>
      <w:pPr>
        <w:spacing w:after="0"/>
        <w:sectPr>
          <w:pgSz w:w="11910" w:h="16840"/>
          <w:pgMar w:top="1040" w:bottom="280" w:left="600" w:right="740"/>
        </w:sectPr>
      </w:pPr>
    </w:p>
    <w:p>
      <w:pPr>
        <w:spacing w:before="77"/>
        <w:ind w:left="959" w:right="822" w:firstLine="0"/>
        <w:jc w:val="center"/>
        <w:rPr>
          <w:b/>
          <w:sz w:val="28"/>
        </w:rPr>
      </w:pPr>
      <w:r>
        <w:rPr>
          <w:b/>
          <w:sz w:val="28"/>
        </w:rPr>
        <w:t>NOTA INFORMATIVĂ</w:t>
      </w:r>
    </w:p>
    <w:p>
      <w:pPr>
        <w:spacing w:before="247"/>
        <w:ind w:left="958" w:right="822" w:firstLine="0"/>
        <w:jc w:val="center"/>
        <w:rPr>
          <w:b/>
          <w:sz w:val="28"/>
        </w:rPr>
      </w:pPr>
      <w:r>
        <w:rPr>
          <w:b/>
          <w:sz w:val="28"/>
        </w:rPr>
        <w:t>la proiectul de lege cu privire la modificarea și completarea Legii nr. 397 din 16 octombrie 2003 privind finanțele publice locale (republicată în Monitorul Oficial al Republicii Moldova, 2018, nr. 321-332, art. 529)</w:t>
      </w:r>
    </w:p>
    <w:p>
      <w:pPr>
        <w:pStyle w:val="BodyText"/>
        <w:rPr>
          <w:b/>
          <w:sz w:val="30"/>
        </w:rPr>
      </w:pPr>
    </w:p>
    <w:p>
      <w:pPr>
        <w:pStyle w:val="BodyText"/>
        <w:rPr>
          <w:b/>
          <w:sz w:val="26"/>
        </w:rPr>
      </w:pPr>
    </w:p>
    <w:p>
      <w:pPr>
        <w:pStyle w:val="BodyText"/>
        <w:ind w:left="815" w:right="673" w:firstLine="708"/>
        <w:jc w:val="both"/>
      </w:pPr>
      <w:r>
        <w:rPr>
          <w:b/>
        </w:rPr>
        <w:t>Condițiile ce au impus elaborarea proiectului de act normativ și finalitățile urmărite. </w:t>
      </w:r>
      <w:r>
        <w:rPr/>
        <w:t>Republica Moldova, în pofida eforturilor depuse în ultimii ani în context cu Strategia națională de descentralizare pentru anii 2012–2018, rămâne a fi codașă la capitolul autonomiei fiscale a autorităților publice locale, prin raportare la statele din regiune. Ponderea veniturilor bugetelor locale în PIB a scăzut de la 10,5% în 2010 la doar 7,7% din PIB în anul 2018. Astfel, bugetele locale sunt componenta bugetului public național care înregistrează cea mai mică rată de creștere în termeni nominali, de la un an la altul. În același timp ponderea transferurilor cu destinație specială în total venituri ale autorităților publice locale este în continuă creștere. Această situație duce la compromiterea conceptului autonomiei locale în Republica Moldova și implicit la degradarea localităților din țară și la înrăutățirea calității vieții cetățenilor țării. Lipsa autonomiei fiscale este unul din factorii care determină exodul populației Republicii Moldova. Această situație nu mai poate fi tolerată, iar necesitatea unei schimbări în domeniul finanțelor publice locale este</w:t>
      </w:r>
      <w:r>
        <w:rPr>
          <w:spacing w:val="-13"/>
        </w:rPr>
        <w:t> </w:t>
      </w:r>
      <w:r>
        <w:rPr/>
        <w:t>imperativă.</w:t>
      </w:r>
    </w:p>
    <w:p>
      <w:pPr>
        <w:pStyle w:val="Heading1"/>
        <w:spacing w:before="118"/>
        <w:ind w:left="1524"/>
      </w:pPr>
      <w:r>
        <w:rPr/>
        <w:t>Principalele prevederi ale proiectului și evidențierea elementelor noi.</w:t>
      </w:r>
    </w:p>
    <w:p>
      <w:pPr>
        <w:pStyle w:val="BodyText"/>
        <w:spacing w:before="120"/>
        <w:ind w:left="815" w:right="673" w:firstLine="708"/>
        <w:jc w:val="both"/>
      </w:pPr>
      <w:r>
        <w:rPr>
          <w:b/>
        </w:rPr>
        <w:t>Articolul I, punctul 1. </w:t>
      </w:r>
      <w:r>
        <w:rPr/>
        <w:t>se referă la completarea articolului 5 din Legea  nr. 397 din 16 octombrie 2003 privind finanțele publice locale (republicată în Monitorul Oficial al Republicii Moldova, 2018, nr.321-332, art. 529) prin completarea aliniatului (1), pct. 1) cu litera b)</w:t>
      </w:r>
      <w:r>
        <w:rPr>
          <w:position w:val="10"/>
          <w:sz w:val="18"/>
        </w:rPr>
        <w:t>1 </w:t>
      </w:r>
      <w:r>
        <w:rPr/>
        <w:t>cu următorul conținut: ”2)</w:t>
      </w:r>
      <w:r>
        <w:rPr>
          <w:position w:val="10"/>
          <w:sz w:val="18"/>
        </w:rPr>
        <w:t>1 </w:t>
      </w:r>
      <w:r>
        <w:rPr/>
        <w:t>defalcări de la impozitul pe venitul persoanelor juridice pentru bugetele municipiilor, orașelor, satelor (comunelor) excepție făcând bugetele satelor (comunelor) şi ale orașelor (municipiilor) din componența unității teritoriale autonome cu statut juridic special, în următoarele proporții din volumul total colectat pe teritoriul unității administrativ-teritoriale respective, pe baza datelor din ultimul an pentru care există execuție bugetară definitivă: 10% pentru bugetele municipiilor și orașelor reședință de raion; - 25% pentru bugetele orașelor și satelor</w:t>
      </w:r>
      <w:r>
        <w:rPr>
          <w:spacing w:val="-6"/>
        </w:rPr>
        <w:t> </w:t>
      </w:r>
      <w:r>
        <w:rPr/>
        <w:t>(comunelor).”</w:t>
      </w:r>
    </w:p>
    <w:p>
      <w:pPr>
        <w:pStyle w:val="BodyText"/>
        <w:spacing w:line="273" w:lineRule="auto" w:before="114"/>
        <w:ind w:left="815" w:right="673" w:firstLine="707"/>
        <w:jc w:val="both"/>
      </w:pPr>
      <w:r>
        <w:rPr>
          <w:b/>
        </w:rPr>
        <w:t>Articolul I, punctul 2. </w:t>
      </w:r>
      <w:r>
        <w:rPr/>
        <w:t>se referă la completarea articolului Articolul 5, alineatul (5), pct. 1) din Legea nr. 397 din 16 octombrie 2003 privind finanțele publice locale (republicată în Monitorul Oficial al Republicii Moldova, 2018, nr.321-332, art.529) cu litera b)</w:t>
      </w:r>
      <w:r>
        <w:rPr>
          <w:position w:val="10"/>
          <w:sz w:val="18"/>
        </w:rPr>
        <w:t>1 </w:t>
      </w:r>
      <w:r>
        <w:rPr/>
        <w:t>cu următorul conținut:</w:t>
      </w:r>
    </w:p>
    <w:p>
      <w:pPr>
        <w:pStyle w:val="BodyText"/>
        <w:spacing w:line="276" w:lineRule="auto" w:before="127"/>
        <w:ind w:left="816" w:right="673" w:firstLine="359"/>
        <w:jc w:val="both"/>
      </w:pPr>
      <w:r>
        <w:rPr/>
        <w:t>”b)¹ defalcări de la impozitul pe venitul persoanelor juridice pentru bugetele municipiilor Bălți și Chișinău – în mărime de 5% din volumul colectat în municipiile Chișinău și Bălți (cu excepția bugetelor satelor (comunelor) și ale</w:t>
      </w:r>
    </w:p>
    <w:p>
      <w:pPr>
        <w:spacing w:after="0" w:line="276" w:lineRule="auto"/>
        <w:jc w:val="both"/>
        <w:sectPr>
          <w:pgSz w:w="11910" w:h="16840"/>
          <w:pgMar w:top="1040" w:bottom="280" w:left="600" w:right="740"/>
        </w:sectPr>
      </w:pPr>
    </w:p>
    <w:p>
      <w:pPr>
        <w:pStyle w:val="BodyText"/>
        <w:spacing w:line="278" w:lineRule="auto" w:before="74"/>
        <w:ind w:left="816" w:right="647"/>
      </w:pPr>
      <w:r>
        <w:rPr/>
        <w:t>orașelor (municipiilor) din componența unității teritoriale de nivelul I din componența municipiilor).”</w:t>
      </w:r>
    </w:p>
    <w:p>
      <w:pPr>
        <w:pStyle w:val="BodyText"/>
        <w:spacing w:before="115"/>
        <w:ind w:left="815" w:right="672" w:firstLine="708"/>
        <w:jc w:val="both"/>
      </w:pPr>
      <w:r>
        <w:rPr>
          <w:b/>
        </w:rPr>
        <w:t>Articolul I, punctul 3. </w:t>
      </w:r>
      <w:r>
        <w:rPr/>
        <w:t>se referă la modificarea și completarea articolului 11, din Legea nr. 397 din 16 octombrie 2003 privind finanțele publice locale (republicată în Monitorul Oficial al Republicii Moldova, 2018, nr. 321-332, art. 529), după cum urmează:</w:t>
      </w:r>
    </w:p>
    <w:p>
      <w:pPr>
        <w:pStyle w:val="ListParagraph"/>
        <w:numPr>
          <w:ilvl w:val="1"/>
          <w:numId w:val="1"/>
        </w:numPr>
        <w:tabs>
          <w:tab w:pos="1724" w:val="left" w:leader="none"/>
        </w:tabs>
        <w:spacing w:line="240" w:lineRule="auto" w:before="121" w:after="0"/>
        <w:ind w:left="815" w:right="673" w:firstLine="488"/>
        <w:jc w:val="both"/>
        <w:rPr>
          <w:sz w:val="28"/>
        </w:rPr>
      </w:pPr>
      <w:r>
        <w:rPr>
          <w:sz w:val="28"/>
        </w:rPr>
        <w:t>La aliniatul (1), </w:t>
      </w:r>
      <w:r>
        <w:rPr>
          <w:b/>
          <w:sz w:val="28"/>
        </w:rPr>
        <w:t>textul: </w:t>
      </w:r>
      <w:r>
        <w:rPr>
          <w:sz w:val="28"/>
        </w:rPr>
        <w:t>”Transferurile cu destinație generală se efectuează din fondul de susținere financiară a unităților administrativ- teritoriale, care se formează din impozitul pe venitul persoanelor fizice, nealocat sub formă de defalcări la bugetele locale, pe baza datelor din ultimul an pentru care există execuție bugetară definitivă.”, </w:t>
      </w:r>
      <w:r>
        <w:rPr>
          <w:b/>
          <w:sz w:val="28"/>
        </w:rPr>
        <w:t>se va substitui cu următorul text: </w:t>
      </w:r>
      <w:r>
        <w:rPr>
          <w:sz w:val="28"/>
        </w:rPr>
        <w:t>”Transferurile cu destinație generală se efectuează din fondul de susținere financiară a unităților administrativ-teritoriale, care se formează din impozitul pe venitul persoanelor fizice, nealocat sub formă de defalcări la bugetele unităților administrativ-teritoriale și defalcări din impozitul pe venitul persoanelor juridice, pe baza datelor din ultimul an pentru care există execuție bugetară definitivă în următoarele proporții din volumul total colectat pe teritoriul unității administrativ-teritoriale respective: 5% pentru bugetele municipiilor Bălți și Chișinău; 10% pentru bugetele municipiilor și orașelor reședință de raion; - 25% pentru bugetele orașelor și satelor</w:t>
      </w:r>
      <w:r>
        <w:rPr>
          <w:spacing w:val="-7"/>
          <w:sz w:val="28"/>
        </w:rPr>
        <w:t> </w:t>
      </w:r>
      <w:r>
        <w:rPr>
          <w:sz w:val="28"/>
        </w:rPr>
        <w:t>(comunelor).”</w:t>
      </w:r>
    </w:p>
    <w:p>
      <w:pPr>
        <w:spacing w:before="119"/>
        <w:ind w:left="815" w:right="675" w:firstLine="418"/>
        <w:jc w:val="both"/>
        <w:rPr>
          <w:sz w:val="28"/>
        </w:rPr>
      </w:pPr>
      <w:r>
        <w:rPr>
          <w:b/>
          <w:sz w:val="28"/>
        </w:rPr>
        <w:t>Articolul I, punctul 4. </w:t>
      </w:r>
      <w:r>
        <w:rPr>
          <w:sz w:val="28"/>
        </w:rPr>
        <w:t>Se referă la substituirea sintagmei: ”55%” cu sintagma: ”50%”</w:t>
      </w:r>
    </w:p>
    <w:p>
      <w:pPr>
        <w:pStyle w:val="BodyText"/>
        <w:spacing w:before="119"/>
        <w:ind w:left="1175"/>
      </w:pPr>
      <w:r>
        <w:rPr/>
        <w:t>În contextul propunerilor de modificare, prezentul proiect presupune:</w:t>
      </w:r>
    </w:p>
    <w:p>
      <w:pPr>
        <w:pStyle w:val="ListParagraph"/>
        <w:numPr>
          <w:ilvl w:val="0"/>
          <w:numId w:val="2"/>
        </w:numPr>
        <w:tabs>
          <w:tab w:pos="1524" w:val="left" w:leader="none"/>
        </w:tabs>
        <w:spacing w:line="240" w:lineRule="auto" w:before="120" w:after="0"/>
        <w:ind w:left="815" w:right="674" w:firstLine="360"/>
        <w:jc w:val="both"/>
        <w:rPr>
          <w:sz w:val="28"/>
        </w:rPr>
      </w:pPr>
      <w:r>
        <w:rPr>
          <w:sz w:val="28"/>
        </w:rPr>
        <w:t>atribuire a unei surse suplimentare de venituri pentru APL nivel 1 formată de defalcările din impozitul pe venitul persoanelor juridice din volumul total colectat pe teritoriul unității administrativ-teritoriale respective, pe baza datelor din ultimul an pentru care există execuție bugetară definitivă, în următoarele proporții:</w:t>
      </w:r>
    </w:p>
    <w:p>
      <w:pPr>
        <w:pStyle w:val="ListParagraph"/>
        <w:numPr>
          <w:ilvl w:val="1"/>
          <w:numId w:val="2"/>
        </w:numPr>
        <w:tabs>
          <w:tab w:pos="2231" w:val="left" w:leader="none"/>
          <w:tab w:pos="2232" w:val="left" w:leader="none"/>
        </w:tabs>
        <w:spacing w:line="322" w:lineRule="exact" w:before="120" w:after="0"/>
        <w:ind w:left="2231" w:right="0" w:hanging="336"/>
        <w:jc w:val="left"/>
        <w:rPr>
          <w:sz w:val="28"/>
        </w:rPr>
      </w:pPr>
      <w:r>
        <w:rPr>
          <w:sz w:val="28"/>
        </w:rPr>
        <w:t>5% pentru bugetele mun. Chișinău și</w:t>
      </w:r>
      <w:r>
        <w:rPr>
          <w:spacing w:val="-11"/>
          <w:sz w:val="28"/>
        </w:rPr>
        <w:t> </w:t>
      </w:r>
      <w:r>
        <w:rPr>
          <w:sz w:val="28"/>
        </w:rPr>
        <w:t>Bălți;</w:t>
      </w:r>
    </w:p>
    <w:p>
      <w:pPr>
        <w:pStyle w:val="ListParagraph"/>
        <w:numPr>
          <w:ilvl w:val="1"/>
          <w:numId w:val="2"/>
        </w:numPr>
        <w:tabs>
          <w:tab w:pos="2231" w:val="left" w:leader="none"/>
          <w:tab w:pos="2232" w:val="left" w:leader="none"/>
        </w:tabs>
        <w:spacing w:line="322" w:lineRule="exact" w:before="0" w:after="0"/>
        <w:ind w:left="2231" w:right="0" w:hanging="336"/>
        <w:jc w:val="left"/>
        <w:rPr>
          <w:sz w:val="28"/>
        </w:rPr>
      </w:pPr>
      <w:r>
        <w:rPr>
          <w:sz w:val="28"/>
        </w:rPr>
        <w:t>10% pentru bugetele municipiilor și orașelor reședință de</w:t>
      </w:r>
      <w:r>
        <w:rPr>
          <w:spacing w:val="-16"/>
          <w:sz w:val="28"/>
        </w:rPr>
        <w:t> </w:t>
      </w:r>
      <w:r>
        <w:rPr>
          <w:sz w:val="28"/>
        </w:rPr>
        <w:t>raion;</w:t>
      </w:r>
    </w:p>
    <w:p>
      <w:pPr>
        <w:pStyle w:val="ListParagraph"/>
        <w:numPr>
          <w:ilvl w:val="1"/>
          <w:numId w:val="2"/>
        </w:numPr>
        <w:tabs>
          <w:tab w:pos="2231" w:val="left" w:leader="none"/>
          <w:tab w:pos="2232" w:val="left" w:leader="none"/>
        </w:tabs>
        <w:spacing w:line="322" w:lineRule="exact" w:before="0" w:after="0"/>
        <w:ind w:left="2231" w:right="0" w:hanging="336"/>
        <w:jc w:val="left"/>
        <w:rPr>
          <w:sz w:val="28"/>
        </w:rPr>
      </w:pPr>
      <w:r>
        <w:rPr>
          <w:sz w:val="28"/>
        </w:rPr>
        <w:t>25% pentru bugetele orașelor și satelor</w:t>
      </w:r>
      <w:r>
        <w:rPr>
          <w:spacing w:val="-12"/>
          <w:sz w:val="28"/>
        </w:rPr>
        <w:t> </w:t>
      </w:r>
      <w:r>
        <w:rPr>
          <w:sz w:val="28"/>
        </w:rPr>
        <w:t>(comunelor).</w:t>
      </w:r>
    </w:p>
    <w:p>
      <w:pPr>
        <w:pStyle w:val="ListParagraph"/>
        <w:numPr>
          <w:ilvl w:val="0"/>
          <w:numId w:val="2"/>
        </w:numPr>
        <w:tabs>
          <w:tab w:pos="1524" w:val="left" w:leader="none"/>
        </w:tabs>
        <w:spacing w:line="240" w:lineRule="auto" w:before="2" w:after="0"/>
        <w:ind w:left="815" w:right="674" w:firstLine="360"/>
        <w:jc w:val="both"/>
        <w:rPr>
          <w:sz w:val="28"/>
        </w:rPr>
      </w:pPr>
      <w:r>
        <w:rPr>
          <w:sz w:val="28"/>
        </w:rPr>
        <w:t>atribuirea unei surse suplimentare de formare a fondului de susținere financiară a unităților administrativ-teritoriale din contul defalcărilor din impozitul pe venitul persoanelor juridice din volumul total colectat pe teritoriul unității administrativ-teritoriale respective, pe baza datelor din ultimul an pentru care există execuție bugetară definitivă, în următoarele</w:t>
      </w:r>
      <w:r>
        <w:rPr>
          <w:spacing w:val="-15"/>
          <w:sz w:val="28"/>
        </w:rPr>
        <w:t> </w:t>
      </w:r>
      <w:r>
        <w:rPr>
          <w:sz w:val="28"/>
        </w:rPr>
        <w:t>proporții:</w:t>
      </w:r>
    </w:p>
    <w:p>
      <w:pPr>
        <w:pStyle w:val="ListParagraph"/>
        <w:numPr>
          <w:ilvl w:val="1"/>
          <w:numId w:val="2"/>
        </w:numPr>
        <w:tabs>
          <w:tab w:pos="2231" w:val="left" w:leader="none"/>
          <w:tab w:pos="2232" w:val="left" w:leader="none"/>
        </w:tabs>
        <w:spacing w:line="319" w:lineRule="exact" w:before="0" w:after="0"/>
        <w:ind w:left="2231" w:right="0" w:hanging="336"/>
        <w:jc w:val="left"/>
        <w:rPr>
          <w:sz w:val="28"/>
        </w:rPr>
      </w:pPr>
      <w:r>
        <w:rPr>
          <w:sz w:val="28"/>
        </w:rPr>
        <w:t>5% pentru bugetele mun. Chișinău și</w:t>
      </w:r>
      <w:r>
        <w:rPr>
          <w:spacing w:val="-11"/>
          <w:sz w:val="28"/>
        </w:rPr>
        <w:t> </w:t>
      </w:r>
      <w:r>
        <w:rPr>
          <w:sz w:val="28"/>
        </w:rPr>
        <w:t>Bălți;</w:t>
      </w:r>
    </w:p>
    <w:p>
      <w:pPr>
        <w:pStyle w:val="ListParagraph"/>
        <w:numPr>
          <w:ilvl w:val="1"/>
          <w:numId w:val="2"/>
        </w:numPr>
        <w:tabs>
          <w:tab w:pos="2231" w:val="left" w:leader="none"/>
          <w:tab w:pos="2232" w:val="left" w:leader="none"/>
        </w:tabs>
        <w:spacing w:line="322" w:lineRule="exact" w:before="0" w:after="0"/>
        <w:ind w:left="2231" w:right="0" w:hanging="336"/>
        <w:jc w:val="left"/>
        <w:rPr>
          <w:sz w:val="28"/>
        </w:rPr>
      </w:pPr>
      <w:r>
        <w:rPr>
          <w:sz w:val="28"/>
        </w:rPr>
        <w:t>10% pentru bugetele municipiilor și orașelor reședință de</w:t>
      </w:r>
      <w:r>
        <w:rPr>
          <w:spacing w:val="-16"/>
          <w:sz w:val="28"/>
        </w:rPr>
        <w:t> </w:t>
      </w:r>
      <w:r>
        <w:rPr>
          <w:sz w:val="28"/>
        </w:rPr>
        <w:t>raion;</w:t>
      </w:r>
    </w:p>
    <w:p>
      <w:pPr>
        <w:pStyle w:val="ListParagraph"/>
        <w:numPr>
          <w:ilvl w:val="1"/>
          <w:numId w:val="2"/>
        </w:numPr>
        <w:tabs>
          <w:tab w:pos="2231" w:val="left" w:leader="none"/>
          <w:tab w:pos="2232" w:val="left" w:leader="none"/>
        </w:tabs>
        <w:spacing w:line="240" w:lineRule="auto" w:before="2" w:after="0"/>
        <w:ind w:left="2231" w:right="0" w:hanging="336"/>
        <w:jc w:val="left"/>
        <w:rPr>
          <w:sz w:val="28"/>
        </w:rPr>
      </w:pPr>
      <w:r>
        <w:rPr>
          <w:sz w:val="28"/>
        </w:rPr>
        <w:t>25% pentru bugetele orașelor și satelor</w:t>
      </w:r>
      <w:r>
        <w:rPr>
          <w:spacing w:val="-12"/>
          <w:sz w:val="28"/>
        </w:rPr>
        <w:t> </w:t>
      </w:r>
      <w:r>
        <w:rPr>
          <w:sz w:val="28"/>
        </w:rPr>
        <w:t>(comunelor).</w:t>
      </w:r>
    </w:p>
    <w:p>
      <w:pPr>
        <w:spacing w:after="0" w:line="240" w:lineRule="auto"/>
        <w:jc w:val="left"/>
        <w:rPr>
          <w:sz w:val="28"/>
        </w:rPr>
        <w:sectPr>
          <w:pgSz w:w="11910" w:h="16840"/>
          <w:pgMar w:top="1040" w:bottom="280" w:left="600" w:right="740"/>
        </w:sectPr>
      </w:pPr>
    </w:p>
    <w:p>
      <w:pPr>
        <w:pStyle w:val="ListParagraph"/>
        <w:numPr>
          <w:ilvl w:val="0"/>
          <w:numId w:val="2"/>
        </w:numPr>
        <w:tabs>
          <w:tab w:pos="1524" w:val="left" w:leader="none"/>
        </w:tabs>
        <w:spacing w:line="240" w:lineRule="auto" w:before="74" w:after="0"/>
        <w:ind w:left="815" w:right="673" w:firstLine="361"/>
        <w:jc w:val="both"/>
        <w:rPr>
          <w:sz w:val="28"/>
        </w:rPr>
      </w:pPr>
      <w:r>
        <w:rPr>
          <w:sz w:val="28"/>
        </w:rPr>
        <w:t>divizarea în cele două fonduri de echilibrare a bugetelor unităților administrativ-teritoriale de nivel 1 și 2 se va face prin aplicarea unui coeficient unic de</w:t>
      </w:r>
      <w:r>
        <w:rPr>
          <w:spacing w:val="-4"/>
          <w:sz w:val="28"/>
        </w:rPr>
        <w:t> </w:t>
      </w:r>
      <w:r>
        <w:rPr>
          <w:sz w:val="28"/>
        </w:rPr>
        <w:t>50%.</w:t>
      </w:r>
    </w:p>
    <w:p>
      <w:pPr>
        <w:pStyle w:val="BodyText"/>
        <w:spacing w:before="1"/>
        <w:ind w:left="816" w:right="673" w:firstLine="707"/>
        <w:jc w:val="both"/>
      </w:pPr>
      <w:r>
        <w:rPr>
          <w:b/>
        </w:rPr>
        <w:t>La articolul II. </w:t>
      </w:r>
      <w:r>
        <w:rPr/>
        <w:t>al proiectului de lege este prevăzută data intrării în vigoare, respectiv din 01.01.2021, precum și întreprinderea măsurile necesare din partea Guvernului în vederea punerii în aplicare a prezentei legi odată cu intrarea în</w:t>
      </w:r>
      <w:r>
        <w:rPr>
          <w:spacing w:val="-2"/>
        </w:rPr>
        <w:t> </w:t>
      </w:r>
      <w:r>
        <w:rPr/>
        <w:t>vigoare.</w:t>
      </w:r>
    </w:p>
    <w:p>
      <w:pPr>
        <w:pStyle w:val="BodyText"/>
        <w:spacing w:before="121"/>
        <w:ind w:left="816" w:right="673" w:firstLine="708"/>
        <w:jc w:val="both"/>
      </w:pPr>
      <w:r>
        <w:rPr>
          <w:b/>
        </w:rPr>
        <w:t>Fundamentarea economico - financiară. </w:t>
      </w:r>
      <w:r>
        <w:rPr/>
        <w:t>Implementarea prevederilor acestui proiect presupune modificarea modului de redistribuire a resurselor financiare-bugetare și nu necesită alocarea de resurse financiar-bugetare suplimentare.</w:t>
      </w:r>
    </w:p>
    <w:p>
      <w:pPr>
        <w:pStyle w:val="BodyText"/>
        <w:spacing w:before="118"/>
        <w:ind w:left="816" w:right="674" w:firstLine="777"/>
        <w:jc w:val="both"/>
      </w:pPr>
      <w:r>
        <w:rPr>
          <w:b/>
        </w:rPr>
        <w:t>Efectele aprobării proiectului de lege</w:t>
      </w:r>
      <w:r>
        <w:rPr/>
        <w:t>. Prezentul proiect de lege are ca scop fortificarea autonomiei financiare a autorităților publice locale prin majorarea veniturilor disponibile ale acestora.</w:t>
      </w:r>
    </w:p>
    <w:p>
      <w:pPr>
        <w:pStyle w:val="BodyText"/>
        <w:spacing w:before="122"/>
        <w:ind w:left="816" w:right="673" w:firstLine="708"/>
        <w:jc w:val="both"/>
      </w:pPr>
      <w:r>
        <w:rPr/>
        <w:t>Totodată, făcând referință la datele execuției bugetare pentru anul 2019 se estimează că prezentul proiect va contribui la majorarea veniturilor autorităților publice locale cu estimativ 0,9 mld. Lei prin redistribuirea acestora din cadrul bugetului de stat. Jumătate din creșterea anticipată a bugetelor locale va fi alocată direct în bugetul APL de nivel 1 vizate și respectiv cu 450 mil. lei va fi majorată mărimea fondului de echilibrare a bugetelor unităților administrativ- teritoriale de nivel 1 și 2. Astfel, va crește autonomia locală, iar comunitățile locale vor fi mai independente față de influențele subiective exercitate de forțele politice. Concomitent, prin atribuirea impozitului pe venitul persoanelor juridice ca sursă de formare a bugetelor locale, în modul descris mai sus, se va contribui la dezvoltarea dialogului dintre autoritățile publice locale și mediul de afaceri, care la rândul său va duce la reducerea economiei tenebre dar și implicarea mai activă a autorităților locale în dezvoltarea economică la nivel locale – acestea având un interes direct în această privință. Suplimentar, schimbarea propusă în modul de formare a veniturilor autorităților publice locale reprezintă un pas în direcția soluționării problemelor cu care se confruntă unele localități din țară în care se înregistrează un volum mare a activității economice, precum de exemplu urmare activităților de exploatare a resurselor naturale, care generează costuri mari asociate acestora, or, în prezent aceste costuri sunt suportate din bugetele locale, iar impozitul pe venitul generat din aceste activități sunt încasate în bugetul de</w:t>
      </w:r>
      <w:r>
        <w:rPr>
          <w:spacing w:val="-3"/>
        </w:rPr>
        <w:t> </w:t>
      </w:r>
      <w:r>
        <w:rPr/>
        <w:t>stat.</w:t>
      </w:r>
    </w:p>
    <w:p>
      <w:pPr>
        <w:pStyle w:val="BodyText"/>
        <w:spacing w:before="118"/>
        <w:ind w:left="816" w:right="673" w:firstLine="707"/>
        <w:jc w:val="both"/>
      </w:pPr>
      <w:r>
        <w:rPr/>
        <w:t>Pe urma creșterii directe estimate în mărime de 450 mil. lei a bugetelor locale, vor beneficia direct autoritățile locale de nivel 1 și autoritățile locale de nivel 2 reprezentate de mun. Chișinău și mun. Bălți. Din suma totală a creșterii veniturilor fiscale ale autorităților publice vizate aproximativ 200 mil. Lei va reveni mun. Chișinău, 10 mil. Lei mun. Bălți, 100 mil. Lei va reveni centrelor raionale și 200 mil. Lei bugetelor satelor (comunelor).</w:t>
      </w:r>
    </w:p>
    <w:p>
      <w:pPr>
        <w:spacing w:after="0"/>
        <w:jc w:val="both"/>
        <w:sectPr>
          <w:pgSz w:w="11910" w:h="16840"/>
          <w:pgMar w:top="1040" w:bottom="280" w:left="600" w:right="740"/>
        </w:sectPr>
      </w:pPr>
    </w:p>
    <w:p>
      <w:pPr>
        <w:pStyle w:val="BodyText"/>
        <w:spacing w:before="74"/>
        <w:ind w:left="815" w:right="674" w:firstLine="708"/>
        <w:jc w:val="both"/>
      </w:pPr>
      <w:r>
        <w:rPr/>
        <w:t>Se atestă că prezentul proiect deși este general favorabil APL de nivel I, totuși propune beneficii mai mari pentru APL de nivelul I cu o populație mai mare. În acest sens sistemul propus va constitui implicit și un factor care să favorizeze amalgamarea voluntară a localităților cu o populație mică și o intensitate mică a activității economice cu alte localități mai mari și care înregistrează un volum mai mare de activitate economică.</w:t>
      </w:r>
    </w:p>
    <w:p>
      <w:pPr>
        <w:pStyle w:val="BodyText"/>
        <w:rPr>
          <w:sz w:val="30"/>
        </w:rPr>
      </w:pPr>
    </w:p>
    <w:p>
      <w:pPr>
        <w:pStyle w:val="BodyText"/>
        <w:spacing w:before="7"/>
        <w:rPr>
          <w:sz w:val="36"/>
        </w:rPr>
      </w:pPr>
    </w:p>
    <w:p>
      <w:pPr>
        <w:pStyle w:val="Heading1"/>
        <w:spacing w:line="322" w:lineRule="exact"/>
        <w:ind w:left="816"/>
      </w:pPr>
      <w:r>
        <w:rPr/>
        <w:t>Deputat în Parlamentul</w:t>
      </w:r>
    </w:p>
    <w:p>
      <w:pPr>
        <w:tabs>
          <w:tab w:pos="6531" w:val="left" w:leader="none"/>
        </w:tabs>
        <w:spacing w:line="322" w:lineRule="exact" w:before="0"/>
        <w:ind w:left="816" w:right="0" w:firstLine="0"/>
        <w:jc w:val="left"/>
        <w:rPr>
          <w:b/>
          <w:sz w:val="28"/>
        </w:rPr>
      </w:pPr>
      <w:r>
        <w:rPr>
          <w:b/>
          <w:sz w:val="28"/>
        </w:rPr>
        <w:t>Republicii</w:t>
      </w:r>
      <w:r>
        <w:rPr>
          <w:b/>
          <w:spacing w:val="-3"/>
          <w:sz w:val="28"/>
        </w:rPr>
        <w:t> </w:t>
      </w:r>
      <w:r>
        <w:rPr>
          <w:b/>
          <w:sz w:val="28"/>
        </w:rPr>
        <w:t>Moldova</w:t>
        <w:tab/>
        <w:t>Alexandru</w:t>
      </w:r>
      <w:r>
        <w:rPr>
          <w:b/>
          <w:spacing w:val="-1"/>
          <w:sz w:val="28"/>
        </w:rPr>
        <w:t> </w:t>
      </w:r>
      <w:r>
        <w:rPr>
          <w:b/>
          <w:sz w:val="28"/>
        </w:rPr>
        <w:t>Slusari</w:t>
      </w:r>
    </w:p>
    <w:sectPr>
      <w:pgSz w:w="11910" w:h="16840"/>
      <w:pgMar w:top="1040" w:bottom="280" w:left="600" w:right="7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Georgia">
    <w:altName w:val="Georgia"/>
    <w:charset w:val="0"/>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0"/>
      <w:numFmt w:val="bullet"/>
      <w:lvlText w:val="-"/>
      <w:lvlJc w:val="left"/>
      <w:pPr>
        <w:ind w:left="815" w:hanging="348"/>
      </w:pPr>
      <w:rPr>
        <w:rFonts w:hint="default" w:ascii="Times New Roman" w:hAnsi="Times New Roman" w:eastAsia="Times New Roman" w:cs="Times New Roman"/>
        <w:w w:val="100"/>
        <w:sz w:val="28"/>
        <w:szCs w:val="28"/>
      </w:rPr>
    </w:lvl>
    <w:lvl w:ilvl="1">
      <w:start w:val="0"/>
      <w:numFmt w:val="bullet"/>
      <w:lvlText w:val="-"/>
      <w:lvlJc w:val="left"/>
      <w:pPr>
        <w:ind w:left="2231" w:hanging="337"/>
      </w:pPr>
      <w:rPr>
        <w:rFonts w:hint="default" w:ascii="Times New Roman" w:hAnsi="Times New Roman" w:eastAsia="Times New Roman" w:cs="Times New Roman"/>
        <w:w w:val="100"/>
        <w:sz w:val="28"/>
        <w:szCs w:val="28"/>
      </w:rPr>
    </w:lvl>
    <w:lvl w:ilvl="2">
      <w:start w:val="0"/>
      <w:numFmt w:val="bullet"/>
      <w:lvlText w:val="•"/>
      <w:lvlJc w:val="left"/>
      <w:pPr>
        <w:ind w:left="3165" w:hanging="337"/>
      </w:pPr>
      <w:rPr>
        <w:rFonts w:hint="default"/>
      </w:rPr>
    </w:lvl>
    <w:lvl w:ilvl="3">
      <w:start w:val="0"/>
      <w:numFmt w:val="bullet"/>
      <w:lvlText w:val="•"/>
      <w:lvlJc w:val="left"/>
      <w:pPr>
        <w:ind w:left="4090" w:hanging="337"/>
      </w:pPr>
      <w:rPr>
        <w:rFonts w:hint="default"/>
      </w:rPr>
    </w:lvl>
    <w:lvl w:ilvl="4">
      <w:start w:val="0"/>
      <w:numFmt w:val="bullet"/>
      <w:lvlText w:val="•"/>
      <w:lvlJc w:val="left"/>
      <w:pPr>
        <w:ind w:left="5015" w:hanging="337"/>
      </w:pPr>
      <w:rPr>
        <w:rFonts w:hint="default"/>
      </w:rPr>
    </w:lvl>
    <w:lvl w:ilvl="5">
      <w:start w:val="0"/>
      <w:numFmt w:val="bullet"/>
      <w:lvlText w:val="•"/>
      <w:lvlJc w:val="left"/>
      <w:pPr>
        <w:ind w:left="5940" w:hanging="337"/>
      </w:pPr>
      <w:rPr>
        <w:rFonts w:hint="default"/>
      </w:rPr>
    </w:lvl>
    <w:lvl w:ilvl="6">
      <w:start w:val="0"/>
      <w:numFmt w:val="bullet"/>
      <w:lvlText w:val="•"/>
      <w:lvlJc w:val="left"/>
      <w:pPr>
        <w:ind w:left="6865" w:hanging="337"/>
      </w:pPr>
      <w:rPr>
        <w:rFonts w:hint="default"/>
      </w:rPr>
    </w:lvl>
    <w:lvl w:ilvl="7">
      <w:start w:val="0"/>
      <w:numFmt w:val="bullet"/>
      <w:lvlText w:val="•"/>
      <w:lvlJc w:val="left"/>
      <w:pPr>
        <w:ind w:left="7790" w:hanging="337"/>
      </w:pPr>
      <w:rPr>
        <w:rFonts w:hint="default"/>
      </w:rPr>
    </w:lvl>
    <w:lvl w:ilvl="8">
      <w:start w:val="0"/>
      <w:numFmt w:val="bullet"/>
      <w:lvlText w:val="•"/>
      <w:lvlJc w:val="left"/>
      <w:pPr>
        <w:ind w:left="8716" w:hanging="337"/>
      </w:pPr>
      <w:rPr>
        <w:rFonts w:hint="default"/>
      </w:rPr>
    </w:lvl>
  </w:abstractNum>
  <w:abstractNum w:abstractNumId="0">
    <w:multiLevelType w:val="hybridMultilevel"/>
    <w:lvl w:ilvl="0">
      <w:start w:val="1"/>
      <w:numFmt w:val="decimal"/>
      <w:lvlText w:val="%1."/>
      <w:lvlJc w:val="left"/>
      <w:pPr>
        <w:ind w:left="815" w:hanging="317"/>
        <w:jc w:val="right"/>
      </w:pPr>
      <w:rPr>
        <w:rFonts w:hint="default" w:ascii="Times New Roman" w:hAnsi="Times New Roman" w:eastAsia="Times New Roman" w:cs="Times New Roman"/>
        <w:spacing w:val="0"/>
        <w:w w:val="100"/>
        <w:sz w:val="28"/>
        <w:szCs w:val="28"/>
      </w:rPr>
    </w:lvl>
    <w:lvl w:ilvl="1">
      <w:start w:val="1"/>
      <w:numFmt w:val="decimal"/>
      <w:lvlText w:val="%2."/>
      <w:lvlJc w:val="left"/>
      <w:pPr>
        <w:ind w:left="815" w:hanging="420"/>
        <w:jc w:val="left"/>
      </w:pPr>
      <w:rPr>
        <w:rFonts w:hint="default" w:ascii="Times New Roman" w:hAnsi="Times New Roman" w:eastAsia="Times New Roman" w:cs="Times New Roman"/>
        <w:spacing w:val="0"/>
        <w:w w:val="100"/>
        <w:sz w:val="28"/>
        <w:szCs w:val="28"/>
      </w:rPr>
    </w:lvl>
    <w:lvl w:ilvl="2">
      <w:start w:val="0"/>
      <w:numFmt w:val="bullet"/>
      <w:lvlText w:val="•"/>
      <w:lvlJc w:val="left"/>
      <w:pPr>
        <w:ind w:left="2769" w:hanging="420"/>
      </w:pPr>
      <w:rPr>
        <w:rFonts w:hint="default"/>
      </w:rPr>
    </w:lvl>
    <w:lvl w:ilvl="3">
      <w:start w:val="0"/>
      <w:numFmt w:val="bullet"/>
      <w:lvlText w:val="•"/>
      <w:lvlJc w:val="left"/>
      <w:pPr>
        <w:ind w:left="3743" w:hanging="420"/>
      </w:pPr>
      <w:rPr>
        <w:rFonts w:hint="default"/>
      </w:rPr>
    </w:lvl>
    <w:lvl w:ilvl="4">
      <w:start w:val="0"/>
      <w:numFmt w:val="bullet"/>
      <w:lvlText w:val="•"/>
      <w:lvlJc w:val="left"/>
      <w:pPr>
        <w:ind w:left="4718" w:hanging="420"/>
      </w:pPr>
      <w:rPr>
        <w:rFonts w:hint="default"/>
      </w:rPr>
    </w:lvl>
    <w:lvl w:ilvl="5">
      <w:start w:val="0"/>
      <w:numFmt w:val="bullet"/>
      <w:lvlText w:val="•"/>
      <w:lvlJc w:val="left"/>
      <w:pPr>
        <w:ind w:left="5693" w:hanging="420"/>
      </w:pPr>
      <w:rPr>
        <w:rFonts w:hint="default"/>
      </w:rPr>
    </w:lvl>
    <w:lvl w:ilvl="6">
      <w:start w:val="0"/>
      <w:numFmt w:val="bullet"/>
      <w:lvlText w:val="•"/>
      <w:lvlJc w:val="left"/>
      <w:pPr>
        <w:ind w:left="6667" w:hanging="420"/>
      </w:pPr>
      <w:rPr>
        <w:rFonts w:hint="default"/>
      </w:rPr>
    </w:lvl>
    <w:lvl w:ilvl="7">
      <w:start w:val="0"/>
      <w:numFmt w:val="bullet"/>
      <w:lvlText w:val="•"/>
      <w:lvlJc w:val="left"/>
      <w:pPr>
        <w:ind w:left="7642" w:hanging="420"/>
      </w:pPr>
      <w:rPr>
        <w:rFonts w:hint="default"/>
      </w:rPr>
    </w:lvl>
    <w:lvl w:ilvl="8">
      <w:start w:val="0"/>
      <w:numFmt w:val="bullet"/>
      <w:lvlText w:val="•"/>
      <w:lvlJc w:val="left"/>
      <w:pPr>
        <w:ind w:left="8617" w:hanging="420"/>
      </w:pPr>
      <w:rPr>
        <w:rFonts w:hint="default"/>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rPr>
  </w:style>
  <w:style w:styleId="BodyText" w:type="paragraph">
    <w:name w:val="Body Text"/>
    <w:basedOn w:val="Normal"/>
    <w:uiPriority w:val="1"/>
    <w:qFormat/>
    <w:pPr/>
    <w:rPr>
      <w:rFonts w:ascii="Times New Roman" w:hAnsi="Times New Roman" w:eastAsia="Times New Roman" w:cs="Times New Roman"/>
      <w:sz w:val="28"/>
      <w:szCs w:val="28"/>
    </w:rPr>
  </w:style>
  <w:style w:styleId="Heading1" w:type="paragraph">
    <w:name w:val="Heading 1"/>
    <w:basedOn w:val="Normal"/>
    <w:uiPriority w:val="1"/>
    <w:qFormat/>
    <w:pPr>
      <w:ind w:left="959"/>
      <w:outlineLvl w:val="1"/>
    </w:pPr>
    <w:rPr>
      <w:rFonts w:ascii="Times New Roman" w:hAnsi="Times New Roman" w:eastAsia="Times New Roman" w:cs="Times New Roman"/>
      <w:b/>
      <w:bCs/>
      <w:sz w:val="28"/>
      <w:szCs w:val="28"/>
    </w:rPr>
  </w:style>
  <w:style w:styleId="ListParagraph" w:type="paragraph">
    <w:name w:val="List Paragraph"/>
    <w:basedOn w:val="Normal"/>
    <w:uiPriority w:val="1"/>
    <w:qFormat/>
    <w:pPr>
      <w:ind w:left="815" w:hanging="336"/>
    </w:pPr>
    <w:rPr>
      <w:rFonts w:ascii="Times New Roman" w:hAnsi="Times New Roman" w:eastAsia="Times New Roman" w:cs="Times New Roman"/>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8" Type="http://schemas.openxmlformats.org/officeDocument/2006/relationships/hyperlink" Target="mailto:info@parlament.md" TargetMode="External"/><Relationship Id="rId13" Type="http://schemas.openxmlformats.org/officeDocument/2006/relationships/customXml" Target="../customXml/item3.xml"/><Relationship Id="rId3"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customXml" Target="../customXml/item2.xml"/><Relationship Id="rId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customXml" Target="../customXml/item1.xml"/><Relationship Id="rId5" Type="http://schemas.openxmlformats.org/officeDocument/2006/relationships/image" Target="media/image1.png"/><Relationship Id="rId10" Type="http://schemas.openxmlformats.org/officeDocument/2006/relationships/numbering" Target="numbering.xml"/><Relationship Id="rId4" Type="http://schemas.openxmlformats.org/officeDocument/2006/relationships/settings" Target="settings.xml"/><Relationship Id="rId9" Type="http://schemas.openxmlformats.org/officeDocument/2006/relationships/hyperlink" Target="http://www.parlamen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02D8FDE-C2FB-406C-9ABE-45F90B94F86E}"/>
</file>

<file path=customXml/itemProps2.xml><?xml version="1.0" encoding="utf-8"?>
<ds:datastoreItem xmlns:ds="http://schemas.openxmlformats.org/officeDocument/2006/customXml" ds:itemID="{1EF81C3B-D30F-4D51-8128-935A1C64C381}"/>
</file>

<file path=customXml/itemProps3.xml><?xml version="1.0" encoding="utf-8"?>
<ds:datastoreItem xmlns:ds="http://schemas.openxmlformats.org/officeDocument/2006/customXml" ds:itemID="{DBC8781F-C232-4D36-AD6F-A7E043EA714D}"/>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313.2020.ro</dc:title>
  <dcterms:created xsi:type="dcterms:W3CDTF">2020-07-10T11:24:47Z</dcterms:created>
  <dcterms:modified xsi:type="dcterms:W3CDTF">2020-07-10T11:24:47Z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Acrobat PDFMaker 19 для Word</vt:lpwstr>
  </property>
  <property fmtid="{D5CDD505-2E9C-101B-9397-08002B2CF9AE}" pid="3" name="ContentTypeId">
    <vt:lpwstr>0x010100DB3619079C70BA4C8A987488329513F90014B383F883BBE84C9A1272D50E465059</vt:lpwstr>
  </property>
  <property fmtid="{D5CDD505-2E9C-101B-9397-08002B2CF9AE}" pid="5" name="Tipul documentului">
    <vt:lpwstr>Aviz</vt:lpwstr>
  </property>
</Properties>
</file>