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C381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416E1C8" w14:textId="77777777" w:rsidR="00C57F2D" w:rsidRPr="003C3818" w:rsidRDefault="00C57F2D" w:rsidP="00C57F2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C38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проекте закона об утверждении </w:t>
      </w:r>
    </w:p>
    <w:p w14:paraId="5017D79A" w14:textId="545C9CE3" w:rsidR="00BF1362" w:rsidRPr="003C3818" w:rsidRDefault="00C57F2D" w:rsidP="00C57F2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38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государственного </w:t>
      </w:r>
      <w:r w:rsidRPr="003C38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бюджета на </w:t>
      </w:r>
      <w:r w:rsidR="00B46D62" w:rsidRPr="003C3818">
        <w:rPr>
          <w:rFonts w:ascii="Times New Roman" w:hAnsi="Times New Roman" w:cs="Times New Roman"/>
          <w:b/>
          <w:color w:val="000000"/>
          <w:sz w:val="28"/>
          <w:szCs w:val="28"/>
        </w:rPr>
        <w:t>2022 год</w:t>
      </w:r>
    </w:p>
    <w:p w14:paraId="3DB6FF92" w14:textId="77777777" w:rsidR="00BF1362" w:rsidRPr="003C381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C3818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C381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3C381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3818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C381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2F6AB1F3" w:rsidR="00593286" w:rsidRPr="003C3818" w:rsidRDefault="002F12C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3818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4015E7" w:rsidRPr="003C3818"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3C3818">
        <w:rPr>
          <w:rFonts w:ascii="Times New Roman" w:hAnsi="Times New Roman" w:cstheme="majorBidi"/>
          <w:color w:val="000000"/>
          <w:sz w:val="28"/>
          <w:szCs w:val="28"/>
        </w:rPr>
        <w:t>акона об утверждении государственного бюджета на 2022 год.</w:t>
      </w:r>
    </w:p>
    <w:p w14:paraId="71914AC4" w14:textId="56C69762" w:rsidR="00BF1362" w:rsidRPr="003C381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AA65DE" w14:textId="77777777" w:rsidR="00950D53" w:rsidRPr="003C3818" w:rsidRDefault="00950D5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B2D75CF" w:rsidR="00492257" w:rsidRPr="003C3818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C3818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C381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5F16EB" w:rsidRPr="003C381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3C3818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3C381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C3818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3C381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3C381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C3818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3C3818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Pr="003C3818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F52E0D2" w14:textId="5BDE5E8F" w:rsidR="0064535B" w:rsidRPr="003C3818" w:rsidRDefault="0064535B" w:rsidP="0064535B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Министр финансов                                   Думитру Б</w:t>
      </w:r>
      <w:r w:rsidR="00DA516C" w:rsidRPr="003C3818">
        <w:rPr>
          <w:rFonts w:cstheme="majorBidi"/>
          <w:sz w:val="28"/>
          <w:szCs w:val="28"/>
        </w:rPr>
        <w:t>удянски</w:t>
      </w:r>
      <w:r w:rsidRPr="003C3818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3C3818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Pr="003C3818" w:rsidRDefault="00182743" w:rsidP="0064535B">
      <w:pPr>
        <w:rPr>
          <w:rFonts w:cstheme="majorBidi"/>
          <w:sz w:val="28"/>
          <w:szCs w:val="28"/>
        </w:rPr>
      </w:pPr>
    </w:p>
    <w:p w14:paraId="17619B4C" w14:textId="5CDB86EC" w:rsidR="0064535B" w:rsidRPr="003C3818" w:rsidRDefault="00DC3489" w:rsidP="0064535B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3C3818">
        <w:rPr>
          <w:rFonts w:cstheme="majorBidi"/>
          <w:sz w:val="28"/>
          <w:szCs w:val="28"/>
        </w:rPr>
        <w:t xml:space="preserve"> </w:t>
      </w:r>
      <w:r w:rsidRPr="003C3818">
        <w:rPr>
          <w:rFonts w:cstheme="majorBidi"/>
          <w:sz w:val="28"/>
          <w:szCs w:val="28"/>
        </w:rPr>
        <w:t xml:space="preserve"> Серджиу </w:t>
      </w:r>
      <w:r w:rsidR="0064535B" w:rsidRPr="003C3818">
        <w:rPr>
          <w:rFonts w:cstheme="majorBidi"/>
          <w:sz w:val="28"/>
          <w:szCs w:val="28"/>
        </w:rPr>
        <w:t>Л</w:t>
      </w:r>
      <w:r w:rsidR="00DA516C" w:rsidRPr="003C3818">
        <w:rPr>
          <w:rFonts w:cstheme="majorBidi"/>
          <w:sz w:val="28"/>
          <w:szCs w:val="28"/>
        </w:rPr>
        <w:t>итвиненко</w:t>
      </w:r>
      <w:r w:rsidR="0064535B" w:rsidRPr="003C3818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3C3818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3C3818" w:rsidRDefault="00182743" w:rsidP="00632912">
      <w:pPr>
        <w:rPr>
          <w:rFonts w:cstheme="majorBidi"/>
          <w:sz w:val="28"/>
          <w:szCs w:val="28"/>
        </w:rPr>
      </w:pPr>
    </w:p>
    <w:p w14:paraId="4B620FC6" w14:textId="77777777" w:rsidR="00A86782" w:rsidRPr="003C3818" w:rsidRDefault="00A86782" w:rsidP="0064535B">
      <w:pPr>
        <w:rPr>
          <w:rFonts w:cstheme="majorBidi"/>
          <w:sz w:val="28"/>
          <w:szCs w:val="28"/>
        </w:rPr>
      </w:pPr>
    </w:p>
    <w:p w14:paraId="278946FA" w14:textId="77777777" w:rsidR="0012099F" w:rsidRPr="003C3818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Pr="003C3818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3C3818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3C3818" w:rsidRDefault="00626B93" w:rsidP="00F04FA2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 xml:space="preserve">  </w:t>
      </w:r>
      <w:r w:rsidR="00390C5E" w:rsidRPr="003C3818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3C3818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3C3818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3C3818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3C381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3C381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3C381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3C381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7312B243" w:rsidR="00182743" w:rsidRPr="003C381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F4DB285" w14:textId="77777777" w:rsidR="00950D53" w:rsidRPr="003C3818" w:rsidRDefault="00950D5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3C381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3C3818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3C381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3C381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3C381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3818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3C381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3C3818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C3818"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3C3818">
        <w:rPr>
          <w:rFonts w:ascii="Times New Roman" w:hAnsi="Times New Roman" w:cstheme="majorBidi"/>
          <w:sz w:val="28"/>
          <w:szCs w:val="28"/>
        </w:rPr>
        <w:t>енеральн</w:t>
      </w:r>
      <w:r w:rsidRPr="003C3818">
        <w:rPr>
          <w:rFonts w:ascii="Times New Roman" w:hAnsi="Times New Roman" w:cstheme="majorBidi"/>
          <w:sz w:val="28"/>
          <w:szCs w:val="28"/>
        </w:rPr>
        <w:t>ого</w:t>
      </w:r>
      <w:r w:rsidR="00E06FA3" w:rsidRPr="003C3818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3C3818">
        <w:rPr>
          <w:rFonts w:ascii="Times New Roman" w:hAnsi="Times New Roman" w:cstheme="majorBidi"/>
          <w:sz w:val="28"/>
          <w:szCs w:val="28"/>
        </w:rPr>
        <w:t>я</w:t>
      </w:r>
      <w:r w:rsidR="00E06FA3" w:rsidRPr="003C3818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3C3818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C3818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3C3818">
        <w:rPr>
          <w:rFonts w:ascii="Times New Roman" w:hAnsi="Times New Roman" w:cstheme="majorBidi"/>
          <w:sz w:val="28"/>
          <w:szCs w:val="28"/>
        </w:rPr>
        <w:tab/>
      </w:r>
      <w:r w:rsidRPr="003C3818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 w:rsidRPr="003C3818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3C3818">
        <w:rPr>
          <w:rFonts w:ascii="Times New Roman" w:hAnsi="Times New Roman" w:cstheme="majorBidi"/>
          <w:sz w:val="28"/>
          <w:szCs w:val="28"/>
        </w:rPr>
        <w:t xml:space="preserve"> </w:t>
      </w:r>
      <w:r w:rsidR="00182743" w:rsidRPr="003C3818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3C3818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3C3818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3C381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3C3818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3C381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3818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3C381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C3818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3C381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3C3818" w:rsidRDefault="00583825" w:rsidP="00F04FA2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3C3818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3C3818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3C3818" w:rsidRDefault="00812763" w:rsidP="00F04FA2">
      <w:pPr>
        <w:rPr>
          <w:rFonts w:cstheme="majorBidi"/>
          <w:sz w:val="28"/>
          <w:szCs w:val="28"/>
        </w:rPr>
      </w:pPr>
    </w:p>
    <w:p w14:paraId="6BC67708" w14:textId="65531372" w:rsidR="00A001EE" w:rsidRPr="003C3818" w:rsidRDefault="00A001EE" w:rsidP="00F04FA2">
      <w:pPr>
        <w:rPr>
          <w:rFonts w:cstheme="majorBidi"/>
          <w:sz w:val="28"/>
          <w:szCs w:val="28"/>
        </w:rPr>
      </w:pPr>
    </w:p>
    <w:p w14:paraId="3F1DFB31" w14:textId="7C3A6D86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6888AF01" w14:textId="5EAEA6FB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6D48E16B" w14:textId="1FFCB7D7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3D257139" w14:textId="6075616F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1227D557" w14:textId="1D30214E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5A7A77BD" w14:textId="275075AA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54BEB2BA" w14:textId="32DB7DB6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2972776D" w14:textId="275C4EF1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1B4D2BD3" w14:textId="7A9700EF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0E0BD560" w14:textId="770583C9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299DB3E7" w14:textId="220B5E64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2930E205" w14:textId="535B9C6D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7C8CEDCA" w14:textId="458B69AD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1061DF1A" w14:textId="15B8A657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67D20C6E" w14:textId="0033B3FA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5A8C3365" w14:textId="4F9C7EA9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41B400DF" w14:textId="31923EEF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52851B15" w14:textId="576CE0AD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06F423D8" w14:textId="5F0FC486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7AF32536" w14:textId="5CE79555" w:rsidR="00296094" w:rsidRPr="003C3818" w:rsidRDefault="00296094" w:rsidP="00F04FA2">
      <w:pPr>
        <w:rPr>
          <w:rFonts w:cstheme="majorBidi"/>
          <w:sz w:val="28"/>
          <w:szCs w:val="28"/>
        </w:rPr>
      </w:pPr>
    </w:p>
    <w:p w14:paraId="36C028D4" w14:textId="77777777" w:rsidR="002C00E3" w:rsidRPr="003C3818" w:rsidRDefault="002C00E3" w:rsidP="002C00E3">
      <w:pPr>
        <w:jc w:val="right"/>
        <w:rPr>
          <w:rFonts w:cstheme="majorBidi"/>
          <w:bCs/>
          <w:i/>
          <w:iCs/>
          <w:sz w:val="28"/>
          <w:szCs w:val="28"/>
        </w:rPr>
      </w:pPr>
      <w:r w:rsidRPr="003C3818">
        <w:rPr>
          <w:rFonts w:cstheme="majorBidi"/>
          <w:bCs/>
          <w:i/>
          <w:iCs/>
          <w:sz w:val="28"/>
          <w:szCs w:val="28"/>
        </w:rPr>
        <w:lastRenderedPageBreak/>
        <w:t>Перевод</w:t>
      </w:r>
    </w:p>
    <w:p w14:paraId="04EB268F" w14:textId="77777777" w:rsidR="002C00E3" w:rsidRPr="003C3818" w:rsidRDefault="002C00E3" w:rsidP="002C00E3">
      <w:pPr>
        <w:jc w:val="right"/>
        <w:rPr>
          <w:rFonts w:cstheme="majorBidi"/>
          <w:bCs/>
          <w:i/>
          <w:iCs/>
          <w:sz w:val="28"/>
          <w:szCs w:val="28"/>
        </w:rPr>
      </w:pPr>
      <w:r w:rsidRPr="003C3818">
        <w:rPr>
          <w:rFonts w:cstheme="majorBidi"/>
          <w:bCs/>
          <w:i/>
          <w:iCs/>
          <w:sz w:val="28"/>
          <w:szCs w:val="28"/>
        </w:rPr>
        <w:t>Проект</w:t>
      </w:r>
    </w:p>
    <w:p w14:paraId="4C32F1BF" w14:textId="4676F079" w:rsidR="002C00E3" w:rsidRPr="003C3818" w:rsidRDefault="002C00E3" w:rsidP="002C00E3">
      <w:pPr>
        <w:rPr>
          <w:rFonts w:cstheme="majorBidi"/>
          <w:b/>
          <w:bCs/>
          <w:sz w:val="28"/>
          <w:szCs w:val="28"/>
        </w:rPr>
      </w:pPr>
    </w:p>
    <w:p w14:paraId="5BF42CEB" w14:textId="0A42356C" w:rsidR="00FC721C" w:rsidRPr="003C3818" w:rsidRDefault="00FC721C" w:rsidP="00FC721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284FFC3C" w14:textId="77777777" w:rsidR="00FC721C" w:rsidRPr="003C3818" w:rsidRDefault="00FC721C" w:rsidP="002C00E3">
      <w:pPr>
        <w:rPr>
          <w:rFonts w:cstheme="majorBidi"/>
          <w:b/>
          <w:bCs/>
          <w:sz w:val="28"/>
          <w:szCs w:val="28"/>
        </w:rPr>
      </w:pPr>
    </w:p>
    <w:p w14:paraId="59711642" w14:textId="3C3CE56C" w:rsidR="002C00E3" w:rsidRPr="003C3818" w:rsidRDefault="002C00E3" w:rsidP="002C00E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ЗАКОН</w:t>
      </w:r>
    </w:p>
    <w:p w14:paraId="626FD511" w14:textId="77777777" w:rsidR="002C00E3" w:rsidRPr="003C3818" w:rsidRDefault="002C00E3" w:rsidP="002C00E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о государственном бюджете на 2022 год</w:t>
      </w:r>
    </w:p>
    <w:p w14:paraId="7DD8B61F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7DCFC32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67EFE7F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70F618B0" w14:textId="77777777" w:rsidR="002C00E3" w:rsidRPr="003C3818" w:rsidRDefault="002C00E3" w:rsidP="005546B4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Глава I</w:t>
      </w:r>
    </w:p>
    <w:p w14:paraId="2C1E0DE0" w14:textId="77777777" w:rsidR="002C00E3" w:rsidRPr="003C3818" w:rsidRDefault="002C00E3" w:rsidP="005546B4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ОБЩИЕ ПОЛОЖЕНИЯ</w:t>
      </w:r>
    </w:p>
    <w:p w14:paraId="165AECBA" w14:textId="77777777" w:rsidR="005546B4" w:rsidRPr="003C3818" w:rsidRDefault="005546B4" w:rsidP="002C00E3">
      <w:pPr>
        <w:rPr>
          <w:rFonts w:cstheme="majorBidi"/>
          <w:b/>
          <w:bCs/>
          <w:sz w:val="28"/>
          <w:szCs w:val="28"/>
        </w:rPr>
      </w:pPr>
    </w:p>
    <w:p w14:paraId="1807209F" w14:textId="5B5992A0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Ст.1.</w:t>
      </w:r>
      <w:r w:rsidRPr="003C3818">
        <w:rPr>
          <w:rFonts w:cstheme="majorBidi"/>
          <w:sz w:val="28"/>
          <w:szCs w:val="28"/>
        </w:rPr>
        <w:t xml:space="preserve"> – (1) Государственный бюджет на 2022 год утверждается по доходам в сумме 50066602,7 тысячи леев и по расходам в сумме 65202602,7 тысячи леев, с дефицитом в сумме 15136000,0 тысячи леев.</w:t>
      </w:r>
    </w:p>
    <w:p w14:paraId="647B29D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(2) Общие показатели и источники финансирования государственного бюджета представлены в приложении 1.</w:t>
      </w:r>
    </w:p>
    <w:p w14:paraId="6401BC4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(3) Состав доходов государственного бюджета и источники финансирования бюджетного сальдо представлены в приложении 2.</w:t>
      </w:r>
    </w:p>
    <w:p w14:paraId="31A1DEF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(4) Бюджеты органов, финансируемых из государственного бюджета, по расходам и ресурсам представлены в приложении 3.</w:t>
      </w:r>
    </w:p>
    <w:p w14:paraId="29F29EE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(5) Расходы государственного бюджета согласно функциональной классификации представлены в приложении 4.</w:t>
      </w:r>
    </w:p>
    <w:p w14:paraId="5BC6546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(6) Объем расходов на персонал по центральным органам публичной власти представлен в приложении 5.</w:t>
      </w:r>
    </w:p>
    <w:p w14:paraId="62A13A3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5E42B29B" w14:textId="77777777" w:rsidR="002C00E3" w:rsidRPr="003C3818" w:rsidRDefault="002C00E3" w:rsidP="005546B4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Глава II</w:t>
      </w:r>
    </w:p>
    <w:p w14:paraId="3FCADCB8" w14:textId="17820680" w:rsidR="002C00E3" w:rsidRPr="003C3818" w:rsidRDefault="002C00E3" w:rsidP="005546B4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СПЕЦИАЛЬНЫЕ ПОЛОЖЕНИЯ</w:t>
      </w:r>
    </w:p>
    <w:p w14:paraId="72401A8A" w14:textId="77777777" w:rsidR="005546B4" w:rsidRPr="003C3818" w:rsidRDefault="005546B4" w:rsidP="002C00E3">
      <w:pPr>
        <w:rPr>
          <w:rFonts w:cstheme="majorBidi"/>
          <w:b/>
          <w:bCs/>
          <w:sz w:val="28"/>
          <w:szCs w:val="28"/>
        </w:rPr>
      </w:pPr>
    </w:p>
    <w:p w14:paraId="648254B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Ст.2.</w:t>
      </w:r>
      <w:r w:rsidRPr="003C3818">
        <w:rPr>
          <w:rFonts w:cstheme="majorBidi"/>
          <w:sz w:val="28"/>
          <w:szCs w:val="28"/>
        </w:rPr>
        <w:t xml:space="preserve"> – В бюджетах отдельных бюджетных органов/учреждений согласно сферам компетенции утверждаются ассигнования для конкретных целей следующим образом:</w:t>
      </w:r>
    </w:p>
    <w:p w14:paraId="76F8AA1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a) для дорожного фонда – в сумме 1485348,4 тысячи леев. Годовые отчисления от общего объема акцизов на нефтепродукты, за исключением сжиженного газа, не должны превышать 58,0 процента;</w:t>
      </w:r>
    </w:p>
    <w:p w14:paraId="3CA2751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b) на реализацию процесса приватизации имущества публичной собственности государства, в том числе на основе индивидуальных проектов, – в сумме 3000,0 тысячи леев;</w:t>
      </w:r>
    </w:p>
    <w:p w14:paraId="3F72144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c) для Фонда энергоэффективности – в сумме 30000,0 тысячи леев;</w:t>
      </w:r>
    </w:p>
    <w:p w14:paraId="1680880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d) для Национального фонда регионального развития – в сумме 770000,0 тысячи леев;</w:t>
      </w:r>
    </w:p>
    <w:p w14:paraId="5BEEB8F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lastRenderedPageBreak/>
        <w:t>e) для Национального фонда развития сельского хозяйства и сельской местности – в сумме 1500000,0 тысячи леев. Распределение этих ассигнований осуществляется в установленном Правительством порядке;</w:t>
      </w:r>
    </w:p>
    <w:p w14:paraId="703B192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f) для Фонда винограда и вина – в сумме 40696,2 тысячи леев, из которых 19696,2 тысячи леев из Национального фонда развития сельского хозяйства и сельской местности;</w:t>
      </w:r>
    </w:p>
    <w:p w14:paraId="2640A7D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g) для Национального экологического фонда – в сумме 250000,0 тысячи леев;</w:t>
      </w:r>
    </w:p>
    <w:p w14:paraId="19739F4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h) на профессиональную подготовку педагогических и руководящих кадров сферы общего образования – в сумме 2000,0 тысячи леев, на усовершенствование содержания учебных программ по школьным дисциплинам начального, гимназического и лицейского образования, включая внешкольное образование, – в сумме 9500,0 тысячи леев, на повышение качества образования – в сумме 2000,0 тысячи леев за счет займа, предоставленного Всемирным банком в рамках проекта «Реформа образования в Молдове»;</w:t>
      </w:r>
    </w:p>
    <w:p w14:paraId="03B214C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i) на поддержку деятельности театров, цирка и концертных организаций – в сумме 181914,9 тысячи леев;</w:t>
      </w:r>
    </w:p>
    <w:p w14:paraId="61D4C42D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j) на частичную компенсацию взносов обязательного государственного социального страхования, уплачиваемых организациями и предприятиями общественного объединения «Ассоциация незрячих Молдовы», – в сумме 793,0 тысячи леев, Ассоциации глухих Республики Молдова – в сумме 859,6 тысячи леев и Общества инвалидов Республики Молдова – в сумме 680,9 тысячи леев;</w:t>
      </w:r>
    </w:p>
    <w:p w14:paraId="3A76EC08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k) на приобретение оборудования и сырья для предприятий общественного объединения «Ассоциация незрячих Молдовы» – в сумме 2107,7 тысячи леев, Ассоциации глухих Республики Молдова – в сумме 1445,5 тысячи леев и Общества инвалидов Республики Молдова – в сумме 1607,6 тысячи леев;</w:t>
      </w:r>
    </w:p>
    <w:p w14:paraId="7F49C82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l) на создание рабочих мест на предприятиях общественного объединения «Ассоциация незрячих Молдовы» – в сумме 250,0 тысячи леев и Общества инвалидов Республики Молдова – в сумме 250,0 тысячи леев;</w:t>
      </w:r>
    </w:p>
    <w:p w14:paraId="4C901A18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m) на оплату Ассоциацией глухих Республики Молдова услуг сурдоперевода, предоставляемых переводчиками по запросу глухих, немых или глухонемых, – в сумме 573,6 тысячи леев;</w:t>
      </w:r>
    </w:p>
    <w:p w14:paraId="4F45DEDD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n) для Фонда поддержки населения – в сумме 135550,0 тысячи леев, в том числе на финансирование минимального пакета социальных услуг органами местного публичного управления второго уровня – 119000,0 тысячи леев;</w:t>
      </w:r>
    </w:p>
    <w:p w14:paraId="46839D7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o) на финансирование политических партий – в сумме 42031,0 тысячи леев;</w:t>
      </w:r>
    </w:p>
    <w:p w14:paraId="423C247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lastRenderedPageBreak/>
        <w:t>p) на финансирование капитальных вложений по центральным органам публичной власти – в сумме 2662830,6 тысячи леев, с распределением согласно приложению 6;</w:t>
      </w:r>
    </w:p>
    <w:p w14:paraId="184F9AF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q) в бюджете Министерства инфраструктуры и регионального развития – в сумме 25065,5 тысячи леев на работы по обновлению/строительству санитарных блоков в учреждениях начального, гимназического и лицейского образования и в сумме 16235,6 тысячи леев на работы по обновлению учреждений начального, гимназического и лицейского образования в подчинении местных органов публичной власти за счет займа, предоставленного Всемирным банком в рамках проекта «Реформа образования в Молдове».</w:t>
      </w:r>
    </w:p>
    <w:p w14:paraId="40F9806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3EBFB48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Ст.3.</w:t>
      </w:r>
      <w:r w:rsidRPr="003C3818">
        <w:rPr>
          <w:rFonts w:cstheme="majorBidi"/>
          <w:sz w:val="28"/>
          <w:szCs w:val="28"/>
        </w:rPr>
        <w:t xml:space="preserve"> – Утвердить в государственном бюджете ассигнования для:</w:t>
      </w:r>
    </w:p>
    <w:p w14:paraId="5B7C7E78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a) уплаты взносов в международные организации, членом которых является Республика Молдова, – в сумме 62401,0 тысячи леев, деятельности по реинтеграции страны – в сумме 1500,0 тысячи леев. Распределение этих ассигнований осуществляется на основании постановлений Правительства;</w:t>
      </w:r>
    </w:p>
    <w:p w14:paraId="520CB7FB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b) резервного фонда Правительства – в сумме 500000,0 тысячи леев и интервенционного фонда Правительства – в сумме 300000,0 тысячи леев;</w:t>
      </w:r>
    </w:p>
    <w:p w14:paraId="4CFAF1B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c) поддержки программы грантов для инициатив молодежи на местном уровне – в сумме 1500,0 тысячи леев. Распределение этих ассигнований осуществляется в установленном Правительством порядке;</w:t>
      </w:r>
    </w:p>
    <w:p w14:paraId="5218225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d) поддержки программы Диаспора дома преуспевает «DAR 1+3» – в сумме 10000,0 тысячи леев. Распределение этих ассигнований осуществляется в установленном Правительством порядке;</w:t>
      </w:r>
    </w:p>
    <w:p w14:paraId="02EB5A0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e) субсидирования рабочих мест – в сумме 10000,0 тысячи леев. Распределение этих ассигнований осуществляется в установленном Правительством порядке;</w:t>
      </w:r>
    </w:p>
    <w:p w14:paraId="19E964E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f) обеспечения положений нормативной базы об оплате труда в бюджетной сфере – в сумме 592000,0 тысячи леев. Распределение этих ассигнований по органам публичной власти осуществляется на основании постановлений Правительства;</w:t>
      </w:r>
    </w:p>
    <w:p w14:paraId="29D0F220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g) предоставления компенсаций работникам с целью реализации специальных мер по обеспечению безопасности, охраны жизни и здоровья населения – в сумме 50000,0 тысячи леев. Распределение этих ассигнований осуществляется в установленном Правительством порядке.</w:t>
      </w:r>
    </w:p>
    <w:p w14:paraId="4FE577F0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3137028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Ст.4.</w:t>
      </w:r>
      <w:r w:rsidRPr="003C3818">
        <w:rPr>
          <w:rFonts w:cstheme="majorBidi"/>
          <w:sz w:val="28"/>
          <w:szCs w:val="28"/>
        </w:rPr>
        <w:t xml:space="preserve"> – (1) Утвердить в государственном бюджете трансферты в другие бюджеты и фонды:</w:t>
      </w:r>
    </w:p>
    <w:p w14:paraId="26682AA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a) в бюджет государственного социального страхования – в сумме 12550012,5 тысячи леев, из которых для покрытия дефицита бюджета государственного социального страхования – 2931127,5 тысячи леев;</w:t>
      </w:r>
    </w:p>
    <w:p w14:paraId="0538A14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lastRenderedPageBreak/>
        <w:t xml:space="preserve">b) в фонды обязательного медицинского страхования – в сумме 6071930,0   тысячи леев, из которых для реализации национальных программ в области здравоохранения – 150648,1 тысячи леев. </w:t>
      </w:r>
    </w:p>
    <w:p w14:paraId="688F25F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c) в местные бюджеты – в общей сумме 14913939,0 тысячи леев. Распределение трансфертов в местные бюджеты осуществляется согласно приложению 7.</w:t>
      </w:r>
    </w:p>
    <w:p w14:paraId="56B1198D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 xml:space="preserve">(2) Фонд финансовой поддержки административно-территориальных единиц дополняется долей 10 процентов подоходного налога с предпринимательской деятельности, полученного в 2020 году. Для административно-территориальных единиц, в которых наблюдается уменьшение средств, полученных из государственного бюджета по сравнению с 2021 годом, из государственного бюджета выделяются трансферты компенсационного характера в сумме 224746,6 тысячи леев. </w:t>
      </w:r>
    </w:p>
    <w:p w14:paraId="632E0A5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7850914F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Ст.5.</w:t>
      </w:r>
      <w:r w:rsidRPr="003C3818">
        <w:rPr>
          <w:rFonts w:cstheme="majorBidi"/>
          <w:sz w:val="28"/>
          <w:szCs w:val="28"/>
        </w:rPr>
        <w:t xml:space="preserve"> – Для реализации государственной программы "Первый дом" выделяются ассигнования в сумме 89705,0 тысячи леев, в том числе 10000,0 тысячи леев на погашение государственных гарантий в рамках программы. Распределение этих ассигнований осуществляется в установленном Правительством порядке.</w:t>
      </w:r>
    </w:p>
    <w:p w14:paraId="45E389BF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45283C9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Ст.6.</w:t>
      </w:r>
      <w:r w:rsidRPr="003C3818">
        <w:rPr>
          <w:rFonts w:cstheme="majorBidi"/>
          <w:sz w:val="28"/>
          <w:szCs w:val="28"/>
        </w:rPr>
        <w:t xml:space="preserve"> – (1) Выделяются финансовые средства для:</w:t>
      </w:r>
    </w:p>
    <w:p w14:paraId="33A8CB9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a) увеличения уставного капитала государственного предприятия «Железная дорога Молдовы» – в сумме до 377756,6 тысячи леев (эквивалент 17170,8 тысячи евро) за счет займа, предоставленного Европейским инвестиционным банком в рамках Проекта закупки локомотивов и реструктуризации железнодорожной инфраструктуры;</w:t>
      </w:r>
    </w:p>
    <w:p w14:paraId="6D9720D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b) увеличения уставного капитала общества с ограниченной ответственностью «Национальная арена» – в сумме до 69567,2 тысячи леев (эквивалент 3162,15 тысячи евро);</w:t>
      </w:r>
    </w:p>
    <w:p w14:paraId="59D2DE45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с) увеличения разрешенного капитала, принадлежащего Республике Молдова в Международном банке реконструкции и развития, – в сумме до 40938,9 тысячи леев (эквивалент 2181,1 тысячи долларов США) и в Международной финансовой корпорации, – в сумме до 18375,8 тысячи леев (эквивалент 979,0 тысячи долларов США).</w:t>
      </w:r>
    </w:p>
    <w:p w14:paraId="09A5F01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(2) Выделение предусмотренных частью (1) средств осуществляется на основании постановлений Правительства.</w:t>
      </w:r>
    </w:p>
    <w:p w14:paraId="3DF82880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74368C4A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Ст.7.</w:t>
      </w:r>
      <w:r w:rsidRPr="003C3818">
        <w:rPr>
          <w:rFonts w:cstheme="majorBidi"/>
          <w:sz w:val="28"/>
          <w:szCs w:val="28"/>
        </w:rPr>
        <w:t xml:space="preserve"> – Финансовые средства, получаемые из бюджетов–компонентов национального публичного бюджета публичными органами/учреждениями на самоуправлении, государственными предприятиями и акционерными обществами, учредителями которых являются центральные и местные органы публичной власти, согласно приложению 8, управляются посредством Единого казначейского счета Министерства финансов.</w:t>
      </w:r>
    </w:p>
    <w:p w14:paraId="6BB0F24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lastRenderedPageBreak/>
        <w:t> </w:t>
      </w:r>
    </w:p>
    <w:p w14:paraId="7E4AC615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Ст.8</w:t>
      </w:r>
      <w:r w:rsidRPr="003C3818">
        <w:rPr>
          <w:rFonts w:cstheme="majorBidi"/>
          <w:sz w:val="28"/>
          <w:szCs w:val="28"/>
        </w:rPr>
        <w:t>. – Установить, что по состоянию на 31 декабря 2022 года внутренний государственный долг не должен превышать 39575,3 миллиона леев, внешний государственный долг – 63735,8 миллиона леев (эквивалент 3317,8 миллиона долларов США). Остаток государственных внешних гарантий должен быть равен нулю, а остаток государственных внутренних гарантий не должен превышать 2500,0 миллиона леев.</w:t>
      </w:r>
    </w:p>
    <w:p w14:paraId="159E1A6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6D6898B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Ст.9.</w:t>
      </w:r>
      <w:r w:rsidRPr="003C3818">
        <w:rPr>
          <w:rFonts w:cstheme="majorBidi"/>
          <w:sz w:val="28"/>
          <w:szCs w:val="28"/>
        </w:rPr>
        <w:t xml:space="preserve"> – (1) Приватный налог представляет собой единовременный платеж, взимаемый при совершении сделок с имуществом публичной собственности в процессе приватизации, независимо от вида используемых средств.</w:t>
      </w:r>
    </w:p>
    <w:p w14:paraId="60B8A65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(2) Субъектами обложения приватным налогом являются юридические и физические лица Республики Молдова, а также иностранные юридические и физические лица, которым в процессе приватизации передается в частную собственность имущество публичной собственности.</w:t>
      </w:r>
    </w:p>
    <w:p w14:paraId="26D302A5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(3) Объектом обложения приватным налогом выступает имущество публичной собственности, включая акции.</w:t>
      </w:r>
    </w:p>
    <w:p w14:paraId="08194B0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(4) Ставка приватного налога устанавливается в размере 1 процента стоимости приобретения имущества публичной собственности, подлежащего приватизации, в том числе стоимости акций, подлежащих приватизации.</w:t>
      </w:r>
    </w:p>
    <w:p w14:paraId="4D5F681D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(5) Приватный налог уплачивается до подписания договора купли-продажи и вносится, в зависимости от принадлежности имущества, в государственный бюджет или в местный бюджет.</w:t>
      </w:r>
    </w:p>
    <w:p w14:paraId="6029F8F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(6) Не уплачивается приватный налог в случае безвозмездного получения в частную собственность имущества публичной собственности физическими лицами–резидентами, не занимающимися предпринимательской деятельностью.</w:t>
      </w:r>
    </w:p>
    <w:p w14:paraId="4540690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(7) В случае расторжения обратной силой договора купли-продажи, обусловленного неисполнением или ненадлежащим исполнением покупателем своих обязательств, суммы уплаченного приватного налога не возвращаются.</w:t>
      </w:r>
    </w:p>
    <w:p w14:paraId="5309265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(8) В зависимости от принадлежности имущества публичной собственности контроль за исполнением положений настоящей статьи возлагается на центральные или местные органы публичной власти.</w:t>
      </w:r>
    </w:p>
    <w:p w14:paraId="21102BA0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04665B1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Ст.10.</w:t>
      </w:r>
      <w:r w:rsidRPr="003C3818">
        <w:rPr>
          <w:rFonts w:cstheme="majorBidi"/>
          <w:sz w:val="28"/>
          <w:szCs w:val="28"/>
        </w:rPr>
        <w:t xml:space="preserve"> – (1) Для расчета заработной платы работников бюджетной сферы с 1 января 2022 года в соответствии с положениями Закона о единой системе оплаты труда в бюджетной сфере № 270/2018 устанавливается основная базовая ставка в размере 1800 леев.</w:t>
      </w:r>
    </w:p>
    <w:p w14:paraId="65C048A8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lastRenderedPageBreak/>
        <w:t>(2) В отступление от положений части (1) устанавливается следующая основная базовая ставка:</w:t>
      </w:r>
    </w:p>
    <w:p w14:paraId="1CB038B0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a) в размере 1400 леев для лиц, исполняющих ответственные государственные должности, из органов/учреждений, финансируемых из государственного бюджета, за исключением судей, прокуроров, судебных инспекторов, генерального секретаря Правительства, государственных секретарей, начальников и заместителей начальников территориальных бюро Государственной канцелярии, советников по разрешению споров;</w:t>
      </w:r>
    </w:p>
    <w:p w14:paraId="2F7B81B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b) в размере 1900 леев для:</w:t>
      </w:r>
    </w:p>
    <w:p w14:paraId="302D2CA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педагогического персонала, научно-преподавательского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других образовательных учреждений кроме учреждений раннего, начального, гимназического, лицейского и профессионально-технического образования;</w:t>
      </w:r>
    </w:p>
    <w:p w14:paraId="5016688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персонала, который согласно приложениям к Закону о единой системе оплаты труда в бюджетной сфере № 270/2018 относится к классам оплаты труда с 1-го по 25-й;</w:t>
      </w:r>
    </w:p>
    <w:p w14:paraId="06B4811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субофицерского состава Министерства внутренних дел;</w:t>
      </w:r>
    </w:p>
    <w:p w14:paraId="55C95A3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рядового и сержантского состава Министерства обороны;</w:t>
      </w:r>
    </w:p>
    <w:p w14:paraId="2896204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советников по разрешению споров Национального агентства по разрешению споров, включая генерального директора и заместителя генерального директора;</w:t>
      </w:r>
    </w:p>
    <w:p w14:paraId="226053A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c) в размере 2000 леев – для персонала, в том числе исполняющего ответственные государственные должности, в составе Службы государственной охраны;</w:t>
      </w:r>
    </w:p>
    <w:p w14:paraId="6474FE2F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d) в размере 2500 леев для:</w:t>
      </w:r>
    </w:p>
    <w:p w14:paraId="774841D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судей (за исключением судей Конституционного суда, Высшего совета магистратуры и Высшей судебной палаты), прокуроров, судебных инспекторов, инспекторов Инспекции прокуроров;</w:t>
      </w:r>
    </w:p>
    <w:p w14:paraId="2A12BD1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персонала, в том числе исполняющего ответственные государственные должности, в составе Службы информации и безопасности, Национального центра по борьбе с коррупцией, Национального органа по неподкупности и Службы по предупреждению и борьбе с отмыванием денег;</w:t>
      </w:r>
    </w:p>
    <w:p w14:paraId="2BED9325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персонала, в том числе исполняющего руководящие государственные должности, в составе Органа гражданской авиации;</w:t>
      </w:r>
    </w:p>
    <w:p w14:paraId="5432C03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e) в размере 2600 леев – для судей Конституционного суда, Высшего совета магистратуры и Высшей судебной палаты.</w:t>
      </w:r>
    </w:p>
    <w:p w14:paraId="3A04ECA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69F7810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Ст.11.</w:t>
      </w:r>
      <w:r w:rsidRPr="003C3818">
        <w:rPr>
          <w:rFonts w:cstheme="majorBidi"/>
          <w:sz w:val="28"/>
          <w:szCs w:val="28"/>
        </w:rPr>
        <w:t xml:space="preserve"> – (1) Минимальный размер платы за наем имущества публичной собственности утверждается в соответствии с приложением 9.</w:t>
      </w:r>
    </w:p>
    <w:p w14:paraId="571D085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lastRenderedPageBreak/>
        <w:t>(2) Освобождаются от платы за наем помещений (исключая плату за коммунальные услуги):</w:t>
      </w:r>
    </w:p>
    <w:p w14:paraId="0FD69B1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а) бюджетные органы/учреждения, финансируемые из государственного бюджета, публичные учреждения, внедряющие финансируемые из внешних источников проекты – части государственного бюджета (подразделения по внедрению), и творческие союзы – за помещения, нанимаемые у других бюджетных органов/учреждений, финансируемых из государственного бюджета, а также у государственных предприятий, учредителем которых является их вышестоящий орган, без права сдачи в поднаем;</w:t>
      </w:r>
    </w:p>
    <w:p w14:paraId="3707DFBA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b) государственные предприятия, учредителем которых является Национальная пенитенциарная администрация, – за помещения, нанимаемые у учреждений пенитенциарной системы.</w:t>
      </w:r>
    </w:p>
    <w:p w14:paraId="441EA269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664966B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Ст.12</w:t>
      </w:r>
      <w:r w:rsidRPr="003C3818">
        <w:rPr>
          <w:rFonts w:cstheme="majorBidi"/>
          <w:sz w:val="28"/>
          <w:szCs w:val="28"/>
        </w:rPr>
        <w:t>. – Возмещения лицам, подлежащим согласно законодательству обязательному государственному страхованию, выплачиваются на основании документов, оформленных профильными службами органов/учреждений, в которых эти лица работают, из средств соответствующих органов/учреждений.</w:t>
      </w:r>
    </w:p>
    <w:p w14:paraId="28F5784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6C133B4A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Ст.13.</w:t>
      </w:r>
      <w:r w:rsidRPr="003C3818">
        <w:rPr>
          <w:rFonts w:cstheme="majorBidi"/>
          <w:sz w:val="28"/>
          <w:szCs w:val="28"/>
        </w:rPr>
        <w:t xml:space="preserve"> – (1) Комиссионные за услуги по распределению компенсаций лицам, подвергшимся политическим репрессиям, единовременных компенсаций в связи с подключением к газопроводу, единовременных пособий на строительство дома или кооперативного жилья, приобретение жилья или восстановление старого жилья, социальных выплат, осуществляемых из средств Фонда поддержки населения, и других социальных выплат специального назначения некоторым категориям населения, предусмотренным в государственном бюджете, устанавливаются при заключении договоров между поставщиком платежных услуг и Министерством финансов в размере не более 0,4 процента суммы распределяемой на платежные счета и не более 0,8 процента суммы распределяемой наличными.</w:t>
      </w:r>
    </w:p>
    <w:p w14:paraId="38D6726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(2) Комиссионные за услуги по приему заявлений по индексации и распределению сумм, индексированных согласно Закону об индексации денежных вкладов граждан в Сберегательном банке № 1530/2002, предоставляемые посредством государственного предприятия «Poşta Moldovei», устанавливаются в размере не более 10 леев за прием заявления и в размере не более 0,8 процента распределяемой суммы.</w:t>
      </w:r>
    </w:p>
    <w:p w14:paraId="15EECDA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 xml:space="preserve">(3) Комиссионные за выдачу наличных денежных средств банками для выплаты социальных пособий, указанных в частях (1) и (2), а также за социальные выплаты, распределяемые через правительственную услугу электронных платежей посредством государственного предприятия «Poşta </w:t>
      </w:r>
      <w:r w:rsidRPr="003C3818">
        <w:rPr>
          <w:rFonts w:cstheme="majorBidi"/>
          <w:sz w:val="28"/>
          <w:szCs w:val="28"/>
        </w:rPr>
        <w:lastRenderedPageBreak/>
        <w:t>Moldovei», устанавливаются в размере не более 0,25 процента выдаваемой суммы и уплачиваются из государственного бюджета.</w:t>
      </w:r>
    </w:p>
    <w:p w14:paraId="055548E8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(4) Комиссионные за услуги по приему посредством иных платежных инструментов, чем платежные карты, от населения, констатирующих субъектов, сборщиков налогов и налоговых служащих платежей на Единый казначейский счет Министерства финансов (за исключением таможенных платежей), а также комиссионные за возврат платежей населению устанавливаются в размере не более 1,0 процента поступающей/возвращаемой суммы, но не менее 1 лея и не более 2,5 лея за платеж, на основании договора, заключенного Министерством финансов с поставщиками платежных услуг, и уплачиваются из государственного бюджета.</w:t>
      </w:r>
    </w:p>
    <w:p w14:paraId="33DAA4B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(5) Комиссионные за услуги по приему посредством платежных карт от населения платежей в бюджеты–компоненты национального публичного бюджета и возврат платежей из этих бюджетов населению устанавливаются в размере 0,5 процента суммы платежного поручения – в случае оплаты платежными картами, выпущенными в Республике Молдова, и 2,2 процента суммы платежного поручения – в случае оплаты платежными картами, выпущенными за пределами Республики Молдова, и уплачиваются из государственного бюджета.</w:t>
      </w:r>
    </w:p>
    <w:p w14:paraId="65ED5E9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(6) Указанные в частях (3)–(5) комиссионные для операций, относящихся к бюджету государственного социального страхования и фондам обязательного медицинского страхования, возвращаются государственному бюджету из бюджета государственного социального страхования и фондов обязательного медицинского страхования.</w:t>
      </w:r>
    </w:p>
    <w:p w14:paraId="5E5382FA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44D497C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Ст.14.</w:t>
      </w:r>
      <w:r w:rsidRPr="003C3818">
        <w:rPr>
          <w:rFonts w:cstheme="majorBidi"/>
          <w:sz w:val="28"/>
          <w:szCs w:val="28"/>
        </w:rPr>
        <w:t xml:space="preserve"> – (1) Установить уплату из государственного бюджета комиссионных за:</w:t>
      </w:r>
    </w:p>
    <w:p w14:paraId="2ACF5070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a) исполнение через автоматизированную систему межбанковских платежей платежных документов казначейской системы Министерства финансов;</w:t>
      </w:r>
    </w:p>
    <w:p w14:paraId="6E4D936E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b) услуги по обслуживанию операций с наличностью (получение и выдача наличных денежных средств) на счетах субъектов, обслуживаемых через Единый казначейский счет Министерства финансов;</w:t>
      </w:r>
    </w:p>
    <w:p w14:paraId="311DCC6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c) услуги по обслуживанию валютных операций на счетах субъектов, обслуживаемых через Единый казначейский счет Министерства финансов;</w:t>
      </w:r>
    </w:p>
    <w:p w14:paraId="5F36BB51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d) услуги по обслуживанию управляемых через казначейскую систему счетов, предназначенных для реализации проектов, финансируемых из внешних источников;</w:t>
      </w:r>
    </w:p>
    <w:p w14:paraId="51BD0BF5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e) услуги по распределению денежных средств со счетов государственного бюджета и местных бюджетов на основании исполнительных документов;</w:t>
      </w:r>
    </w:p>
    <w:p w14:paraId="5C80A7AB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f) содержание опломбированных посылок для хранения ценностей.</w:t>
      </w:r>
    </w:p>
    <w:p w14:paraId="4EAD3A0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lastRenderedPageBreak/>
        <w:t>(2) Комиссионные за прием от физических лиц таможенных платежей уплачиваются Таможенной службой за счет ассигнований, утвержденных в государственном бюджете, на основании заключенного с банком договора.</w:t>
      </w:r>
    </w:p>
    <w:p w14:paraId="66977EB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5CE46B4C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Ст.15.</w:t>
      </w:r>
      <w:r w:rsidRPr="003C3818">
        <w:rPr>
          <w:rFonts w:cstheme="majorBidi"/>
          <w:sz w:val="28"/>
          <w:szCs w:val="28"/>
        </w:rPr>
        <w:t xml:space="preserve"> – (1) Проценты, начисляемые на остатки денежных средств бюджетов–компонентов национального публичного бюджета, публичных органов/учреждений на самоуправлении и других субъектов, находящиеся на счетах, открытых в Едином казначейском счете Министерства финансов/банках, распределяются соответственно государственному бюджету, бюджету государственного социального страхования, фондам обязательного медицинского страхования.</w:t>
      </w:r>
    </w:p>
    <w:p w14:paraId="41F52D6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(2) Проценты, начисляемые на остатки денежных средств на счетах, открытых в банках и предназначенных для реализации проектов, финансируемых из внешних источников, перечисляются полностью в бюджеты, в состав которых они включены (государственный бюджет или местные бюджеты), за исключением процентов, начисляемых на остатки денежных средств Фонда долгосрочного развития, которые остаются в его управлении.</w:t>
      </w:r>
    </w:p>
    <w:p w14:paraId="75DADC38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683F457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Ст.16.</w:t>
      </w:r>
      <w:r w:rsidRPr="003C3818">
        <w:rPr>
          <w:rFonts w:cstheme="majorBidi"/>
          <w:sz w:val="28"/>
          <w:szCs w:val="28"/>
        </w:rPr>
        <w:t xml:space="preserve"> – Министерству финансов предоставляется право:</w:t>
      </w:r>
    </w:p>
    <w:p w14:paraId="5E586FBF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a) по обоснованным обращениям центральных органов публичной власти изменять утвержденные показатели государственного бюджета по доходам и расходам исходя из объемов грантов, пожертвований, спонсорских и других безвозмездных средств, дополнительно поступивших в распоряжение бюджетных органов/учреждений;</w:t>
      </w:r>
    </w:p>
    <w:p w14:paraId="01C3CEDA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b) по предложению Министерства инфраструктуры и регионального развития перераспределять ассигнования, утвержденные для Национального фонда регионального развития, на основании решения Национального совета по координации регионального развития;</w:t>
      </w:r>
    </w:p>
    <w:p w14:paraId="4FE33A37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c) по предложению Министерства окружающей среды перераспределять ассигнования, утвержденные для Национального экологического фонда, на основании решения Административного совета;</w:t>
      </w:r>
    </w:p>
    <w:p w14:paraId="5B3D3296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d) по предложению Министерства инфраструктуры и регионального развития перераспределять ассигнования, утвержденные для Фонда энергоэффективности, на основании решения Административного совета;</w:t>
      </w:r>
    </w:p>
    <w:p w14:paraId="55CA96D5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e) по предложению Министерства образования и исследований по обоснованным требованиям местных органов публичной власти перераспределять ассигнования, утвержденные для предоставления денежных компенсаций руководящему и педагогическому персоналу публичных общеобразовательных учреждений, в связи с изменением количества бенефициаров;</w:t>
      </w:r>
    </w:p>
    <w:p w14:paraId="58094A4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 xml:space="preserve">f) по обоснованным предложениям Национального агентства по исследованиям и разработкам перераспределять средства, выделенные на </w:t>
      </w:r>
      <w:r w:rsidRPr="003C3818">
        <w:rPr>
          <w:rFonts w:cstheme="majorBidi"/>
          <w:sz w:val="28"/>
          <w:szCs w:val="28"/>
        </w:rPr>
        <w:lastRenderedPageBreak/>
        <w:t>организацию и проведение конкурсов проектов, между центральными органами публичной власти, которые выступают в качестве учредителей организаций публичного права в областях исследований и инноваций;</w:t>
      </w:r>
    </w:p>
    <w:p w14:paraId="7772C0DB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g) по обоснованным предложениям Министерства образования и исследований перераспределять:</w:t>
      </w:r>
    </w:p>
    <w:p w14:paraId="085D8D92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средства, выделенные для институционального финансирования организаций публичного права в областях исследований и инноваций, между центральными органами публичной власти, которые выступают в качестве учредителей данных организаций;</w:t>
      </w:r>
    </w:p>
    <w:p w14:paraId="080CBED5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– средства, выделенные для финансирования публичных учреждений высшего образования, между центральными органами публичной власти, которые выступают в качестве учредителей данных учреждений, на основе утвержденной Правительством методологии;</w:t>
      </w:r>
    </w:p>
    <w:p w14:paraId="6C01ABF8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h) для покрытия временного кассового разрыва государственного бюджета заключать в течение бюджетного года договоры на получение внутренних займов на рынке государственных ценных бумаг сверх предусмотренных в государственном бюджете лимитов со сроком возврата в 2022 году;</w:t>
      </w:r>
    </w:p>
    <w:p w14:paraId="172F4AF3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i) осуществлять за счет внешних займов рекредитование исполнительных органов административно-территориальных единиц; гарантией возмещения при этом служат в том числе трансферты общего назначения из государственного бюджета соответствующим местным бюджетам;</w:t>
      </w:r>
    </w:p>
    <w:p w14:paraId="0C5AF78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j) изменять отношения между государственным бюджетом и местными бюджетами в случае делегирования на законных основаниях отдельных полномочий или их отзыва, в случае перехода в установленном порядке некоторых учреждений из подчинения местным органам публичной власти в подчинение центральным органам публичной власти и наоборот, а также в случае перехода некоторых учреждений из подчинения местным органам публичной власти первого уровня в подчинение местным органам публичной власти второго уровня и наоборот.</w:t>
      </w:r>
    </w:p>
    <w:p w14:paraId="18D62F04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sz w:val="28"/>
          <w:szCs w:val="28"/>
        </w:rPr>
        <w:t> </w:t>
      </w:r>
    </w:p>
    <w:p w14:paraId="6BD6586F" w14:textId="77777777" w:rsidR="002C00E3" w:rsidRPr="003C3818" w:rsidRDefault="002C00E3" w:rsidP="002C00E3">
      <w:pPr>
        <w:rPr>
          <w:rFonts w:cstheme="majorBidi"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Ст.17.</w:t>
      </w:r>
      <w:r w:rsidRPr="003C3818">
        <w:rPr>
          <w:rFonts w:cstheme="majorBidi"/>
          <w:sz w:val="28"/>
          <w:szCs w:val="28"/>
        </w:rPr>
        <w:t xml:space="preserve"> – Настоящий закон вступает в силу с 1 января 2022 года.</w:t>
      </w:r>
    </w:p>
    <w:p w14:paraId="190B8C11" w14:textId="24992DB3" w:rsidR="002C00E3" w:rsidRDefault="002C00E3" w:rsidP="002C00E3">
      <w:pPr>
        <w:rPr>
          <w:rFonts w:cstheme="majorBidi"/>
          <w:sz w:val="28"/>
          <w:szCs w:val="28"/>
        </w:rPr>
      </w:pPr>
    </w:p>
    <w:p w14:paraId="237B00EC" w14:textId="40DF2FDB" w:rsidR="003C3818" w:rsidRDefault="003C3818" w:rsidP="002C00E3">
      <w:pPr>
        <w:rPr>
          <w:rFonts w:cstheme="majorBidi"/>
          <w:sz w:val="28"/>
          <w:szCs w:val="28"/>
        </w:rPr>
      </w:pPr>
    </w:p>
    <w:p w14:paraId="4D3BC165" w14:textId="60C679F9" w:rsidR="003C3818" w:rsidRPr="003C3818" w:rsidRDefault="003C3818" w:rsidP="002C00E3">
      <w:pPr>
        <w:rPr>
          <w:rFonts w:cstheme="majorBidi"/>
          <w:b/>
          <w:bCs/>
          <w:sz w:val="28"/>
          <w:szCs w:val="28"/>
        </w:rPr>
      </w:pPr>
      <w:r w:rsidRPr="003C3818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3B58BC84" w14:textId="77777777" w:rsidR="00296094" w:rsidRPr="003C3818" w:rsidRDefault="00296094" w:rsidP="00F04FA2">
      <w:pPr>
        <w:rPr>
          <w:rFonts w:cstheme="majorBidi"/>
          <w:sz w:val="28"/>
          <w:szCs w:val="28"/>
        </w:rPr>
      </w:pPr>
    </w:p>
    <w:sectPr w:rsidR="00296094" w:rsidRPr="003C381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00D7E">
      <w:rPr>
        <w:noProof/>
        <w:lang w:val="en-US"/>
      </w:rPr>
      <w:t xml:space="preserve">Y:\003\ANUL </w:t>
    </w:r>
    <w:r w:rsidR="00E00D7E" w:rsidRPr="00E00D7E">
      <w:rPr>
        <w:noProof/>
        <w:sz w:val="16"/>
        <w:szCs w:val="16"/>
        <w:lang w:val="en-US"/>
      </w:rPr>
      <w:t>2021\HOTARIRI\22234</w:t>
    </w:r>
    <w:r w:rsidR="00E00D7E">
      <w:rPr>
        <w:noProof/>
        <w:lang w:val="en-US"/>
      </w:rPr>
      <w:t>\22234-redactat-ru.docx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00D7E">
      <w:rPr>
        <w:noProof/>
        <w:lang w:val="en-US"/>
      </w:rPr>
      <w:t xml:space="preserve">Y:\003\ANUL </w:t>
    </w:r>
    <w:r w:rsidR="00E00D7E" w:rsidRPr="00E00D7E">
      <w:rPr>
        <w:noProof/>
        <w:sz w:val="16"/>
        <w:szCs w:val="16"/>
        <w:lang w:val="en-US"/>
      </w:rPr>
      <w:t>2021\HOTARIRI\22234</w:t>
    </w:r>
    <w:r w:rsidR="00E00D7E">
      <w:rPr>
        <w:noProof/>
        <w:lang w:val="en-US"/>
      </w:rPr>
      <w:t>\22234-redactat-ru.docx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D7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D0B5128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E00D7E">
            <w:rPr>
              <w:rFonts w:ascii="Times New Roman" w:hAnsi="Times New Roman"/>
              <w:sz w:val="32"/>
              <w:szCs w:val="32"/>
            </w:rPr>
            <w:t>350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BC512A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00D7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19 ноября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96094"/>
    <w:rsid w:val="002B0498"/>
    <w:rsid w:val="002B268F"/>
    <w:rsid w:val="002C00E3"/>
    <w:rsid w:val="002D0D73"/>
    <w:rsid w:val="002D316E"/>
    <w:rsid w:val="002F1090"/>
    <w:rsid w:val="002F12CB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3818"/>
    <w:rsid w:val="003D50CD"/>
    <w:rsid w:val="003E5084"/>
    <w:rsid w:val="003F117D"/>
    <w:rsid w:val="003F696C"/>
    <w:rsid w:val="004015E7"/>
    <w:rsid w:val="00405ABA"/>
    <w:rsid w:val="00411DD4"/>
    <w:rsid w:val="00413AE3"/>
    <w:rsid w:val="00417EFA"/>
    <w:rsid w:val="00420EAE"/>
    <w:rsid w:val="00422E51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546B4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0D53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03653"/>
    <w:rsid w:val="00B25E8D"/>
    <w:rsid w:val="00B32B83"/>
    <w:rsid w:val="00B346C5"/>
    <w:rsid w:val="00B46D62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57F2D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0D7E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721C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49F56D-6A73-4F51-B346-01F5D579240A}"/>
</file>

<file path=customXml/itemProps2.xml><?xml version="1.0" encoding="utf-8"?>
<ds:datastoreItem xmlns:ds="http://schemas.openxmlformats.org/officeDocument/2006/customXml" ds:itemID="{05B36073-E5C4-45EC-9191-4E14F73557FA}"/>
</file>

<file path=customXml/itemProps3.xml><?xml version="1.0" encoding="utf-8"?>
<ds:datastoreItem xmlns:ds="http://schemas.openxmlformats.org/officeDocument/2006/customXml" ds:itemID="{72FD5C25-AB99-457C-A93B-BE6A98D832F6}"/>
</file>

<file path=customXml/itemProps4.xml><?xml version="1.0" encoding="utf-8"?>
<ds:datastoreItem xmlns:ds="http://schemas.openxmlformats.org/officeDocument/2006/customXml" ds:itemID="{127F07CC-157C-4288-8765-EAAAA6D51C9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12</Pages>
  <Words>2749</Words>
  <Characters>20457</Characters>
  <Application>Microsoft Office Word</Application>
  <DocSecurity>0</DocSecurity>
  <Lines>1363</Lines>
  <Paragraphs>336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366.2021.ru</dc:title>
  <dc:creator>user</dc:creator>
  <cp:lastModifiedBy>Eugenia Cartin</cp:lastModifiedBy>
  <cp:revision>53</cp:revision>
  <cp:lastPrinted>2021-11-22T07:20:00Z</cp:lastPrinted>
  <dcterms:created xsi:type="dcterms:W3CDTF">2020-03-02T17:34:00Z</dcterms:created>
  <dcterms:modified xsi:type="dcterms:W3CDTF">2021-11-22T07:20:00Z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