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34"/>
        </w:rPr>
      </w:pPr>
    </w:p>
    <w:p>
      <w:pPr>
        <w:pStyle w:val="BodyText"/>
        <w:rPr>
          <w:sz w:val="34"/>
        </w:rPr>
      </w:pPr>
    </w:p>
    <w:p>
      <w:pPr>
        <w:pStyle w:val="BodyText"/>
        <w:rPr>
          <w:sz w:val="34"/>
        </w:rPr>
      </w:pPr>
    </w:p>
    <w:p>
      <w:pPr>
        <w:pStyle w:val="BodyText"/>
        <w:rPr>
          <w:sz w:val="34"/>
        </w:rPr>
      </w:pPr>
    </w:p>
    <w:p>
      <w:pPr>
        <w:spacing w:line="254" w:lineRule="auto" w:before="198"/>
        <w:ind w:left="1103" w:right="19" w:firstLine="0"/>
        <w:jc w:val="left"/>
        <w:rPr>
          <w:rFonts w:ascii="Georgia" w:hAnsi="Georgia"/>
          <w:b/>
          <w:sz w:val="30"/>
        </w:rPr>
      </w:pPr>
      <w:r>
        <w:rPr/>
        <w:drawing>
          <wp:anchor distT="0" distB="0" distL="0" distR="0" allowOverlap="1" layoutInCell="1" locked="0" behindDoc="0" simplePos="0" relativeHeight="1048">
            <wp:simplePos x="0" y="0"/>
            <wp:positionH relativeFrom="page">
              <wp:posOffset>451927</wp:posOffset>
            </wp:positionH>
            <wp:positionV relativeFrom="paragraph">
              <wp:posOffset>-616866</wp:posOffset>
            </wp:positionV>
            <wp:extent cx="353188" cy="428625"/>
            <wp:effectExtent l="0" t="0" r="0" b="0"/>
            <wp:wrapNone/>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353188" cy="428625"/>
                    </a:xfrm>
                    <a:prstGeom prst="rect">
                      <a:avLst/>
                    </a:prstGeom>
                  </pic:spPr>
                </pic:pic>
              </a:graphicData>
            </a:graphic>
          </wp:anchor>
        </w:drawing>
      </w:r>
      <w:r>
        <w:rPr/>
        <w:drawing>
          <wp:anchor distT="0" distB="0" distL="0" distR="0" allowOverlap="1" layoutInCell="1" locked="0" behindDoc="0" simplePos="0" relativeHeight="1072">
            <wp:simplePos x="0" y="0"/>
            <wp:positionH relativeFrom="page">
              <wp:posOffset>1089326</wp:posOffset>
            </wp:positionH>
            <wp:positionV relativeFrom="paragraph">
              <wp:posOffset>-344699</wp:posOffset>
            </wp:positionV>
            <wp:extent cx="1157469" cy="276225"/>
            <wp:effectExtent l="0" t="0" r="0" b="0"/>
            <wp:wrapNone/>
            <wp:docPr id="3" name="image2.png" descr=""/>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157469" cy="276225"/>
                    </a:xfrm>
                    <a:prstGeom prst="rect">
                      <a:avLst/>
                    </a:prstGeom>
                  </pic:spPr>
                </pic:pic>
              </a:graphicData>
            </a:graphic>
          </wp:anchor>
        </w:drawing>
      </w:r>
      <w:r>
        <w:rPr/>
        <w:drawing>
          <wp:anchor distT="0" distB="0" distL="0" distR="0" allowOverlap="1" layoutInCell="1" locked="0" behindDoc="0" simplePos="0" relativeHeight="1096">
            <wp:simplePos x="0" y="0"/>
            <wp:positionH relativeFrom="page">
              <wp:posOffset>1101253</wp:posOffset>
            </wp:positionH>
            <wp:positionV relativeFrom="paragraph">
              <wp:posOffset>-616866</wp:posOffset>
            </wp:positionV>
            <wp:extent cx="714987" cy="223837"/>
            <wp:effectExtent l="0" t="0" r="0" b="0"/>
            <wp:wrapNone/>
            <wp:docPr id="5" name="image3.png" descr=""/>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714987" cy="223837"/>
                    </a:xfrm>
                    <a:prstGeom prst="rect">
                      <a:avLst/>
                    </a:prstGeom>
                  </pic:spPr>
                </pic:pic>
              </a:graphicData>
            </a:graphic>
          </wp:anchor>
        </w:drawing>
      </w:r>
      <w:r>
        <w:rPr/>
        <w:pict>
          <v:line style="position:absolute;mso-position-horizontal-relative:page;mso-position-vertical-relative:paragraph;z-index:1120" from="72.66301pt,-50.223549pt" to="72.66301pt,-5.598595pt" stroked="true" strokeweight=".375665pt" strokecolor="#2f3741">
            <v:stroke dashstyle="solid"/>
            <w10:wrap type="none"/>
          </v:line>
        </w:pict>
      </w:r>
      <w:bookmarkStart w:name="29 demers Legea BAS 2020" w:id="1"/>
      <w:bookmarkEnd w:id="1"/>
      <w:r>
        <w:rPr/>
      </w:r>
      <w:r>
        <w:rPr>
          <w:rFonts w:ascii="Georgia" w:hAnsi="Georgia"/>
          <w:b/>
          <w:color w:val="2F3741"/>
          <w:sz w:val="30"/>
        </w:rPr>
        <w:t>Deputat în Parlamentul Republicii Moldova</w:t>
      </w:r>
    </w:p>
    <w:p>
      <w:pPr>
        <w:spacing w:before="77"/>
        <w:ind w:left="378" w:right="0" w:firstLine="0"/>
        <w:jc w:val="left"/>
        <w:rPr>
          <w:rFonts w:ascii="Georgia"/>
          <w:sz w:val="24"/>
        </w:rPr>
      </w:pPr>
      <w:r>
        <w:rPr/>
        <w:br w:type="column"/>
      </w:r>
      <w:r>
        <w:rPr>
          <w:rFonts w:ascii="Georgia"/>
          <w:color w:val="2F3741"/>
          <w:sz w:val="24"/>
        </w:rPr>
        <w:t>AS nr.</w:t>
      </w:r>
      <w:r>
        <w:rPr>
          <w:rFonts w:ascii="Georgia"/>
          <w:color w:val="2F3741"/>
          <w:spacing w:val="-4"/>
          <w:sz w:val="24"/>
        </w:rPr>
        <w:t> </w:t>
      </w:r>
      <w:r>
        <w:rPr>
          <w:rFonts w:ascii="Georgia"/>
          <w:color w:val="2F3741"/>
          <w:sz w:val="24"/>
        </w:rPr>
        <w:t>29</w:t>
      </w:r>
    </w:p>
    <w:p>
      <w:pPr>
        <w:spacing w:before="174"/>
        <w:ind w:left="111" w:right="0" w:firstLine="0"/>
        <w:jc w:val="left"/>
        <w:rPr>
          <w:rFonts w:ascii="Georgia"/>
          <w:sz w:val="24"/>
        </w:rPr>
      </w:pPr>
      <w:r>
        <w:rPr>
          <w:rFonts w:ascii="Georgia"/>
          <w:color w:val="2F3741"/>
          <w:sz w:val="24"/>
        </w:rPr>
        <w:t>30.06.2020</w:t>
      </w:r>
    </w:p>
    <w:p>
      <w:pPr>
        <w:spacing w:after="0"/>
        <w:jc w:val="left"/>
        <w:rPr>
          <w:rFonts w:ascii="Georgia"/>
          <w:sz w:val="24"/>
        </w:rPr>
        <w:sectPr>
          <w:type w:val="continuous"/>
          <w:pgSz w:w="11910" w:h="16840"/>
          <w:pgMar w:top="260" w:bottom="280" w:left="600" w:right="740"/>
          <w:cols w:num="2" w:equalWidth="0">
            <w:col w:w="4783" w:space="4066"/>
            <w:col w:w="1721"/>
          </w:cols>
        </w:sectPr>
      </w:pPr>
    </w:p>
    <w:p>
      <w:pPr>
        <w:pStyle w:val="BodyText"/>
        <w:rPr>
          <w:rFonts w:ascii="Georgia"/>
          <w:sz w:val="20"/>
        </w:rPr>
      </w:pPr>
    </w:p>
    <w:p>
      <w:pPr>
        <w:pStyle w:val="BodyText"/>
        <w:rPr>
          <w:rFonts w:ascii="Georgia"/>
          <w:sz w:val="20"/>
        </w:rPr>
      </w:pPr>
    </w:p>
    <w:p>
      <w:pPr>
        <w:pStyle w:val="BodyText"/>
        <w:rPr>
          <w:rFonts w:ascii="Georgia"/>
          <w:sz w:val="20"/>
        </w:rPr>
      </w:pPr>
    </w:p>
    <w:p>
      <w:pPr>
        <w:pStyle w:val="BodyText"/>
        <w:spacing w:before="6"/>
        <w:rPr>
          <w:rFonts w:ascii="Georgia"/>
          <w:sz w:val="18"/>
        </w:rPr>
      </w:pPr>
    </w:p>
    <w:p>
      <w:pPr>
        <w:pStyle w:val="Heading1"/>
        <w:spacing w:line="328" w:lineRule="auto" w:before="101"/>
        <w:ind w:left="5486" w:right="95" w:firstLine="2032"/>
        <w:rPr>
          <w:rFonts w:ascii="Georgia"/>
        </w:rPr>
      </w:pPr>
      <w:r>
        <w:rPr>
          <w:rFonts w:ascii="Georgia"/>
        </w:rPr>
        <w:t>Biroul Permanent al Parlamentului Republicii Moldova</w:t>
      </w:r>
    </w:p>
    <w:p>
      <w:pPr>
        <w:pStyle w:val="BodyText"/>
        <w:rPr>
          <w:rFonts w:ascii="Georgia"/>
          <w:b/>
          <w:sz w:val="32"/>
        </w:rPr>
      </w:pPr>
    </w:p>
    <w:p>
      <w:pPr>
        <w:pStyle w:val="BodyText"/>
        <w:spacing w:before="5"/>
        <w:rPr>
          <w:rFonts w:ascii="Georgia"/>
          <w:b/>
          <w:sz w:val="45"/>
        </w:rPr>
      </w:pPr>
    </w:p>
    <w:p>
      <w:pPr>
        <w:pStyle w:val="BodyText"/>
        <w:spacing w:line="360" w:lineRule="auto"/>
        <w:ind w:left="817" w:right="103" w:firstLine="991"/>
        <w:jc w:val="both"/>
      </w:pPr>
      <w:r>
        <w:rPr/>
        <w:t>În conformitate cu articolul 73 din Constituția Republicii Moldova și articolul 47 din Regulamentul Parlamentului se înaintează cu titlu de inițiativă legislativă proiectul de lege cu privire la completarea Legii bugetului asigurărilor sociale de stat pe anul 2020 nr. 173/2019 nr. 393/1999 cu privire la Camera de Comerț și Industrie, publicată în Monitorul Oficial al Republicii  Moldova,1999, nr.73 – 77,</w:t>
      </w:r>
      <w:r>
        <w:rPr>
          <w:spacing w:val="-3"/>
        </w:rPr>
        <w:t> </w:t>
      </w:r>
      <w:r>
        <w:rPr/>
        <w:t>art.343.</w:t>
      </w:r>
    </w:p>
    <w:p>
      <w:pPr>
        <w:pStyle w:val="BodyText"/>
        <w:spacing w:before="10"/>
        <w:rPr>
          <w:sz w:val="41"/>
        </w:rPr>
      </w:pPr>
    </w:p>
    <w:p>
      <w:pPr>
        <w:pStyle w:val="Heading1"/>
        <w:spacing w:line="360" w:lineRule="auto"/>
        <w:ind w:left="1235" w:right="6484" w:hanging="1"/>
      </w:pPr>
      <w:r>
        <w:rPr/>
        <w:t>Deputat în Parlamentul Republicii Moldova</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3"/>
        </w:rPr>
      </w:pPr>
      <w:r>
        <w:rPr/>
        <w:pict>
          <v:line style="position:absolute;mso-position-horizontal-relative:page;mso-position-vertical-relative:paragraph;z-index:-1024;mso-wrap-distance-left:0;mso-wrap-distance-right:0" from="85.849998pt,16.077696pt" to="536.599998pt,16.077696pt" stroked="true" strokeweight=".75pt" strokecolor="#7e7e7e">
            <v:stroke dashstyle="solid"/>
            <w10:wrap type="topAndBottom"/>
          </v:line>
        </w:pict>
      </w:r>
    </w:p>
    <w:p>
      <w:pPr>
        <w:tabs>
          <w:tab w:pos="8519" w:val="left" w:leader="none"/>
        </w:tabs>
        <w:spacing w:before="155"/>
        <w:ind w:left="1104" w:right="0" w:firstLine="0"/>
        <w:jc w:val="left"/>
        <w:rPr>
          <w:rFonts w:ascii="Georgia" w:hAnsi="Georgia"/>
          <w:sz w:val="18"/>
        </w:rPr>
      </w:pPr>
      <w:r>
        <w:rPr>
          <w:rFonts w:ascii="Georgia" w:hAnsi="Georgia"/>
          <w:sz w:val="18"/>
        </w:rPr>
        <w:t>Republica Moldova,</w:t>
      </w:r>
      <w:r>
        <w:rPr>
          <w:rFonts w:ascii="Georgia" w:hAnsi="Georgia"/>
          <w:spacing w:val="-6"/>
          <w:sz w:val="18"/>
        </w:rPr>
        <w:t> </w:t>
      </w:r>
      <w:r>
        <w:rPr>
          <w:rFonts w:ascii="Georgia" w:hAnsi="Georgia"/>
          <w:sz w:val="18"/>
        </w:rPr>
        <w:t>MD-2004,</w:t>
      </w:r>
      <w:r>
        <w:rPr>
          <w:rFonts w:ascii="Georgia" w:hAnsi="Georgia"/>
          <w:spacing w:val="-5"/>
          <w:sz w:val="18"/>
        </w:rPr>
        <w:t> </w:t>
      </w:r>
      <w:r>
        <w:rPr>
          <w:rFonts w:ascii="Georgia" w:hAnsi="Georgia"/>
          <w:sz w:val="18"/>
        </w:rPr>
        <w:t>Chişinău</w:t>
        <w:tab/>
      </w:r>
      <w:hyperlink r:id="rId8">
        <w:r>
          <w:rPr>
            <w:rFonts w:ascii="Georgia" w:hAnsi="Georgia"/>
            <w:sz w:val="18"/>
          </w:rPr>
          <w:t>info@parlament.md</w:t>
        </w:r>
      </w:hyperlink>
    </w:p>
    <w:p>
      <w:pPr>
        <w:tabs>
          <w:tab w:pos="8553" w:val="left" w:leader="none"/>
        </w:tabs>
        <w:spacing w:before="31"/>
        <w:ind w:left="1104" w:right="0" w:firstLine="0"/>
        <w:jc w:val="left"/>
        <w:rPr>
          <w:rFonts w:ascii="Georgia" w:hAnsi="Georgia"/>
          <w:sz w:val="18"/>
        </w:rPr>
      </w:pPr>
      <w:r>
        <w:rPr>
          <w:rFonts w:ascii="Georgia" w:hAnsi="Georgia"/>
          <w:sz w:val="18"/>
        </w:rPr>
        <w:t>Bd. Ştefan cel Mare şi</w:t>
      </w:r>
      <w:r>
        <w:rPr>
          <w:rFonts w:ascii="Georgia" w:hAnsi="Georgia"/>
          <w:spacing w:val="-9"/>
          <w:sz w:val="18"/>
        </w:rPr>
        <w:t> </w:t>
      </w:r>
      <w:r>
        <w:rPr>
          <w:rFonts w:ascii="Georgia" w:hAnsi="Georgia"/>
          <w:sz w:val="18"/>
        </w:rPr>
        <w:t>Sfânt 105</w:t>
        <w:tab/>
      </w:r>
      <w:hyperlink r:id="rId9">
        <w:r>
          <w:rPr>
            <w:rFonts w:ascii="Georgia" w:hAnsi="Georgia"/>
            <w:sz w:val="18"/>
          </w:rPr>
          <w:t>www.parlament.md</w:t>
        </w:r>
      </w:hyperlink>
    </w:p>
    <w:p>
      <w:pPr>
        <w:spacing w:after="0"/>
        <w:jc w:val="left"/>
        <w:rPr>
          <w:rFonts w:ascii="Georgia" w:hAnsi="Georgia"/>
          <w:sz w:val="18"/>
        </w:rPr>
        <w:sectPr>
          <w:type w:val="continuous"/>
          <w:pgSz w:w="11910" w:h="16840"/>
          <w:pgMar w:top="260" w:bottom="280" w:left="600" w:right="740"/>
        </w:sectPr>
      </w:pPr>
    </w:p>
    <w:p>
      <w:pPr>
        <w:spacing w:before="74"/>
        <w:ind w:left="0" w:right="108" w:firstLine="0"/>
        <w:jc w:val="right"/>
        <w:rPr>
          <w:i/>
          <w:sz w:val="28"/>
        </w:rPr>
      </w:pPr>
      <w:bookmarkStart w:name="29 Modificarea Legii BAS 2020" w:id="2"/>
      <w:bookmarkEnd w:id="2"/>
      <w:r>
        <w:rPr/>
      </w:r>
      <w:r>
        <w:rPr>
          <w:i/>
          <w:sz w:val="28"/>
        </w:rPr>
        <w:t>Proiect</w:t>
      </w:r>
    </w:p>
    <w:p>
      <w:pPr>
        <w:pStyle w:val="BodyText"/>
        <w:rPr>
          <w:i/>
          <w:sz w:val="20"/>
        </w:rPr>
      </w:pPr>
    </w:p>
    <w:p>
      <w:pPr>
        <w:pStyle w:val="BodyText"/>
        <w:spacing w:before="5"/>
        <w:rPr>
          <w:i/>
        </w:rPr>
      </w:pPr>
    </w:p>
    <w:p>
      <w:pPr>
        <w:pStyle w:val="Heading1"/>
        <w:spacing w:before="89"/>
        <w:ind w:left="1160" w:right="178"/>
        <w:jc w:val="center"/>
      </w:pPr>
      <w:r>
        <w:rPr/>
        <w:t>PARLAMENTUL REPUBLICII MOLDOVA</w:t>
      </w:r>
    </w:p>
    <w:p>
      <w:pPr>
        <w:pStyle w:val="BodyText"/>
        <w:spacing w:before="10"/>
        <w:rPr>
          <w:b/>
          <w:sz w:val="27"/>
        </w:rPr>
      </w:pPr>
    </w:p>
    <w:p>
      <w:pPr>
        <w:spacing w:line="322" w:lineRule="exact" w:before="0"/>
        <w:ind w:left="1314" w:right="173" w:firstLine="0"/>
        <w:jc w:val="center"/>
        <w:rPr>
          <w:b/>
          <w:sz w:val="28"/>
        </w:rPr>
      </w:pPr>
      <w:r>
        <w:rPr>
          <w:b/>
          <w:sz w:val="28"/>
        </w:rPr>
        <w:t>L E G E</w:t>
      </w:r>
    </w:p>
    <w:p>
      <w:pPr>
        <w:spacing w:before="0"/>
        <w:ind w:left="1314" w:right="178" w:firstLine="0"/>
        <w:jc w:val="center"/>
        <w:rPr>
          <w:b/>
          <w:sz w:val="28"/>
        </w:rPr>
      </w:pPr>
      <w:r>
        <w:rPr>
          <w:b/>
          <w:sz w:val="28"/>
        </w:rPr>
        <w:t>pentru completarea Legii bugetului asigurărilor sociale de stat pe anul 2020</w:t>
      </w:r>
    </w:p>
    <w:p>
      <w:pPr>
        <w:spacing w:before="2"/>
        <w:ind w:left="596" w:right="178" w:firstLine="0"/>
        <w:jc w:val="center"/>
        <w:rPr>
          <w:b/>
          <w:sz w:val="28"/>
        </w:rPr>
      </w:pPr>
      <w:r>
        <w:rPr>
          <w:b/>
          <w:sz w:val="28"/>
        </w:rPr>
        <w:t>nr. 173/2019</w:t>
      </w:r>
    </w:p>
    <w:p>
      <w:pPr>
        <w:pStyle w:val="BodyText"/>
        <w:spacing w:before="11"/>
        <w:rPr>
          <w:b/>
          <w:sz w:val="27"/>
        </w:rPr>
      </w:pPr>
    </w:p>
    <w:p>
      <w:pPr>
        <w:spacing w:before="0"/>
        <w:ind w:left="1099" w:right="0" w:firstLine="0"/>
        <w:jc w:val="left"/>
        <w:rPr>
          <w:i/>
          <w:sz w:val="28"/>
        </w:rPr>
      </w:pPr>
      <w:r>
        <w:rPr>
          <w:i/>
          <w:sz w:val="28"/>
        </w:rPr>
        <w:t>Parlamentul adoptă prezenta lege organică.</w:t>
      </w:r>
    </w:p>
    <w:p>
      <w:pPr>
        <w:pStyle w:val="BodyText"/>
        <w:spacing w:before="10"/>
        <w:rPr>
          <w:i/>
          <w:sz w:val="27"/>
        </w:rPr>
      </w:pPr>
    </w:p>
    <w:p>
      <w:pPr>
        <w:pStyle w:val="BodyText"/>
        <w:spacing w:before="1"/>
        <w:ind w:left="532" w:right="107" w:firstLine="566"/>
        <w:jc w:val="both"/>
      </w:pPr>
      <w:r>
        <w:rPr>
          <w:b/>
        </w:rPr>
        <w:t>Art. I. - </w:t>
      </w:r>
      <w:r>
        <w:rPr/>
        <w:t>La art. 7, după alineatul (3) din Legea bugetului asigurărilor sociale de stat pe anul 2020 nr. 173/2019 (Monitorul Oficial al Republicii Moldova, 2019, nr. 393- 399/323 din 27.12.2019), cu modificările ulterioare, se va completa cu un nou aliniat cu următorul conținut, după cum urmează:</w:t>
      </w:r>
    </w:p>
    <w:p>
      <w:pPr>
        <w:pStyle w:val="BodyText"/>
      </w:pPr>
    </w:p>
    <w:p>
      <w:pPr>
        <w:pStyle w:val="BodyText"/>
        <w:ind w:left="532" w:right="107" w:firstLine="566"/>
        <w:jc w:val="both"/>
      </w:pPr>
      <w:r>
        <w:rPr/>
        <w:t>“ (3¹) Pentru agenții economici care și-au sistat total sau parțial activitatea în conformitate cu deciziile Comisiei naționale extraordinare de sănătate publică şi/sau cu dispozițiile Comisiei pentru Situații Excepționale a Republicii Moldova, penalitatea la achitarea contribuțiilor de asigurări sociale de stat obligatorii datorate de angajator, a contribuțiilor individuale de asigurări sociale de stat obligatorii nu va fi calculată până  la 1 decembrie</w:t>
      </w:r>
      <w:r>
        <w:rPr>
          <w:spacing w:val="-6"/>
        </w:rPr>
        <w:t> </w:t>
      </w:r>
      <w:r>
        <w:rPr/>
        <w:t>2020.”</w:t>
      </w:r>
    </w:p>
    <w:p>
      <w:pPr>
        <w:pStyle w:val="BodyText"/>
      </w:pPr>
    </w:p>
    <w:p>
      <w:pPr>
        <w:pStyle w:val="BodyText"/>
        <w:ind w:left="1099"/>
      </w:pPr>
      <w:r>
        <w:rPr>
          <w:b/>
        </w:rPr>
        <w:t>Art. II. - </w:t>
      </w:r>
      <w:r>
        <w:rPr/>
        <w:t>(1) Prezenta lege intră în vigoare la data publicării.</w:t>
      </w:r>
    </w:p>
    <w:p>
      <w:pPr>
        <w:pStyle w:val="BodyText"/>
        <w:spacing w:before="11"/>
        <w:rPr>
          <w:sz w:val="27"/>
        </w:rPr>
      </w:pPr>
    </w:p>
    <w:p>
      <w:pPr>
        <w:pStyle w:val="BodyText"/>
        <w:spacing w:line="242" w:lineRule="auto"/>
        <w:ind w:left="532" w:right="108" w:firstLine="566"/>
        <w:jc w:val="both"/>
      </w:pPr>
      <w:r>
        <w:rPr/>
        <w:t>(2) Guvernul în termen de 2 luni de la data publicării prezentei legi, va aduce  actele sale normative în concordanță cu</w:t>
      </w:r>
      <w:r>
        <w:rPr>
          <w:spacing w:val="-9"/>
        </w:rPr>
        <w:t> </w:t>
      </w:r>
      <w:r>
        <w:rPr/>
        <w:t>aceasta.</w:t>
      </w:r>
    </w:p>
    <w:p>
      <w:pPr>
        <w:pStyle w:val="BodyText"/>
        <w:rPr>
          <w:sz w:val="30"/>
        </w:rPr>
      </w:pPr>
    </w:p>
    <w:p>
      <w:pPr>
        <w:pStyle w:val="Heading1"/>
        <w:spacing w:before="202"/>
        <w:ind w:left="1104"/>
      </w:pPr>
      <w:r>
        <w:rPr/>
        <w:t>PREŞEDINTELE PARLAMENTULUI</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16"/>
        </w:rPr>
      </w:pPr>
    </w:p>
    <w:p>
      <w:pPr>
        <w:spacing w:before="91"/>
        <w:ind w:left="1139" w:right="0" w:firstLine="0"/>
        <w:jc w:val="center"/>
        <w:rPr>
          <w:sz w:val="20"/>
        </w:rPr>
      </w:pPr>
      <w:r>
        <w:rPr>
          <w:w w:val="99"/>
          <w:sz w:val="20"/>
        </w:rPr>
        <w:t>1</w:t>
      </w:r>
    </w:p>
    <w:p>
      <w:pPr>
        <w:spacing w:after="0"/>
        <w:jc w:val="center"/>
        <w:rPr>
          <w:sz w:val="20"/>
        </w:rPr>
        <w:sectPr>
          <w:pgSz w:w="11910" w:h="16840"/>
          <w:pgMar w:top="1040" w:bottom="280" w:left="600" w:right="740"/>
        </w:sectPr>
      </w:pPr>
    </w:p>
    <w:p>
      <w:pPr>
        <w:pStyle w:val="Heading1"/>
        <w:spacing w:before="74"/>
        <w:ind w:left="4164"/>
      </w:pPr>
      <w:bookmarkStart w:name="29 Nota info BAS 2020" w:id="3"/>
      <w:bookmarkEnd w:id="3"/>
      <w:r>
        <w:rPr>
          <w:b w:val="0"/>
        </w:rPr>
      </w:r>
      <w:r>
        <w:rPr/>
        <w:t>NOTA INFORMATIVĂ</w:t>
      </w:r>
    </w:p>
    <w:p>
      <w:pPr>
        <w:spacing w:line="322" w:lineRule="exact" w:before="2"/>
        <w:ind w:left="3264" w:right="0" w:firstLine="0"/>
        <w:jc w:val="left"/>
        <w:rPr>
          <w:b/>
          <w:sz w:val="28"/>
        </w:rPr>
      </w:pPr>
      <w:r>
        <w:rPr>
          <w:b/>
          <w:sz w:val="28"/>
        </w:rPr>
        <w:t>la proiectul de lege pentru completarea</w:t>
      </w:r>
    </w:p>
    <w:p>
      <w:pPr>
        <w:spacing w:before="0"/>
        <w:ind w:left="892" w:right="180" w:hanging="2"/>
        <w:jc w:val="center"/>
        <w:rPr>
          <w:b/>
          <w:sz w:val="28"/>
        </w:rPr>
      </w:pPr>
      <w:r>
        <w:rPr>
          <w:b/>
          <w:sz w:val="28"/>
        </w:rPr>
        <w:t>Legii bugetului asigurărilor sociale de stat pe anul 2020 nr. 173/2019 (Monitorul Oficial al Republicii Moldova, 2019, nr. 393-399/323 din</w:t>
      </w:r>
      <w:r>
        <w:rPr>
          <w:b/>
          <w:spacing w:val="-34"/>
          <w:sz w:val="28"/>
        </w:rPr>
        <w:t> </w:t>
      </w:r>
      <w:r>
        <w:rPr>
          <w:b/>
          <w:sz w:val="28"/>
        </w:rPr>
        <w:t>27.12.2019)</w:t>
      </w:r>
    </w:p>
    <w:p>
      <w:pPr>
        <w:pStyle w:val="BodyText"/>
        <w:spacing w:before="10"/>
        <w:rPr>
          <w:b/>
          <w:sz w:val="27"/>
        </w:rPr>
      </w:pPr>
    </w:p>
    <w:p>
      <w:pPr>
        <w:pStyle w:val="BodyText"/>
        <w:tabs>
          <w:tab w:pos="1149" w:val="left" w:leader="none"/>
          <w:tab w:pos="2073" w:val="left" w:leader="none"/>
          <w:tab w:pos="2219" w:val="left" w:leader="none"/>
          <w:tab w:pos="3707" w:val="left" w:leader="none"/>
          <w:tab w:pos="4232" w:val="left" w:leader="none"/>
          <w:tab w:pos="5171" w:val="left" w:leader="none"/>
          <w:tab w:pos="5502" w:val="left" w:leader="none"/>
          <w:tab w:pos="6128" w:val="left" w:leader="none"/>
          <w:tab w:pos="6246" w:val="left" w:leader="none"/>
          <w:tab w:pos="6553" w:val="left" w:leader="none"/>
          <w:tab w:pos="6955" w:val="left" w:leader="none"/>
          <w:tab w:pos="7316" w:val="left" w:leader="none"/>
          <w:tab w:pos="8084" w:val="left" w:leader="none"/>
          <w:tab w:pos="8159" w:val="left" w:leader="none"/>
          <w:tab w:pos="9116" w:val="left" w:leader="none"/>
          <w:tab w:pos="9431" w:val="left" w:leader="none"/>
          <w:tab w:pos="10194" w:val="left" w:leader="none"/>
        </w:tabs>
        <w:spacing w:line="360" w:lineRule="auto"/>
        <w:ind w:left="818" w:right="105" w:firstLine="708"/>
        <w:jc w:val="right"/>
      </w:pPr>
      <w:r>
        <w:rPr>
          <w:b/>
        </w:rPr>
        <w:t>Condițiile ce au impus elaborarea proiectului de act normativ</w:t>
      </w:r>
      <w:r>
        <w:rPr>
          <w:b/>
          <w:spacing w:val="-10"/>
        </w:rPr>
        <w:t> </w:t>
      </w:r>
      <w:r>
        <w:rPr>
          <w:b/>
        </w:rPr>
        <w:t>și finalitățile</w:t>
      </w:r>
      <w:r>
        <w:rPr>
          <w:b/>
          <w:w w:val="100"/>
        </w:rPr>
        <w:t> </w:t>
      </w:r>
      <w:r>
        <w:rPr>
          <w:b/>
        </w:rPr>
        <w:t>urmărite.</w:t>
        <w:tab/>
        <w:tab/>
      </w:r>
      <w:r>
        <w:rPr/>
        <w:t>Restricțiile</w:t>
        <w:tab/>
        <w:t>pandemice</w:t>
        <w:tab/>
        <w:t>impuse</w:t>
        <w:tab/>
        <w:tab/>
        <w:t>prin</w:t>
        <w:tab/>
        <w:t>deciziile</w:t>
        <w:tab/>
        <w:tab/>
        <w:t>Comisiei</w:t>
        <w:tab/>
      </w:r>
      <w:r>
        <w:rPr>
          <w:spacing w:val="-1"/>
        </w:rPr>
        <w:t>naționale </w:t>
      </w:r>
      <w:r>
        <w:rPr/>
        <w:t>extraordinare de sănătate publică şi/sau cu dispozițiile</w:t>
      </w:r>
      <w:r>
        <w:rPr>
          <w:spacing w:val="23"/>
        </w:rPr>
        <w:t> </w:t>
      </w:r>
      <w:r>
        <w:rPr/>
        <w:t>Comisiei pentru</w:t>
      </w:r>
      <w:r>
        <w:rPr>
          <w:spacing w:val="22"/>
        </w:rPr>
        <w:t> </w:t>
      </w:r>
      <w:r>
        <w:rPr/>
        <w:t>Situații</w:t>
      </w:r>
      <w:r>
        <w:rPr>
          <w:w w:val="100"/>
        </w:rPr>
        <w:t> </w:t>
      </w:r>
      <w:r>
        <w:rPr/>
        <w:t>Excepționale a Republicii Moldova, au generat sistarea activității</w:t>
      </w:r>
      <w:r>
        <w:rPr>
          <w:spacing w:val="17"/>
        </w:rPr>
        <w:t> </w:t>
      </w:r>
      <w:r>
        <w:rPr/>
        <w:t>pentru</w:t>
      </w:r>
      <w:r>
        <w:rPr>
          <w:spacing w:val="21"/>
        </w:rPr>
        <w:t> </w:t>
      </w:r>
      <w:r>
        <w:rPr/>
        <w:t>multe</w:t>
      </w:r>
      <w:r>
        <w:rPr>
          <w:w w:val="100"/>
        </w:rPr>
        <w:t> </w:t>
      </w:r>
      <w:r>
        <w:rPr/>
        <w:t>întreprinderi, în special cele aferente businessului mic și mijloci. Capacitatea</w:t>
      </w:r>
      <w:r>
        <w:rPr>
          <w:spacing w:val="46"/>
        </w:rPr>
        <w:t> </w:t>
      </w:r>
      <w:r>
        <w:rPr/>
        <w:t>de</w:t>
      </w:r>
      <w:r>
        <w:rPr>
          <w:spacing w:val="4"/>
        </w:rPr>
        <w:t> </w:t>
      </w:r>
      <w:r>
        <w:rPr/>
        <w:t>plată</w:t>
      </w:r>
      <w:r>
        <w:rPr>
          <w:spacing w:val="1"/>
          <w:w w:val="100"/>
        </w:rPr>
        <w:t> </w:t>
      </w:r>
      <w:r>
        <w:rPr/>
        <w:t>a</w:t>
        <w:tab/>
        <w:t>contribuțiilor/impunerilor</w:t>
        <w:tab/>
        <w:t>fiscale</w:t>
        <w:tab/>
        <w:t>a</w:t>
        <w:tab/>
        <w:t>fost</w:t>
        <w:tab/>
        <w:t>în</w:t>
        <w:tab/>
        <w:t>mare</w:t>
        <w:tab/>
        <w:t>parte</w:t>
        <w:tab/>
        <w:t>negativ</w:t>
        <w:tab/>
        <w:t>afectată</w:t>
        <w:tab/>
      </w:r>
      <w:r>
        <w:rPr>
          <w:spacing w:val="-13"/>
        </w:rPr>
        <w:t>de</w:t>
      </w:r>
      <w:r>
        <w:rPr>
          <w:w w:val="100"/>
        </w:rPr>
        <w:t> </w:t>
      </w:r>
      <w:r>
        <w:rPr/>
        <w:t>multitudinea</w:t>
      </w:r>
      <w:r>
        <w:rPr>
          <w:spacing w:val="39"/>
        </w:rPr>
        <w:t> </w:t>
      </w:r>
      <w:r>
        <w:rPr/>
        <w:t>de</w:t>
      </w:r>
      <w:r>
        <w:rPr>
          <w:spacing w:val="39"/>
        </w:rPr>
        <w:t> </w:t>
      </w:r>
      <w:r>
        <w:rPr/>
        <w:t>factori</w:t>
      </w:r>
      <w:r>
        <w:rPr>
          <w:spacing w:val="41"/>
        </w:rPr>
        <w:t> </w:t>
      </w:r>
      <w:r>
        <w:rPr/>
        <w:t>de</w:t>
      </w:r>
      <w:r>
        <w:rPr>
          <w:spacing w:val="39"/>
        </w:rPr>
        <w:t> </w:t>
      </w:r>
      <w:r>
        <w:rPr/>
        <w:t>criză,</w:t>
      </w:r>
      <w:r>
        <w:rPr>
          <w:spacing w:val="39"/>
        </w:rPr>
        <w:t> </w:t>
      </w:r>
      <w:r>
        <w:rPr/>
        <w:t>atât</w:t>
      </w:r>
      <w:r>
        <w:rPr>
          <w:spacing w:val="40"/>
        </w:rPr>
        <w:t> </w:t>
      </w:r>
      <w:r>
        <w:rPr/>
        <w:t>pandemică,</w:t>
      </w:r>
      <w:r>
        <w:rPr>
          <w:spacing w:val="39"/>
        </w:rPr>
        <w:t> </w:t>
      </w:r>
      <w:r>
        <w:rPr/>
        <w:t>cât</w:t>
      </w:r>
      <w:r>
        <w:rPr>
          <w:spacing w:val="40"/>
        </w:rPr>
        <w:t> </w:t>
      </w:r>
      <w:r>
        <w:rPr/>
        <w:t>și</w:t>
      </w:r>
      <w:r>
        <w:rPr>
          <w:spacing w:val="41"/>
        </w:rPr>
        <w:t> </w:t>
      </w:r>
      <w:r>
        <w:rPr/>
        <w:t>economico</w:t>
      </w:r>
      <w:r>
        <w:rPr>
          <w:spacing w:val="41"/>
        </w:rPr>
        <w:t> </w:t>
      </w:r>
      <w:r>
        <w:rPr/>
        <w:t>-</w:t>
      </w:r>
      <w:r>
        <w:rPr>
          <w:spacing w:val="40"/>
        </w:rPr>
        <w:t> </w:t>
      </w:r>
      <w:r>
        <w:rPr/>
        <w:t>financiară.</w:t>
      </w:r>
      <w:r>
        <w:rPr>
          <w:spacing w:val="39"/>
        </w:rPr>
        <w:t> </w:t>
      </w:r>
      <w:r>
        <w:rPr/>
        <w:t>Or</w:t>
      </w:r>
      <w:r>
        <w:rPr>
          <w:spacing w:val="-2"/>
          <w:w w:val="100"/>
        </w:rPr>
        <w:t> </w:t>
      </w:r>
      <w:r>
        <w:rPr/>
        <w:t>plata</w:t>
      </w:r>
      <w:r>
        <w:rPr>
          <w:spacing w:val="48"/>
        </w:rPr>
        <w:t> </w:t>
      </w:r>
      <w:r>
        <w:rPr/>
        <w:t>penalităților</w:t>
      </w:r>
      <w:r>
        <w:rPr>
          <w:spacing w:val="48"/>
        </w:rPr>
        <w:t> </w:t>
      </w:r>
      <w:r>
        <w:rPr/>
        <w:t>la</w:t>
      </w:r>
      <w:r>
        <w:rPr>
          <w:spacing w:val="46"/>
        </w:rPr>
        <w:t> </w:t>
      </w:r>
      <w:r>
        <w:rPr/>
        <w:t>achitarea</w:t>
      </w:r>
      <w:r>
        <w:rPr>
          <w:spacing w:val="48"/>
        </w:rPr>
        <w:t> </w:t>
      </w:r>
      <w:r>
        <w:rPr/>
        <w:t>contribuțiilor</w:t>
      </w:r>
      <w:r>
        <w:rPr>
          <w:spacing w:val="46"/>
        </w:rPr>
        <w:t> </w:t>
      </w:r>
      <w:r>
        <w:rPr/>
        <w:t>de</w:t>
      </w:r>
      <w:r>
        <w:rPr>
          <w:spacing w:val="49"/>
        </w:rPr>
        <w:t> </w:t>
      </w:r>
      <w:r>
        <w:rPr/>
        <w:t>asigurări</w:t>
      </w:r>
      <w:r>
        <w:rPr>
          <w:spacing w:val="49"/>
        </w:rPr>
        <w:t> </w:t>
      </w:r>
      <w:r>
        <w:rPr/>
        <w:t>sociale</w:t>
      </w:r>
      <w:r>
        <w:rPr>
          <w:spacing w:val="49"/>
        </w:rPr>
        <w:t> </w:t>
      </w:r>
      <w:r>
        <w:rPr/>
        <w:t>de</w:t>
      </w:r>
      <w:r>
        <w:rPr>
          <w:spacing w:val="46"/>
        </w:rPr>
        <w:t> </w:t>
      </w:r>
      <w:r>
        <w:rPr/>
        <w:t>stat</w:t>
      </w:r>
      <w:r>
        <w:rPr>
          <w:spacing w:val="50"/>
        </w:rPr>
        <w:t> </w:t>
      </w:r>
      <w:r>
        <w:rPr/>
        <w:t>obligatorii</w:t>
      </w:r>
      <w:r>
        <w:rPr>
          <w:w w:val="100"/>
        </w:rPr>
        <w:t> </w:t>
      </w:r>
      <w:r>
        <w:rPr/>
        <w:t>datorate</w:t>
      </w:r>
      <w:r>
        <w:rPr>
          <w:spacing w:val="38"/>
        </w:rPr>
        <w:t> </w:t>
      </w:r>
      <w:r>
        <w:rPr/>
        <w:t>de</w:t>
      </w:r>
      <w:r>
        <w:rPr>
          <w:spacing w:val="40"/>
        </w:rPr>
        <w:t> </w:t>
      </w:r>
      <w:r>
        <w:rPr/>
        <w:t>angajator,</w:t>
      </w:r>
      <w:r>
        <w:rPr>
          <w:spacing w:val="39"/>
        </w:rPr>
        <w:t> </w:t>
      </w:r>
      <w:r>
        <w:rPr/>
        <w:t>a</w:t>
      </w:r>
      <w:r>
        <w:rPr>
          <w:spacing w:val="40"/>
        </w:rPr>
        <w:t> </w:t>
      </w:r>
      <w:r>
        <w:rPr/>
        <w:t>contribuțiilor</w:t>
      </w:r>
      <w:r>
        <w:rPr>
          <w:spacing w:val="38"/>
        </w:rPr>
        <w:t> </w:t>
      </w:r>
      <w:r>
        <w:rPr/>
        <w:t>individuale</w:t>
      </w:r>
      <w:r>
        <w:rPr>
          <w:spacing w:val="38"/>
        </w:rPr>
        <w:t> </w:t>
      </w:r>
      <w:r>
        <w:rPr/>
        <w:t>de</w:t>
      </w:r>
      <w:r>
        <w:rPr>
          <w:spacing w:val="40"/>
        </w:rPr>
        <w:t> </w:t>
      </w:r>
      <w:r>
        <w:rPr/>
        <w:t>asigurări</w:t>
      </w:r>
      <w:r>
        <w:rPr>
          <w:spacing w:val="41"/>
        </w:rPr>
        <w:t> </w:t>
      </w:r>
      <w:r>
        <w:rPr/>
        <w:t>sociale</w:t>
      </w:r>
      <w:r>
        <w:rPr>
          <w:spacing w:val="40"/>
        </w:rPr>
        <w:t> </w:t>
      </w:r>
      <w:r>
        <w:rPr/>
        <w:t>de</w:t>
      </w:r>
      <w:r>
        <w:rPr>
          <w:spacing w:val="40"/>
        </w:rPr>
        <w:t> </w:t>
      </w:r>
      <w:r>
        <w:rPr/>
        <w:t>stat</w:t>
      </w:r>
      <w:r>
        <w:rPr>
          <w:w w:val="100"/>
        </w:rPr>
        <w:t> </w:t>
      </w:r>
      <w:r>
        <w:rPr/>
        <w:t>obligatorii pentru</w:t>
      </w:r>
      <w:r>
        <w:rPr>
          <w:spacing w:val="37"/>
        </w:rPr>
        <w:t> </w:t>
      </w:r>
      <w:r>
        <w:rPr/>
        <w:t>această perioadă de criză reprezintă o povară suplimentară</w:t>
      </w:r>
      <w:r>
        <w:rPr>
          <w:spacing w:val="17"/>
        </w:rPr>
        <w:t> </w:t>
      </w:r>
      <w:r>
        <w:rPr/>
        <w:t>pentru</w:t>
      </w:r>
      <w:r>
        <w:rPr>
          <w:w w:val="100"/>
        </w:rPr>
        <w:t> </w:t>
      </w:r>
      <w:r>
        <w:rPr/>
        <w:t>agenții economici, ce urmează să le afecteze situația financiară destul</w:t>
      </w:r>
      <w:r>
        <w:rPr>
          <w:spacing w:val="-20"/>
        </w:rPr>
        <w:t> </w:t>
      </w:r>
      <w:r>
        <w:rPr/>
        <w:t>de</w:t>
      </w:r>
      <w:r>
        <w:rPr>
          <w:spacing w:val="-4"/>
        </w:rPr>
        <w:t> </w:t>
      </w:r>
      <w:r>
        <w:rPr/>
        <w:t>semnificativ.</w:t>
      </w:r>
      <w:r>
        <w:rPr>
          <w:spacing w:val="1"/>
          <w:w w:val="100"/>
        </w:rPr>
        <w:t> </w:t>
      </w:r>
      <w:r>
        <w:rPr/>
        <w:t>În </w:t>
      </w:r>
      <w:r>
        <w:rPr>
          <w:spacing w:val="12"/>
        </w:rPr>
        <w:t> </w:t>
      </w:r>
      <w:r>
        <w:rPr/>
        <w:t>acest</w:t>
        <w:tab/>
        <w:t>context ne propunem ca prin completarea articolului 7</w:t>
      </w:r>
      <w:r>
        <w:rPr>
          <w:spacing w:val="14"/>
        </w:rPr>
        <w:t> </w:t>
      </w:r>
      <w:r>
        <w:rPr/>
        <w:t>a</w:t>
      </w:r>
      <w:r>
        <w:rPr>
          <w:spacing w:val="12"/>
        </w:rPr>
        <w:t> </w:t>
      </w:r>
      <w:r>
        <w:rPr/>
        <w:t>Legii</w:t>
      </w:r>
      <w:r>
        <w:rPr>
          <w:w w:val="100"/>
        </w:rPr>
        <w:t> </w:t>
      </w:r>
      <w:r>
        <w:rPr/>
        <w:t>bugetului</w:t>
      </w:r>
      <w:r>
        <w:rPr>
          <w:spacing w:val="58"/>
        </w:rPr>
        <w:t> </w:t>
      </w:r>
      <w:r>
        <w:rPr/>
        <w:t>asigurărilor</w:t>
      </w:r>
      <w:r>
        <w:rPr>
          <w:spacing w:val="61"/>
        </w:rPr>
        <w:t> </w:t>
      </w:r>
      <w:r>
        <w:rPr/>
        <w:t>sociale</w:t>
      </w:r>
      <w:r>
        <w:rPr>
          <w:spacing w:val="61"/>
        </w:rPr>
        <w:t> </w:t>
      </w:r>
      <w:r>
        <w:rPr/>
        <w:t>de</w:t>
      </w:r>
      <w:r>
        <w:rPr>
          <w:spacing w:val="58"/>
        </w:rPr>
        <w:t> </w:t>
      </w:r>
      <w:r>
        <w:rPr/>
        <w:t>stat</w:t>
      </w:r>
      <w:r>
        <w:rPr>
          <w:spacing w:val="59"/>
        </w:rPr>
        <w:t> </w:t>
      </w:r>
      <w:r>
        <w:rPr/>
        <w:t>pe</w:t>
      </w:r>
      <w:r>
        <w:rPr>
          <w:spacing w:val="58"/>
        </w:rPr>
        <w:t> </w:t>
      </w:r>
      <w:r>
        <w:rPr/>
        <w:t>anul</w:t>
      </w:r>
      <w:r>
        <w:rPr>
          <w:spacing w:val="58"/>
        </w:rPr>
        <w:t> </w:t>
      </w:r>
      <w:r>
        <w:rPr/>
        <w:t>2020</w:t>
      </w:r>
      <w:r>
        <w:rPr>
          <w:spacing w:val="59"/>
        </w:rPr>
        <w:t> </w:t>
      </w:r>
      <w:r>
        <w:rPr/>
        <w:t>nr.</w:t>
      </w:r>
      <w:r>
        <w:rPr>
          <w:spacing w:val="58"/>
        </w:rPr>
        <w:t> </w:t>
      </w:r>
      <w:r>
        <w:rPr/>
        <w:t>173/2019</w:t>
      </w:r>
      <w:r>
        <w:rPr>
          <w:spacing w:val="60"/>
        </w:rPr>
        <w:t> </w:t>
      </w:r>
      <w:r>
        <w:rPr/>
        <w:t>să</w:t>
      </w:r>
      <w:r>
        <w:rPr>
          <w:spacing w:val="58"/>
        </w:rPr>
        <w:t> </w:t>
      </w:r>
      <w:r>
        <w:rPr/>
        <w:t>fie</w:t>
      </w:r>
      <w:r>
        <w:rPr>
          <w:spacing w:val="58"/>
        </w:rPr>
        <w:t> </w:t>
      </w:r>
      <w:r>
        <w:rPr/>
        <w:t>prevăzută</w:t>
      </w:r>
      <w:r>
        <w:rPr>
          <w:w w:val="100"/>
        </w:rPr>
        <w:t> </w:t>
      </w:r>
      <w:r>
        <w:rPr/>
        <w:t>anularea</w:t>
      </w:r>
      <w:r>
        <w:rPr>
          <w:spacing w:val="13"/>
        </w:rPr>
        <w:t> </w:t>
      </w:r>
      <w:r>
        <w:rPr/>
        <w:t>calculelor</w:t>
      </w:r>
      <w:r>
        <w:rPr>
          <w:spacing w:val="14"/>
        </w:rPr>
        <w:t> </w:t>
      </w:r>
      <w:r>
        <w:rPr/>
        <w:t>penalităților</w:t>
      </w:r>
      <w:r>
        <w:rPr>
          <w:spacing w:val="14"/>
        </w:rPr>
        <w:t> </w:t>
      </w:r>
      <w:r>
        <w:rPr/>
        <w:t>la</w:t>
      </w:r>
      <w:r>
        <w:rPr>
          <w:spacing w:val="14"/>
        </w:rPr>
        <w:t> </w:t>
      </w:r>
      <w:r>
        <w:rPr/>
        <w:t>achitarea</w:t>
      </w:r>
      <w:r>
        <w:rPr>
          <w:spacing w:val="14"/>
        </w:rPr>
        <w:t> </w:t>
      </w:r>
      <w:r>
        <w:rPr/>
        <w:t>contribuțiilor</w:t>
      </w:r>
      <w:r>
        <w:rPr>
          <w:spacing w:val="13"/>
        </w:rPr>
        <w:t> </w:t>
      </w:r>
      <w:r>
        <w:rPr/>
        <w:t>de</w:t>
      </w:r>
      <w:r>
        <w:rPr>
          <w:spacing w:val="14"/>
        </w:rPr>
        <w:t> </w:t>
      </w:r>
      <w:r>
        <w:rPr/>
        <w:t>asigurări</w:t>
      </w:r>
      <w:r>
        <w:rPr>
          <w:spacing w:val="14"/>
        </w:rPr>
        <w:t> </w:t>
      </w:r>
      <w:r>
        <w:rPr/>
        <w:t>sociale</w:t>
      </w:r>
      <w:r>
        <w:rPr>
          <w:spacing w:val="12"/>
        </w:rPr>
        <w:t> </w:t>
      </w:r>
      <w:r>
        <w:rPr/>
        <w:t>de</w:t>
      </w:r>
      <w:r>
        <w:rPr>
          <w:spacing w:val="14"/>
        </w:rPr>
        <w:t> </w:t>
      </w:r>
      <w:r>
        <w:rPr/>
        <w:t>stat</w:t>
      </w:r>
      <w:r>
        <w:rPr>
          <w:w w:val="100"/>
        </w:rPr>
        <w:t> </w:t>
      </w:r>
      <w:r>
        <w:rPr/>
        <w:t>obligatorii</w:t>
      </w:r>
      <w:r>
        <w:rPr>
          <w:spacing w:val="32"/>
        </w:rPr>
        <w:t> </w:t>
      </w:r>
      <w:r>
        <w:rPr/>
        <w:t>datorate</w:t>
      </w:r>
      <w:r>
        <w:rPr>
          <w:spacing w:val="31"/>
        </w:rPr>
        <w:t> </w:t>
      </w:r>
      <w:r>
        <w:rPr/>
        <w:t>de</w:t>
      </w:r>
      <w:r>
        <w:rPr>
          <w:spacing w:val="31"/>
        </w:rPr>
        <w:t> </w:t>
      </w:r>
      <w:r>
        <w:rPr/>
        <w:t>angajator,</w:t>
      </w:r>
      <w:r>
        <w:rPr>
          <w:spacing w:val="31"/>
        </w:rPr>
        <w:t> </w:t>
      </w:r>
      <w:r>
        <w:rPr/>
        <w:t>a</w:t>
      </w:r>
      <w:r>
        <w:rPr>
          <w:spacing w:val="31"/>
        </w:rPr>
        <w:t> </w:t>
      </w:r>
      <w:r>
        <w:rPr/>
        <w:t>contribuțiilor</w:t>
      </w:r>
      <w:r>
        <w:rPr>
          <w:spacing w:val="31"/>
        </w:rPr>
        <w:t> </w:t>
      </w:r>
      <w:r>
        <w:rPr/>
        <w:t>individuale</w:t>
      </w:r>
      <w:r>
        <w:rPr>
          <w:spacing w:val="31"/>
        </w:rPr>
        <w:t> </w:t>
      </w:r>
      <w:r>
        <w:rPr/>
        <w:t>de</w:t>
      </w:r>
      <w:r>
        <w:rPr>
          <w:spacing w:val="32"/>
        </w:rPr>
        <w:t> </w:t>
      </w:r>
      <w:r>
        <w:rPr/>
        <w:t>asigurări</w:t>
      </w:r>
      <w:r>
        <w:rPr>
          <w:spacing w:val="32"/>
        </w:rPr>
        <w:t> </w:t>
      </w:r>
      <w:r>
        <w:rPr/>
        <w:t>sociale</w:t>
      </w:r>
      <w:r>
        <w:rPr>
          <w:spacing w:val="31"/>
        </w:rPr>
        <w:t> </w:t>
      </w:r>
      <w:r>
        <w:rPr/>
        <w:t>de</w:t>
      </w:r>
    </w:p>
    <w:p>
      <w:pPr>
        <w:pStyle w:val="BodyText"/>
        <w:spacing w:before="1"/>
        <w:ind w:left="818"/>
      </w:pPr>
      <w:r>
        <w:rPr/>
        <w:t>stat obligatorii până la 1 decembrie 2020.”</w:t>
      </w:r>
    </w:p>
    <w:p>
      <w:pPr>
        <w:pStyle w:val="BodyText"/>
        <w:spacing w:line="360" w:lineRule="auto" w:before="161"/>
        <w:ind w:left="1029" w:right="102" w:firstLine="496"/>
        <w:jc w:val="both"/>
      </w:pPr>
      <w:r>
        <w:rPr>
          <w:b/>
        </w:rPr>
        <w:t>Principalele prevederi ale proiectului și evidențierea elementelor noi. </w:t>
      </w:r>
      <w:r>
        <w:rPr/>
        <w:t>Articolul I. al proiectului de lege prevede că, la art. 7, după alineatul (3) din Legea bugetului asigurărilor sociale de stat pe anul 2020 nr. 173/2019 (Monitorul Oficial al Republicii Moldova, 2019, nr. 393-399/323 din 27.12.2019), cu modificările ulterioare, se va completa cu un nou aliniat cu următorul conținut, după cum urmează: “ (3¹) Pentru agenții economici care și-au sistat total sau parțial  activitatea în conformitate cu deciziile Comisiei naționale extraordinare de sănătate publică şi/sau cu dispozițiile Comisiei pentru Situații Excepționale a Republicii Moldova, penalitatea la achitarea contribuțiilor de asigurări sociale de stat obligatorii</w:t>
      </w:r>
      <w:r>
        <w:rPr>
          <w:spacing w:val="10"/>
        </w:rPr>
        <w:t> </w:t>
      </w:r>
      <w:r>
        <w:rPr/>
        <w:t>datorate</w:t>
      </w:r>
      <w:r>
        <w:rPr>
          <w:spacing w:val="10"/>
        </w:rPr>
        <w:t> </w:t>
      </w:r>
      <w:r>
        <w:rPr/>
        <w:t>de</w:t>
      </w:r>
      <w:r>
        <w:rPr>
          <w:spacing w:val="13"/>
        </w:rPr>
        <w:t> </w:t>
      </w:r>
      <w:r>
        <w:rPr/>
        <w:t>angajator,</w:t>
      </w:r>
      <w:r>
        <w:rPr>
          <w:spacing w:val="11"/>
        </w:rPr>
        <w:t> </w:t>
      </w:r>
      <w:r>
        <w:rPr/>
        <w:t>a</w:t>
      </w:r>
      <w:r>
        <w:rPr>
          <w:spacing w:val="10"/>
        </w:rPr>
        <w:t> </w:t>
      </w:r>
      <w:r>
        <w:rPr/>
        <w:t>contribuțiilor</w:t>
      </w:r>
      <w:r>
        <w:rPr>
          <w:spacing w:val="10"/>
        </w:rPr>
        <w:t> </w:t>
      </w:r>
      <w:r>
        <w:rPr/>
        <w:t>individuale</w:t>
      </w:r>
      <w:r>
        <w:rPr>
          <w:spacing w:val="10"/>
        </w:rPr>
        <w:t> </w:t>
      </w:r>
      <w:r>
        <w:rPr/>
        <w:t>de</w:t>
      </w:r>
      <w:r>
        <w:rPr>
          <w:spacing w:val="9"/>
        </w:rPr>
        <w:t> </w:t>
      </w:r>
      <w:r>
        <w:rPr/>
        <w:t>asigurări</w:t>
      </w:r>
      <w:r>
        <w:rPr>
          <w:spacing w:val="11"/>
        </w:rPr>
        <w:t> </w:t>
      </w:r>
      <w:r>
        <w:rPr/>
        <w:t>sociale</w:t>
      </w:r>
      <w:r>
        <w:rPr>
          <w:spacing w:val="10"/>
        </w:rPr>
        <w:t> </w:t>
      </w:r>
      <w:r>
        <w:rPr/>
        <w:t>de</w:t>
      </w:r>
    </w:p>
    <w:p>
      <w:pPr>
        <w:pStyle w:val="BodyText"/>
        <w:spacing w:line="321" w:lineRule="exact"/>
        <w:ind w:left="1030"/>
      </w:pPr>
      <w:r>
        <w:rPr/>
        <w:t>stat obligatorii nu va fi calculată până la 1 decembrie 2020.”</w:t>
      </w:r>
    </w:p>
    <w:p>
      <w:pPr>
        <w:spacing w:after="0" w:line="321" w:lineRule="exact"/>
        <w:sectPr>
          <w:footerReference w:type="default" r:id="rId10"/>
          <w:pgSz w:w="11910" w:h="16840"/>
          <w:pgMar w:footer="937" w:header="0" w:top="1040" w:bottom="1120" w:left="600" w:right="740"/>
          <w:pgNumType w:start="1"/>
        </w:sectPr>
      </w:pPr>
    </w:p>
    <w:p>
      <w:pPr>
        <w:pStyle w:val="BodyText"/>
        <w:spacing w:line="360" w:lineRule="auto" w:before="59"/>
        <w:ind w:left="1029" w:right="105"/>
        <w:jc w:val="both"/>
      </w:pPr>
      <w:r>
        <w:rPr/>
        <w:t>La art. II. Al proiectului de lege este prevăzută data intrării în vigoare, respectiv  din data publicării, precum și termenul de 2 luni în care Guvernul de la data publicării prezentei legi, va aduce actele sale normative în concordanță cu</w:t>
      </w:r>
      <w:r>
        <w:rPr>
          <w:spacing w:val="-25"/>
        </w:rPr>
        <w:t> </w:t>
      </w:r>
      <w:r>
        <w:rPr/>
        <w:t>aceasta.</w:t>
      </w:r>
    </w:p>
    <w:p>
      <w:pPr>
        <w:spacing w:line="362" w:lineRule="auto" w:before="0"/>
        <w:ind w:left="817" w:right="95" w:firstLine="708"/>
        <w:jc w:val="left"/>
        <w:rPr>
          <w:sz w:val="28"/>
        </w:rPr>
      </w:pPr>
      <w:r>
        <w:rPr>
          <w:b/>
          <w:sz w:val="28"/>
        </w:rPr>
        <w:t>Fundamentarea economico-financiară. </w:t>
      </w:r>
      <w:r>
        <w:rPr>
          <w:sz w:val="28"/>
        </w:rPr>
        <w:t>Implementarea prevederilor acestui proiect nu necesită cheltuieli bugetare suplimentare.</w:t>
      </w:r>
    </w:p>
    <w:p>
      <w:pPr>
        <w:spacing w:line="317" w:lineRule="exact" w:before="0"/>
        <w:ind w:left="1595" w:right="0" w:firstLine="0"/>
        <w:jc w:val="left"/>
        <w:rPr>
          <w:sz w:val="28"/>
        </w:rPr>
      </w:pPr>
      <w:r>
        <w:rPr>
          <w:b/>
          <w:sz w:val="28"/>
        </w:rPr>
        <w:t>Efectele aprobării proiectului de lege</w:t>
      </w:r>
      <w:r>
        <w:rPr>
          <w:sz w:val="28"/>
        </w:rPr>
        <w:t>. Impactul poate fi caracterizat prin:</w:t>
      </w:r>
    </w:p>
    <w:p>
      <w:pPr>
        <w:pStyle w:val="ListParagraph"/>
        <w:numPr>
          <w:ilvl w:val="0"/>
          <w:numId w:val="1"/>
        </w:numPr>
        <w:tabs>
          <w:tab w:pos="1798" w:val="left" w:leader="none"/>
        </w:tabs>
        <w:spacing w:line="360" w:lineRule="auto" w:before="159" w:after="0"/>
        <w:ind w:left="818" w:right="109" w:firstLine="708"/>
        <w:jc w:val="left"/>
        <w:rPr>
          <w:sz w:val="28"/>
        </w:rPr>
      </w:pPr>
      <w:r>
        <w:rPr>
          <w:sz w:val="28"/>
        </w:rPr>
        <w:t>reducerea poverii fiscale pentru antreprenori generată din penalități și majorări de</w:t>
      </w:r>
      <w:r>
        <w:rPr>
          <w:spacing w:val="-2"/>
          <w:sz w:val="28"/>
        </w:rPr>
        <w:t> </w:t>
      </w:r>
      <w:r>
        <w:rPr>
          <w:sz w:val="28"/>
        </w:rPr>
        <w:t>întârziere;</w:t>
      </w:r>
    </w:p>
    <w:p>
      <w:pPr>
        <w:pStyle w:val="ListParagraph"/>
        <w:numPr>
          <w:ilvl w:val="0"/>
          <w:numId w:val="1"/>
        </w:numPr>
        <w:tabs>
          <w:tab w:pos="1707" w:val="left" w:leader="none"/>
        </w:tabs>
        <w:spacing w:line="360" w:lineRule="auto" w:before="1" w:after="0"/>
        <w:ind w:left="818" w:right="110" w:firstLine="708"/>
        <w:jc w:val="left"/>
        <w:rPr>
          <w:sz w:val="28"/>
        </w:rPr>
      </w:pPr>
      <w:r>
        <w:rPr>
          <w:sz w:val="28"/>
        </w:rPr>
        <w:t>implementarea unor măsuri minime de susținere a antreprenorialului pe timp de criză pandemică și</w:t>
      </w:r>
      <w:r>
        <w:rPr>
          <w:spacing w:val="-8"/>
          <w:sz w:val="28"/>
        </w:rPr>
        <w:t> </w:t>
      </w:r>
      <w:r>
        <w:rPr>
          <w:sz w:val="28"/>
        </w:rPr>
        <w:t>socio-economică;</w:t>
      </w:r>
    </w:p>
    <w:p>
      <w:pPr>
        <w:pStyle w:val="ListParagraph"/>
        <w:numPr>
          <w:ilvl w:val="0"/>
          <w:numId w:val="1"/>
        </w:numPr>
        <w:tabs>
          <w:tab w:pos="1774" w:val="left" w:leader="none"/>
        </w:tabs>
        <w:spacing w:line="360" w:lineRule="auto" w:before="0" w:after="0"/>
        <w:ind w:left="818" w:right="106" w:firstLine="708"/>
        <w:jc w:val="left"/>
        <w:rPr>
          <w:sz w:val="28"/>
        </w:rPr>
      </w:pPr>
      <w:r>
        <w:rPr>
          <w:sz w:val="28"/>
        </w:rPr>
        <w:t>îmbunătățirea capacității de plată pentru plățile de baza la valorificarea veniturilor bugetare,</w:t>
      </w:r>
      <w:r>
        <w:rPr>
          <w:spacing w:val="-5"/>
          <w:sz w:val="28"/>
        </w:rPr>
        <w:t> </w:t>
      </w:r>
      <w:r>
        <w:rPr>
          <w:sz w:val="28"/>
        </w:rPr>
        <w:t>altele.</w:t>
      </w:r>
    </w:p>
    <w:p>
      <w:pPr>
        <w:pStyle w:val="BodyText"/>
        <w:rPr>
          <w:sz w:val="30"/>
        </w:rPr>
      </w:pPr>
    </w:p>
    <w:p>
      <w:pPr>
        <w:pStyle w:val="BodyText"/>
        <w:rPr>
          <w:sz w:val="30"/>
        </w:rPr>
      </w:pPr>
    </w:p>
    <w:p>
      <w:pPr>
        <w:pStyle w:val="BodyText"/>
        <w:spacing w:before="10"/>
        <w:rPr>
          <w:sz w:val="23"/>
        </w:rPr>
      </w:pPr>
    </w:p>
    <w:p>
      <w:pPr>
        <w:pStyle w:val="Heading1"/>
        <w:spacing w:line="322" w:lineRule="exact"/>
      </w:pPr>
      <w:r>
        <w:rPr/>
        <w:t>Deputat în Parlamentul</w:t>
      </w:r>
    </w:p>
    <w:p>
      <w:pPr>
        <w:tabs>
          <w:tab w:pos="6534" w:val="left" w:leader="none"/>
        </w:tabs>
        <w:spacing w:line="322" w:lineRule="exact" w:before="0"/>
        <w:ind w:left="818" w:right="0" w:firstLine="0"/>
        <w:jc w:val="left"/>
        <w:rPr>
          <w:b/>
          <w:sz w:val="28"/>
        </w:rPr>
      </w:pPr>
      <w:r>
        <w:rPr>
          <w:b/>
          <w:sz w:val="28"/>
        </w:rPr>
        <w:t>Republicii</w:t>
      </w:r>
      <w:r>
        <w:rPr>
          <w:b/>
          <w:spacing w:val="-3"/>
          <w:sz w:val="28"/>
        </w:rPr>
        <w:t> </w:t>
      </w:r>
      <w:r>
        <w:rPr>
          <w:b/>
          <w:sz w:val="28"/>
        </w:rPr>
        <w:t>Moldova</w:t>
        <w:tab/>
        <w:t>Alexandru</w:t>
      </w:r>
      <w:r>
        <w:rPr>
          <w:b/>
          <w:spacing w:val="-1"/>
          <w:sz w:val="28"/>
        </w:rPr>
        <w:t> </w:t>
      </w:r>
      <w:r>
        <w:rPr>
          <w:b/>
          <w:sz w:val="28"/>
        </w:rPr>
        <w:t>Slusari</w:t>
      </w:r>
    </w:p>
    <w:sectPr>
      <w:pgSz w:w="11910" w:h="16840"/>
      <w:pgMar w:header="0" w:footer="937" w:top="1540" w:bottom="1140" w:left="60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eorgia">
    <w:altName w:val="Georgia"/>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545.799988pt;margin-top:782.964478pt;width:9pt;height:13.05pt;mso-position-horizontal-relative:page;mso-position-vertical-relative:page;z-index:-4912" type="#_x0000_t202" filled="false" stroked="false">
          <v:textbox inset="0,0,0,0">
            <w:txbxContent>
              <w:p>
                <w:pPr>
                  <w:spacing w:before="10"/>
                  <w:ind w:left="40" w:right="0" w:firstLine="0"/>
                  <w:jc w:val="left"/>
                  <w:rPr>
                    <w:sz w:val="20"/>
                  </w:rPr>
                </w:pPr>
                <w:r>
                  <w:rPr/>
                  <w:fldChar w:fldCharType="begin"/>
                </w:r>
                <w:r>
                  <w:rPr>
                    <w:w w:val="99"/>
                    <w:sz w:val="20"/>
                  </w:rPr>
                  <w:instrText> PAGE </w:instrText>
                </w:r>
                <w:r>
                  <w:rPr/>
                  <w:fldChar w:fldCharType="separate"/>
                </w:r>
                <w:r>
                  <w:rPr/>
                  <w:t>1</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818" w:hanging="272"/>
      </w:pPr>
      <w:rPr>
        <w:rFonts w:hint="default" w:ascii="Times New Roman" w:hAnsi="Times New Roman" w:eastAsia="Times New Roman" w:cs="Times New Roman"/>
        <w:w w:val="100"/>
        <w:sz w:val="28"/>
        <w:szCs w:val="28"/>
      </w:rPr>
    </w:lvl>
    <w:lvl w:ilvl="1">
      <w:start w:val="0"/>
      <w:numFmt w:val="bullet"/>
      <w:lvlText w:val="•"/>
      <w:lvlJc w:val="left"/>
      <w:pPr>
        <w:ind w:left="1794" w:hanging="272"/>
      </w:pPr>
      <w:rPr>
        <w:rFonts w:hint="default"/>
      </w:rPr>
    </w:lvl>
    <w:lvl w:ilvl="2">
      <w:start w:val="0"/>
      <w:numFmt w:val="bullet"/>
      <w:lvlText w:val="•"/>
      <w:lvlJc w:val="left"/>
      <w:pPr>
        <w:ind w:left="2769" w:hanging="272"/>
      </w:pPr>
      <w:rPr>
        <w:rFonts w:hint="default"/>
      </w:rPr>
    </w:lvl>
    <w:lvl w:ilvl="3">
      <w:start w:val="0"/>
      <w:numFmt w:val="bullet"/>
      <w:lvlText w:val="•"/>
      <w:lvlJc w:val="left"/>
      <w:pPr>
        <w:ind w:left="3743" w:hanging="272"/>
      </w:pPr>
      <w:rPr>
        <w:rFonts w:hint="default"/>
      </w:rPr>
    </w:lvl>
    <w:lvl w:ilvl="4">
      <w:start w:val="0"/>
      <w:numFmt w:val="bullet"/>
      <w:lvlText w:val="•"/>
      <w:lvlJc w:val="left"/>
      <w:pPr>
        <w:ind w:left="4718" w:hanging="272"/>
      </w:pPr>
      <w:rPr>
        <w:rFonts w:hint="default"/>
      </w:rPr>
    </w:lvl>
    <w:lvl w:ilvl="5">
      <w:start w:val="0"/>
      <w:numFmt w:val="bullet"/>
      <w:lvlText w:val="•"/>
      <w:lvlJc w:val="left"/>
      <w:pPr>
        <w:ind w:left="5693" w:hanging="272"/>
      </w:pPr>
      <w:rPr>
        <w:rFonts w:hint="default"/>
      </w:rPr>
    </w:lvl>
    <w:lvl w:ilvl="6">
      <w:start w:val="0"/>
      <w:numFmt w:val="bullet"/>
      <w:lvlText w:val="•"/>
      <w:lvlJc w:val="left"/>
      <w:pPr>
        <w:ind w:left="6667" w:hanging="272"/>
      </w:pPr>
      <w:rPr>
        <w:rFonts w:hint="default"/>
      </w:rPr>
    </w:lvl>
    <w:lvl w:ilvl="7">
      <w:start w:val="0"/>
      <w:numFmt w:val="bullet"/>
      <w:lvlText w:val="•"/>
      <w:lvlJc w:val="left"/>
      <w:pPr>
        <w:ind w:left="7642" w:hanging="272"/>
      </w:pPr>
      <w:rPr>
        <w:rFonts w:hint="default"/>
      </w:rPr>
    </w:lvl>
    <w:lvl w:ilvl="8">
      <w:start w:val="0"/>
      <w:numFmt w:val="bullet"/>
      <w:lvlText w:val="•"/>
      <w:lvlJc w:val="left"/>
      <w:pPr>
        <w:ind w:left="8617" w:hanging="272"/>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8"/>
      <w:szCs w:val="28"/>
    </w:rPr>
  </w:style>
  <w:style w:styleId="Heading1" w:type="paragraph">
    <w:name w:val="Heading 1"/>
    <w:basedOn w:val="Normal"/>
    <w:uiPriority w:val="1"/>
    <w:qFormat/>
    <w:pPr>
      <w:ind w:left="818"/>
      <w:outlineLvl w:val="1"/>
    </w:pPr>
    <w:rPr>
      <w:rFonts w:ascii="Times New Roman" w:hAnsi="Times New Roman" w:eastAsia="Times New Roman" w:cs="Times New Roman"/>
      <w:b/>
      <w:bCs/>
      <w:sz w:val="28"/>
      <w:szCs w:val="28"/>
    </w:rPr>
  </w:style>
  <w:style w:styleId="ListParagraph" w:type="paragraph">
    <w:name w:val="List Paragraph"/>
    <w:basedOn w:val="Normal"/>
    <w:uiPriority w:val="1"/>
    <w:qFormat/>
    <w:pPr>
      <w:ind w:left="818" w:right="106" w:firstLine="708"/>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8" Type="http://schemas.openxmlformats.org/officeDocument/2006/relationships/hyperlink" Target="mailto:info@parlament.md" TargetMode="External"/><Relationship Id="rId13" Type="http://schemas.openxmlformats.org/officeDocument/2006/relationships/customXml" Target="../customXml/item2.xml"/><Relationship Id="rId3"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numbering" Target="numbering.xml"/><Relationship Id="rId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64C260-0E40-453F-A45C-942A3592ED7B}"/>
</file>

<file path=customXml/itemProps2.xml><?xml version="1.0" encoding="utf-8"?>
<ds:datastoreItem xmlns:ds="http://schemas.openxmlformats.org/officeDocument/2006/customXml" ds:itemID="{01043FB7-C5DB-4CC0-8705-099EDD5F0846}"/>
</file>

<file path=customXml/itemProps3.xml><?xml version="1.0" encoding="utf-8"?>
<ds:datastoreItem xmlns:ds="http://schemas.openxmlformats.org/officeDocument/2006/customXml" ds:itemID="{55AB97C5-4216-4055-A0E1-1A2B372DB5F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285.2020.ro</dc:title>
  <dcterms:created xsi:type="dcterms:W3CDTF">2020-07-03T04:45:44Z</dcterms:created>
  <dcterms:modified xsi:type="dcterms:W3CDTF">2020-07-03T04:45:44Z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19 для Word</vt:lpwstr>
  </property>
  <property fmtid="{D5CDD505-2E9C-101B-9397-08002B2CF9AE}" pid="3" name="ContentTypeId">
    <vt:lpwstr>0x010100DB3619079C70BA4C8A987488329513F90014B383F883BBE84C9A1272D50E465059</vt:lpwstr>
  </property>
  <property fmtid="{D5CDD505-2E9C-101B-9397-08002B2CF9AE}" pid="5" name="Tipul documentului">
    <vt:lpwstr>Aviz</vt:lpwstr>
  </property>
</Properties>
</file>