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402DE" w14:textId="596EE06E" w:rsidR="003E42BE" w:rsidRDefault="003E42BE" w:rsidP="00716C63">
      <w:pPr>
        <w:jc w:val="right"/>
        <w:rPr>
          <w:rFonts w:ascii="Times New Roman" w:hAnsi="Times New Roman" w:cs="Times New Roman"/>
          <w:i/>
          <w:iCs/>
          <w:sz w:val="28"/>
          <w:szCs w:val="28"/>
        </w:rPr>
      </w:pPr>
    </w:p>
    <w:p w14:paraId="0DA4B774" w14:textId="031E884E" w:rsidR="003E42BE" w:rsidRDefault="003E42BE" w:rsidP="00716C63">
      <w:pPr>
        <w:jc w:val="right"/>
        <w:rPr>
          <w:rFonts w:ascii="Times New Roman" w:hAnsi="Times New Roman" w:cs="Times New Roman"/>
          <w:i/>
          <w:iCs/>
          <w:sz w:val="28"/>
          <w:szCs w:val="28"/>
        </w:rPr>
      </w:pPr>
    </w:p>
    <w:p w14:paraId="455FBD6D" w14:textId="04F2D512" w:rsidR="003E42BE" w:rsidRDefault="003E42BE" w:rsidP="00716C63">
      <w:pPr>
        <w:jc w:val="right"/>
        <w:rPr>
          <w:rFonts w:ascii="Times New Roman" w:hAnsi="Times New Roman" w:cs="Times New Roman"/>
          <w:i/>
          <w:iCs/>
          <w:sz w:val="28"/>
          <w:szCs w:val="28"/>
        </w:rPr>
      </w:pPr>
    </w:p>
    <w:p w14:paraId="72E4CF2E" w14:textId="4EED0807" w:rsidR="003E42BE" w:rsidRDefault="003E42BE" w:rsidP="00716C63">
      <w:pPr>
        <w:jc w:val="right"/>
        <w:rPr>
          <w:rFonts w:ascii="Times New Roman" w:hAnsi="Times New Roman" w:cs="Times New Roman"/>
          <w:i/>
          <w:iCs/>
          <w:sz w:val="28"/>
          <w:szCs w:val="28"/>
        </w:rPr>
      </w:pPr>
    </w:p>
    <w:p w14:paraId="7659D92B" w14:textId="77777777" w:rsidR="003E42BE" w:rsidRPr="003E42BE" w:rsidRDefault="003E42BE" w:rsidP="00716C63">
      <w:pPr>
        <w:jc w:val="right"/>
        <w:rPr>
          <w:rFonts w:ascii="Times New Roman" w:hAnsi="Times New Roman" w:cs="Times New Roman"/>
          <w:i/>
          <w:iCs/>
          <w:sz w:val="28"/>
          <w:szCs w:val="28"/>
        </w:rPr>
      </w:pPr>
    </w:p>
    <w:p w14:paraId="1BB58477" w14:textId="77777777" w:rsidR="00716C63" w:rsidRPr="00716C63" w:rsidRDefault="00716C63">
      <w:pPr>
        <w:rPr>
          <w:rFonts w:ascii="Times New Roman" w:hAnsi="Times New Roman" w:cs="Times New Roman"/>
          <w:sz w:val="28"/>
          <w:szCs w:val="28"/>
        </w:rPr>
      </w:pPr>
    </w:p>
    <w:p w14:paraId="1DA78E18" w14:textId="42532076" w:rsidR="00716C63" w:rsidRDefault="00716C63" w:rsidP="00423CE3">
      <w:pPr>
        <w:ind w:left="567" w:right="1985"/>
        <w:jc w:val="center"/>
        <w:rPr>
          <w:rFonts w:ascii="Times New Roman" w:hAnsi="Times New Roman" w:cs="Times New Roman"/>
          <w:b/>
          <w:bCs/>
          <w:sz w:val="28"/>
          <w:szCs w:val="28"/>
        </w:rPr>
      </w:pPr>
      <w:r w:rsidRPr="00716C63">
        <w:rPr>
          <w:rFonts w:ascii="Times New Roman" w:hAnsi="Times New Roman" w:cs="Times New Roman"/>
          <w:b/>
          <w:bCs/>
          <w:sz w:val="28"/>
          <w:szCs w:val="28"/>
        </w:rPr>
        <w:t>L</w:t>
      </w:r>
      <w:r w:rsidR="003E42BE">
        <w:rPr>
          <w:rFonts w:ascii="Times New Roman" w:hAnsi="Times New Roman" w:cs="Times New Roman"/>
          <w:b/>
          <w:bCs/>
          <w:sz w:val="28"/>
          <w:szCs w:val="28"/>
        </w:rPr>
        <w:t xml:space="preserve"> </w:t>
      </w:r>
      <w:r w:rsidRPr="00716C63">
        <w:rPr>
          <w:rFonts w:ascii="Times New Roman" w:hAnsi="Times New Roman" w:cs="Times New Roman"/>
          <w:b/>
          <w:bCs/>
          <w:sz w:val="28"/>
          <w:szCs w:val="28"/>
        </w:rPr>
        <w:t>E</w:t>
      </w:r>
      <w:r w:rsidR="003E42BE">
        <w:rPr>
          <w:rFonts w:ascii="Times New Roman" w:hAnsi="Times New Roman" w:cs="Times New Roman"/>
          <w:b/>
          <w:bCs/>
          <w:sz w:val="28"/>
          <w:szCs w:val="28"/>
        </w:rPr>
        <w:t xml:space="preserve"> </w:t>
      </w:r>
      <w:r w:rsidRPr="00716C63">
        <w:rPr>
          <w:rFonts w:ascii="Times New Roman" w:hAnsi="Times New Roman" w:cs="Times New Roman"/>
          <w:b/>
          <w:bCs/>
          <w:sz w:val="28"/>
          <w:szCs w:val="28"/>
        </w:rPr>
        <w:t>G</w:t>
      </w:r>
      <w:r w:rsidR="003E42BE">
        <w:rPr>
          <w:rFonts w:ascii="Times New Roman" w:hAnsi="Times New Roman" w:cs="Times New Roman"/>
          <w:b/>
          <w:bCs/>
          <w:sz w:val="28"/>
          <w:szCs w:val="28"/>
        </w:rPr>
        <w:t xml:space="preserve"> </w:t>
      </w:r>
      <w:r w:rsidRPr="00716C63">
        <w:rPr>
          <w:rFonts w:ascii="Times New Roman" w:hAnsi="Times New Roman" w:cs="Times New Roman"/>
          <w:b/>
          <w:bCs/>
          <w:sz w:val="28"/>
          <w:szCs w:val="28"/>
        </w:rPr>
        <w:t>E</w:t>
      </w:r>
    </w:p>
    <w:p w14:paraId="4002DF6C" w14:textId="77777777" w:rsidR="00716C63" w:rsidRPr="00716C63" w:rsidRDefault="00716C63" w:rsidP="00423CE3">
      <w:pPr>
        <w:ind w:left="567" w:right="1985"/>
        <w:jc w:val="center"/>
        <w:rPr>
          <w:rFonts w:ascii="Times New Roman" w:hAnsi="Times New Roman" w:cs="Times New Roman"/>
          <w:b/>
          <w:bCs/>
          <w:sz w:val="28"/>
          <w:szCs w:val="28"/>
        </w:rPr>
      </w:pPr>
    </w:p>
    <w:p w14:paraId="49420E9F" w14:textId="3DA1090D" w:rsidR="00716C63" w:rsidRDefault="00716C63" w:rsidP="00423CE3">
      <w:pPr>
        <w:ind w:left="567" w:right="1985"/>
        <w:jc w:val="center"/>
        <w:rPr>
          <w:rFonts w:ascii="Times New Roman" w:hAnsi="Times New Roman" w:cs="Times New Roman"/>
          <w:b/>
          <w:bCs/>
          <w:sz w:val="28"/>
          <w:szCs w:val="28"/>
        </w:rPr>
      </w:pPr>
      <w:r w:rsidRPr="00716C63">
        <w:rPr>
          <w:rFonts w:ascii="Times New Roman" w:hAnsi="Times New Roman" w:cs="Times New Roman"/>
          <w:b/>
          <w:bCs/>
          <w:sz w:val="28"/>
          <w:szCs w:val="28"/>
        </w:rPr>
        <w:t xml:space="preserve">pentru modificarea </w:t>
      </w:r>
      <w:r w:rsidR="00D078C5">
        <w:rPr>
          <w:rFonts w:ascii="Times New Roman" w:hAnsi="Times New Roman" w:cs="Times New Roman"/>
          <w:b/>
          <w:bCs/>
          <w:sz w:val="28"/>
          <w:szCs w:val="28"/>
        </w:rPr>
        <w:t>unor acte normative</w:t>
      </w:r>
    </w:p>
    <w:p w14:paraId="65E511B6" w14:textId="1FE552BA" w:rsidR="003E42BE" w:rsidRPr="00716C63" w:rsidRDefault="003E42BE" w:rsidP="00716C63">
      <w:pPr>
        <w:jc w:val="center"/>
        <w:rPr>
          <w:rFonts w:ascii="Times New Roman" w:hAnsi="Times New Roman" w:cs="Times New Roman"/>
          <w:b/>
          <w:bCs/>
          <w:sz w:val="28"/>
          <w:szCs w:val="28"/>
        </w:rPr>
      </w:pPr>
      <w:r w:rsidRPr="00C96C10">
        <w:rPr>
          <w:b/>
          <w:bCs/>
          <w:noProof/>
          <w:sz w:val="28"/>
          <w:szCs w:val="28"/>
        </w:rPr>
        <mc:AlternateContent>
          <mc:Choice Requires="wps">
            <w:drawing>
              <wp:anchor distT="0" distB="0" distL="114300" distR="114300" simplePos="0" relativeHeight="251659264" behindDoc="0" locked="0" layoutInCell="1" allowOverlap="1" wp14:anchorId="3BA37AB8" wp14:editId="31EB474C">
                <wp:simplePos x="0" y="0"/>
                <wp:positionH relativeFrom="column">
                  <wp:posOffset>981710</wp:posOffset>
                </wp:positionH>
                <wp:positionV relativeFrom="paragraph">
                  <wp:posOffset>50165</wp:posOffset>
                </wp:positionV>
                <wp:extent cx="309600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096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44BC335D" id="Conector drep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3pt,3.95pt" to="321.1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" strokecolor="black [3200]">
                <v:stroke joinstyle="miter"/>
              </v:line>
            </w:pict>
          </mc:Fallback>
        </mc:AlternateContent>
      </w:r>
    </w:p>
    <w:p w14:paraId="24211F14" w14:textId="77777777" w:rsidR="00716C63" w:rsidRDefault="00716C63">
      <w:pPr>
        <w:rPr>
          <w:rFonts w:ascii="Times New Roman" w:hAnsi="Times New Roman" w:cs="Times New Roman"/>
          <w:sz w:val="28"/>
          <w:szCs w:val="28"/>
        </w:rPr>
      </w:pPr>
      <w:r>
        <w:rPr>
          <w:rFonts w:ascii="Times New Roman" w:hAnsi="Times New Roman" w:cs="Times New Roman"/>
          <w:sz w:val="28"/>
          <w:szCs w:val="28"/>
        </w:rPr>
        <w:tab/>
      </w:r>
    </w:p>
    <w:p w14:paraId="25B1F6DE" w14:textId="4FBCB9BE" w:rsidR="00716C63" w:rsidRDefault="00716C63" w:rsidP="00CD3B5B">
      <w:pPr>
        <w:ind w:firstLine="709"/>
        <w:jc w:val="both"/>
        <w:rPr>
          <w:rFonts w:ascii="Times New Roman" w:hAnsi="Times New Roman" w:cs="Times New Roman"/>
          <w:sz w:val="28"/>
          <w:szCs w:val="28"/>
        </w:rPr>
      </w:pPr>
      <w:r>
        <w:rPr>
          <w:rFonts w:ascii="Times New Roman" w:hAnsi="Times New Roman" w:cs="Times New Roman"/>
          <w:sz w:val="28"/>
          <w:szCs w:val="28"/>
        </w:rPr>
        <w:t>Parlamentul adoptă prezenta lege organică.</w:t>
      </w:r>
    </w:p>
    <w:p w14:paraId="375869C2" w14:textId="77777777" w:rsidR="00716C63" w:rsidRDefault="00716C63" w:rsidP="00CD3B5B">
      <w:pPr>
        <w:ind w:firstLine="709"/>
        <w:jc w:val="both"/>
        <w:rPr>
          <w:rFonts w:ascii="Times New Roman" w:hAnsi="Times New Roman" w:cs="Times New Roman"/>
          <w:sz w:val="28"/>
          <w:szCs w:val="28"/>
        </w:rPr>
      </w:pPr>
    </w:p>
    <w:p w14:paraId="07EFD1F4" w14:textId="10CD08B2" w:rsidR="008670E9" w:rsidRDefault="008670E9" w:rsidP="00CD3B5B">
      <w:pPr>
        <w:pStyle w:val="BodyText"/>
        <w:shd w:val="clear" w:color="auto" w:fill="auto"/>
        <w:ind w:firstLine="709"/>
        <w:jc w:val="both"/>
        <w:rPr>
          <w:color w:val="000000"/>
          <w:lang w:val="ro-RO" w:eastAsia="ro-RO" w:bidi="ro-RO"/>
        </w:rPr>
      </w:pPr>
      <w:r>
        <w:rPr>
          <w:b/>
          <w:bCs/>
          <w:color w:val="000000"/>
          <w:lang w:val="ro-RO" w:eastAsia="ro-RO" w:bidi="ro-RO"/>
        </w:rPr>
        <w:t xml:space="preserve">Art. I. </w:t>
      </w:r>
      <w:r w:rsidR="003E7E2C">
        <w:rPr>
          <w:color w:val="000000"/>
          <w:lang w:val="ro-RO" w:eastAsia="ro-RO" w:bidi="ro-RO"/>
        </w:rPr>
        <w:t>–</w:t>
      </w:r>
      <w:r>
        <w:rPr>
          <w:b/>
          <w:bCs/>
          <w:color w:val="000000"/>
          <w:lang w:val="ro-RO" w:eastAsia="ro-RO" w:bidi="ro-RO"/>
        </w:rPr>
        <w:t xml:space="preserve"> </w:t>
      </w:r>
      <w:r>
        <w:rPr>
          <w:color w:val="000000"/>
          <w:lang w:val="ro-RO" w:eastAsia="ro-RO" w:bidi="ro-RO"/>
        </w:rPr>
        <w:t>Codul fiscal nr. 1163/1997 (republicat în Monitorul Oficial al Republicii Moldova, ediție specială din 8 februarie 2007), cu modificările ulterioare, se modifică după cum urmează:</w:t>
      </w:r>
    </w:p>
    <w:p w14:paraId="49C78C1A" w14:textId="77777777" w:rsidR="003E7E2C" w:rsidRDefault="003E7E2C" w:rsidP="00CD3B5B">
      <w:pPr>
        <w:pStyle w:val="BodyText"/>
        <w:shd w:val="clear" w:color="auto" w:fill="auto"/>
        <w:ind w:firstLine="709"/>
        <w:jc w:val="both"/>
      </w:pPr>
    </w:p>
    <w:p w14:paraId="16562821" w14:textId="193367FE" w:rsidR="008670E9" w:rsidRPr="00C54049" w:rsidRDefault="008670E9" w:rsidP="00CD3B5B">
      <w:pPr>
        <w:pStyle w:val="BodyText"/>
        <w:numPr>
          <w:ilvl w:val="0"/>
          <w:numId w:val="1"/>
        </w:numPr>
        <w:shd w:val="clear" w:color="auto" w:fill="auto"/>
        <w:tabs>
          <w:tab w:val="left" w:pos="1029"/>
        </w:tabs>
        <w:ind w:firstLine="709"/>
        <w:jc w:val="both"/>
      </w:pPr>
      <w:r w:rsidRPr="00C54049">
        <w:rPr>
          <w:lang w:val="ro-RO" w:eastAsia="ro-RO" w:bidi="ro-RO"/>
        </w:rPr>
        <w:t>La articolul 123, alineatul (5</w:t>
      </w:r>
      <w:r w:rsidRPr="00C54049">
        <w:rPr>
          <w:vertAlign w:val="superscript"/>
          <w:lang w:val="ro-RO" w:eastAsia="ro-RO" w:bidi="ro-RO"/>
        </w:rPr>
        <w:t>1</w:t>
      </w:r>
      <w:r w:rsidRPr="00C54049">
        <w:rPr>
          <w:lang w:val="ro-RO" w:eastAsia="ro-RO" w:bidi="ro-RO"/>
        </w:rPr>
        <w:t>) va avea următorul cuprins:</w:t>
      </w:r>
    </w:p>
    <w:p w14:paraId="64294021" w14:textId="77777777" w:rsidR="003E7E2C" w:rsidRDefault="003E7E2C" w:rsidP="00CD3B5B">
      <w:pPr>
        <w:pStyle w:val="BodyText"/>
        <w:shd w:val="clear" w:color="auto" w:fill="auto"/>
        <w:tabs>
          <w:tab w:val="left" w:pos="1029"/>
        </w:tabs>
        <w:ind w:firstLine="709"/>
        <w:jc w:val="both"/>
      </w:pPr>
    </w:p>
    <w:p w14:paraId="024E2D18" w14:textId="40F3313E" w:rsidR="008670E9" w:rsidRDefault="008670E9" w:rsidP="00CD3B5B">
      <w:pPr>
        <w:pStyle w:val="BodyText"/>
        <w:shd w:val="clear" w:color="auto" w:fill="auto"/>
        <w:ind w:firstLine="709"/>
        <w:jc w:val="both"/>
        <w:rPr>
          <w:color w:val="000000"/>
          <w:lang w:val="ro-RO" w:eastAsia="ro-RO" w:bidi="ro-RO"/>
        </w:rPr>
      </w:pPr>
      <w:r>
        <w:rPr>
          <w:color w:val="000000"/>
          <w:lang w:val="ro-RO" w:eastAsia="ro-RO" w:bidi="ro-RO"/>
        </w:rPr>
        <w:t>„(5</w:t>
      </w:r>
      <w:r>
        <w:rPr>
          <w:color w:val="000000"/>
          <w:vertAlign w:val="superscript"/>
          <w:lang w:val="ro-RO" w:eastAsia="ro-RO" w:bidi="ro-RO"/>
        </w:rPr>
        <w:t>1</w:t>
      </w:r>
      <w:r>
        <w:rPr>
          <w:color w:val="000000"/>
          <w:lang w:val="ro-RO" w:eastAsia="ro-RO" w:bidi="ro-RO"/>
        </w:rPr>
        <w:t>) Cartușele și rezervele pentru țigarete</w:t>
      </w:r>
      <w:r w:rsidR="00525F0C">
        <w:rPr>
          <w:color w:val="000000"/>
          <w:lang w:val="ro-RO" w:eastAsia="ro-RO" w:bidi="ro-RO"/>
        </w:rPr>
        <w:t>le</w:t>
      </w:r>
      <w:r>
        <w:rPr>
          <w:color w:val="000000"/>
          <w:lang w:val="ro-RO" w:eastAsia="ro-RO" w:bidi="ro-RO"/>
        </w:rPr>
        <w:t xml:space="preserve"> electronice, inclusiv țigaretele electronice de unică folosință, preparatele destinate utilizării în cartușe</w:t>
      </w:r>
      <w:r w:rsidR="000E509F">
        <w:rPr>
          <w:color w:val="000000"/>
          <w:lang w:val="ro-RO" w:eastAsia="ro-RO" w:bidi="ro-RO"/>
        </w:rPr>
        <w:t>le</w:t>
      </w:r>
      <w:r>
        <w:rPr>
          <w:color w:val="000000"/>
          <w:lang w:val="ro-RO" w:eastAsia="ro-RO" w:bidi="ro-RO"/>
        </w:rPr>
        <w:t xml:space="preserve"> și</w:t>
      </w:r>
      <w:r w:rsidR="00E40326">
        <w:rPr>
          <w:color w:val="000000"/>
          <w:lang w:val="ro-RO" w:eastAsia="ro-RO" w:bidi="ro-RO"/>
        </w:rPr>
        <w:t xml:space="preserve"> </w:t>
      </w:r>
      <w:r>
        <w:rPr>
          <w:color w:val="000000"/>
          <w:lang w:val="ro-RO" w:eastAsia="ro-RO" w:bidi="ro-RO"/>
        </w:rPr>
        <w:t xml:space="preserve"> rezervele pentru țigaretele electronice de la pozițiile tarifare 382499920</w:t>
      </w:r>
      <w:r w:rsidR="00F60817">
        <w:rPr>
          <w:color w:val="000000"/>
          <w:lang w:val="ro-RO" w:eastAsia="ro-RO" w:bidi="ro-RO"/>
        </w:rPr>
        <w:t>–</w:t>
      </w:r>
      <w:r>
        <w:rPr>
          <w:color w:val="000000"/>
          <w:lang w:val="ro-RO" w:eastAsia="ro-RO" w:bidi="ro-RO"/>
        </w:rPr>
        <w:t xml:space="preserve">382499960, produsele din tutun și înlocuitorii din tutun (amestecuri fără tutun pe baza frunzei de ceai) de la poziția tarifară 24039990001 comercializați, transportați sau depozitați pe teritoriul Republicii Moldova ori importați pentru comercializare pe teritoriul ei, precum și mărfurile procurate de la agenții economici rezidenți aflați pe teritoriul Republicii Moldova, dar care nu au relații fiscale cu sistemul ei bugetar, sunt pasibile marcării obligatorii cu timbru de acciză. Marcarea se efectuează în procesul fabricării mărfurilor supuse accizelor, iar a mărfurilor fabricate pe teritoriul Republicii Moldova </w:t>
      </w:r>
      <w:r w:rsidR="00CC1F4B">
        <w:rPr>
          <w:color w:val="000000"/>
          <w:lang w:val="ro-RO" w:eastAsia="ro-RO" w:bidi="ro-RO"/>
        </w:rPr>
        <w:t>–</w:t>
      </w:r>
      <w:r>
        <w:rPr>
          <w:color w:val="000000"/>
          <w:lang w:val="ro-RO" w:eastAsia="ro-RO" w:bidi="ro-RO"/>
        </w:rPr>
        <w:t xml:space="preserve"> până la momentul expedierii (transportării) acestora din antrepozitul fiscal. Modul și termenele de procurare, utilizare și de circulație a timbrelor de acciză se stabile</w:t>
      </w:r>
      <w:r w:rsidR="006D4EEF">
        <w:rPr>
          <w:color w:val="000000"/>
          <w:lang w:val="ro-RO" w:eastAsia="ro-RO" w:bidi="ro-RO"/>
        </w:rPr>
        <w:t>sc</w:t>
      </w:r>
      <w:r>
        <w:rPr>
          <w:color w:val="000000"/>
          <w:lang w:val="ro-RO" w:eastAsia="ro-RO" w:bidi="ro-RO"/>
        </w:rPr>
        <w:t xml:space="preserve"> de Guvern. Se interzice marcarea prin altă modalitate decât cea prevăzută de prezentul alineat pentru produsele ce urmează a fi plasate în regim vamal de import pe teritoriul Republicii Moldova.”</w:t>
      </w:r>
    </w:p>
    <w:p w14:paraId="7CE9D463" w14:textId="77777777" w:rsidR="003E7E2C" w:rsidRDefault="003E7E2C" w:rsidP="003E42BE">
      <w:pPr>
        <w:pStyle w:val="BodyText"/>
        <w:shd w:val="clear" w:color="auto" w:fill="auto"/>
        <w:ind w:firstLine="709"/>
        <w:jc w:val="both"/>
      </w:pPr>
    </w:p>
    <w:p w14:paraId="0314ED2C" w14:textId="1BE9FF75" w:rsidR="00122EC0" w:rsidRDefault="00C76B68" w:rsidP="003E42BE">
      <w:pPr>
        <w:pStyle w:val="BodyText"/>
        <w:shd w:val="clear" w:color="auto" w:fill="auto"/>
        <w:ind w:firstLine="709"/>
        <w:jc w:val="both"/>
        <w:rPr>
          <w:color w:val="000000"/>
          <w:lang w:val="ro-RO" w:eastAsia="ro-RO" w:bidi="ro-RO"/>
        </w:rPr>
      </w:pPr>
      <w:r>
        <w:rPr>
          <w:color w:val="000000"/>
          <w:lang w:val="ro-RO" w:eastAsia="ro-RO" w:bidi="ro-RO"/>
        </w:rPr>
        <w:t xml:space="preserve">2. </w:t>
      </w:r>
      <w:r w:rsidR="0000313D" w:rsidRPr="0000313D">
        <w:rPr>
          <w:color w:val="000000"/>
          <w:lang w:val="ro-RO" w:eastAsia="ro-RO" w:bidi="ro-RO"/>
        </w:rPr>
        <w:t>La t</w:t>
      </w:r>
      <w:r w:rsidR="00E775BE" w:rsidRPr="0000313D">
        <w:rPr>
          <w:color w:val="000000"/>
          <w:lang w:val="ro-RO" w:eastAsia="ro-RO" w:bidi="ro-RO"/>
        </w:rPr>
        <w:t>itlul IV</w:t>
      </w:r>
      <w:r w:rsidR="003665EE">
        <w:rPr>
          <w:color w:val="000000"/>
          <w:lang w:val="ro-RO" w:eastAsia="ro-RO" w:bidi="ro-RO"/>
        </w:rPr>
        <w:t>, în</w:t>
      </w:r>
      <w:r w:rsidR="00E775BE" w:rsidRPr="0000313D">
        <w:rPr>
          <w:color w:val="000000"/>
          <w:lang w:val="ro-RO" w:eastAsia="ro-RO" w:bidi="ro-RO"/>
        </w:rPr>
        <w:t xml:space="preserve"> a</w:t>
      </w:r>
      <w:r w:rsidR="008670E9" w:rsidRPr="0000313D">
        <w:rPr>
          <w:color w:val="000000"/>
          <w:lang w:val="ro-RO" w:eastAsia="ro-RO" w:bidi="ro-RO"/>
        </w:rPr>
        <w:t>nexa nr.</w:t>
      </w:r>
      <w:r w:rsidR="00E775BE" w:rsidRPr="0000313D">
        <w:rPr>
          <w:color w:val="000000"/>
          <w:lang w:val="ro-RO" w:eastAsia="ro-RO" w:bidi="ro-RO"/>
        </w:rPr>
        <w:t xml:space="preserve"> </w:t>
      </w:r>
      <w:r w:rsidR="008670E9" w:rsidRPr="0000313D">
        <w:rPr>
          <w:color w:val="000000"/>
          <w:lang w:val="ro-RO" w:eastAsia="ro-RO" w:bidi="ro-RO"/>
        </w:rPr>
        <w:t>1</w:t>
      </w:r>
      <w:r w:rsidR="0000313D">
        <w:rPr>
          <w:color w:val="000000"/>
          <w:lang w:val="ro-RO" w:eastAsia="ro-RO" w:bidi="ro-RO"/>
        </w:rPr>
        <w:t xml:space="preserve"> </w:t>
      </w:r>
      <w:r w:rsidR="00F01625">
        <w:rPr>
          <w:color w:val="000000"/>
          <w:lang w:val="ro-RO" w:eastAsia="ro-RO" w:bidi="ro-RO"/>
        </w:rPr>
        <w:t>poziția „ex. 382499960”</w:t>
      </w:r>
      <w:r w:rsidR="00A0678C">
        <w:rPr>
          <w:color w:val="000000"/>
          <w:lang w:val="ro-RO" w:eastAsia="ro-RO" w:bidi="ro-RO"/>
        </w:rPr>
        <w:t>,</w:t>
      </w:r>
      <w:r w:rsidR="00122EC0">
        <w:rPr>
          <w:color w:val="000000"/>
          <w:lang w:val="ro-RO" w:eastAsia="ro-RO" w:bidi="ro-RO"/>
        </w:rPr>
        <w:t xml:space="preserve"> </w:t>
      </w:r>
      <w:r w:rsidR="008670E9">
        <w:rPr>
          <w:color w:val="000000"/>
          <w:lang w:val="ro-RO" w:eastAsia="ro-RO" w:bidi="ro-RO"/>
        </w:rPr>
        <w:t>coloan</w:t>
      </w:r>
      <w:r w:rsidR="00122EC0">
        <w:rPr>
          <w:color w:val="000000"/>
          <w:lang w:val="ro-RO" w:eastAsia="ro-RO" w:bidi="ro-RO"/>
        </w:rPr>
        <w:t>ele</w:t>
      </w:r>
      <w:r w:rsidR="008670E9">
        <w:rPr>
          <w:color w:val="000000"/>
          <w:lang w:val="ro-RO" w:eastAsia="ro-RO" w:bidi="ro-RO"/>
        </w:rPr>
        <w:t xml:space="preserve"> întâi</w:t>
      </w:r>
      <w:r w:rsidR="00122EC0">
        <w:rPr>
          <w:color w:val="000000"/>
          <w:lang w:val="ro-RO" w:eastAsia="ro-RO" w:bidi="ro-RO"/>
        </w:rPr>
        <w:t xml:space="preserve"> și a doua vor avea următorul cuprins:</w:t>
      </w:r>
    </w:p>
    <w:p w14:paraId="5EF7652D" w14:textId="271A8F94" w:rsidR="00122EC0" w:rsidRDefault="00122EC0" w:rsidP="003E42BE">
      <w:pPr>
        <w:pStyle w:val="BodyText"/>
        <w:shd w:val="clear" w:color="auto" w:fill="auto"/>
        <w:ind w:firstLine="709"/>
        <w:jc w:val="both"/>
        <w:rPr>
          <w:color w:val="000000"/>
          <w:lang w:val="ro-RO" w:eastAsia="ro-RO" w:bidi="ro-RO"/>
        </w:rPr>
      </w:pPr>
    </w:p>
    <w:tbl>
      <w:tblPr>
        <w:tblW w:w="95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6674"/>
      </w:tblGrid>
      <w:tr w:rsidR="00A0678C" w14:paraId="0E777AFB" w14:textId="571D1B1D" w:rsidTr="0000313D">
        <w:trPr>
          <w:trHeight w:val="270"/>
        </w:trPr>
        <w:tc>
          <w:tcPr>
            <w:tcW w:w="2835" w:type="dxa"/>
          </w:tcPr>
          <w:p w14:paraId="033B2141" w14:textId="2C42DB33" w:rsidR="00A0678C" w:rsidRDefault="00A0678C" w:rsidP="003E42BE">
            <w:pPr>
              <w:pStyle w:val="BodyText"/>
              <w:shd w:val="clear" w:color="auto" w:fill="auto"/>
              <w:ind w:firstLine="0"/>
              <w:jc w:val="both"/>
              <w:rPr>
                <w:color w:val="000000"/>
                <w:lang w:val="ro-RO" w:eastAsia="ro-RO" w:bidi="ro-RO"/>
              </w:rPr>
            </w:pPr>
            <w:r w:rsidRPr="0000313D">
              <w:rPr>
                <w:color w:val="000000"/>
                <w:sz w:val="24"/>
                <w:szCs w:val="24"/>
                <w:lang w:val="ro-RO" w:eastAsia="ro-RO" w:bidi="ro-RO"/>
              </w:rPr>
              <w:t>ex. 382499920–382499960</w:t>
            </w:r>
          </w:p>
        </w:tc>
        <w:tc>
          <w:tcPr>
            <w:tcW w:w="6674" w:type="dxa"/>
          </w:tcPr>
          <w:p w14:paraId="12A60952" w14:textId="400C2FA3" w:rsidR="00A0678C" w:rsidRPr="0000313D" w:rsidRDefault="00A0678C" w:rsidP="00085FFC">
            <w:pPr>
              <w:pStyle w:val="BodyText"/>
              <w:shd w:val="clear" w:color="auto" w:fill="auto"/>
              <w:ind w:firstLine="0"/>
              <w:rPr>
                <w:color w:val="000000"/>
                <w:sz w:val="24"/>
                <w:szCs w:val="24"/>
                <w:lang w:val="ro-RO" w:eastAsia="ro-RO" w:bidi="ro-RO"/>
              </w:rPr>
            </w:pPr>
            <w:proofErr w:type="spellStart"/>
            <w:r w:rsidRPr="0000313D">
              <w:rPr>
                <w:color w:val="000000"/>
                <w:sz w:val="24"/>
                <w:szCs w:val="24"/>
                <w:shd w:val="clear" w:color="auto" w:fill="FFFFFF"/>
              </w:rPr>
              <w:t>Cartuşe</w:t>
            </w:r>
            <w:proofErr w:type="spellEnd"/>
            <w:r w:rsidRPr="0000313D">
              <w:rPr>
                <w:color w:val="000000"/>
                <w:sz w:val="24"/>
                <w:szCs w:val="24"/>
                <w:shd w:val="clear" w:color="auto" w:fill="FFFFFF"/>
              </w:rPr>
              <w:t xml:space="preserve"> </w:t>
            </w:r>
            <w:proofErr w:type="spellStart"/>
            <w:r w:rsidRPr="0000313D">
              <w:rPr>
                <w:color w:val="000000"/>
                <w:sz w:val="24"/>
                <w:szCs w:val="24"/>
                <w:shd w:val="clear" w:color="auto" w:fill="FFFFFF"/>
              </w:rPr>
              <w:t>şi</w:t>
            </w:r>
            <w:proofErr w:type="spellEnd"/>
            <w:r w:rsidRPr="0000313D">
              <w:rPr>
                <w:color w:val="000000"/>
                <w:sz w:val="24"/>
                <w:szCs w:val="24"/>
                <w:shd w:val="clear" w:color="auto" w:fill="FFFFFF"/>
              </w:rPr>
              <w:t xml:space="preserve"> rezerve pentru </w:t>
            </w:r>
            <w:proofErr w:type="spellStart"/>
            <w:r w:rsidRPr="0000313D">
              <w:rPr>
                <w:color w:val="000000"/>
                <w:sz w:val="24"/>
                <w:szCs w:val="24"/>
                <w:shd w:val="clear" w:color="auto" w:fill="FFFFFF"/>
              </w:rPr>
              <w:t>ţigarete</w:t>
            </w:r>
            <w:proofErr w:type="spellEnd"/>
            <w:r w:rsidRPr="0000313D">
              <w:rPr>
                <w:color w:val="000000"/>
                <w:sz w:val="24"/>
                <w:szCs w:val="24"/>
                <w:shd w:val="clear" w:color="auto" w:fill="FFFFFF"/>
              </w:rPr>
              <w:t xml:space="preserve"> electronice</w:t>
            </w:r>
            <w:r w:rsidRPr="0000313D">
              <w:rPr>
                <w:color w:val="000000"/>
                <w:sz w:val="24"/>
                <w:szCs w:val="24"/>
                <w:lang w:val="ro-RO" w:eastAsia="ro-RO" w:bidi="ro-RO"/>
              </w:rPr>
              <w:t>, inclusiv țigarete electronice de unică folosință</w:t>
            </w:r>
            <w:r w:rsidRPr="0000313D">
              <w:rPr>
                <w:color w:val="000000"/>
                <w:sz w:val="24"/>
                <w:szCs w:val="24"/>
                <w:shd w:val="clear" w:color="auto" w:fill="FFFFFF"/>
              </w:rPr>
              <w:t xml:space="preserve">; preparate destinate utilizării în </w:t>
            </w:r>
            <w:proofErr w:type="spellStart"/>
            <w:r w:rsidRPr="0000313D">
              <w:rPr>
                <w:color w:val="000000"/>
                <w:sz w:val="24"/>
                <w:szCs w:val="24"/>
                <w:shd w:val="clear" w:color="auto" w:fill="FFFFFF"/>
              </w:rPr>
              <w:t>cartuşe</w:t>
            </w:r>
            <w:proofErr w:type="spellEnd"/>
            <w:r w:rsidRPr="0000313D">
              <w:rPr>
                <w:color w:val="000000"/>
                <w:sz w:val="24"/>
                <w:szCs w:val="24"/>
                <w:shd w:val="clear" w:color="auto" w:fill="FFFFFF"/>
              </w:rPr>
              <w:t xml:space="preserve"> </w:t>
            </w:r>
            <w:proofErr w:type="spellStart"/>
            <w:r w:rsidRPr="0000313D">
              <w:rPr>
                <w:color w:val="000000"/>
                <w:sz w:val="24"/>
                <w:szCs w:val="24"/>
                <w:shd w:val="clear" w:color="auto" w:fill="FFFFFF"/>
              </w:rPr>
              <w:t>şi</w:t>
            </w:r>
            <w:proofErr w:type="spellEnd"/>
            <w:r w:rsidRPr="0000313D">
              <w:rPr>
                <w:color w:val="000000"/>
                <w:sz w:val="24"/>
                <w:szCs w:val="24"/>
                <w:shd w:val="clear" w:color="auto" w:fill="FFFFFF"/>
              </w:rPr>
              <w:t xml:space="preserve"> rezerve pentru </w:t>
            </w:r>
            <w:proofErr w:type="spellStart"/>
            <w:r w:rsidRPr="0000313D">
              <w:rPr>
                <w:color w:val="000000"/>
                <w:sz w:val="24"/>
                <w:szCs w:val="24"/>
                <w:shd w:val="clear" w:color="auto" w:fill="FFFFFF"/>
              </w:rPr>
              <w:t>ţigarete</w:t>
            </w:r>
            <w:proofErr w:type="spellEnd"/>
            <w:r w:rsidRPr="0000313D">
              <w:rPr>
                <w:color w:val="000000"/>
                <w:sz w:val="24"/>
                <w:szCs w:val="24"/>
                <w:shd w:val="clear" w:color="auto" w:fill="FFFFFF"/>
              </w:rPr>
              <w:t xml:space="preserve"> electronice</w:t>
            </w:r>
          </w:p>
        </w:tc>
      </w:tr>
    </w:tbl>
    <w:p w14:paraId="279CF59A" w14:textId="162E9D38" w:rsidR="003E7E2C" w:rsidRDefault="003E7E2C" w:rsidP="00085FFC">
      <w:pPr>
        <w:pStyle w:val="BodyText"/>
        <w:shd w:val="clear" w:color="auto" w:fill="auto"/>
        <w:ind w:firstLine="0"/>
        <w:jc w:val="both"/>
      </w:pPr>
    </w:p>
    <w:p w14:paraId="1552361A" w14:textId="77777777" w:rsidR="00CD3B5B" w:rsidRDefault="00CD3B5B" w:rsidP="00085FFC">
      <w:pPr>
        <w:pStyle w:val="BodyText"/>
        <w:shd w:val="clear" w:color="auto" w:fill="auto"/>
        <w:ind w:firstLine="0"/>
        <w:jc w:val="both"/>
      </w:pPr>
    </w:p>
    <w:p w14:paraId="6021F261" w14:textId="2C391684" w:rsidR="00846494" w:rsidRDefault="008670E9" w:rsidP="003E42BE">
      <w:pPr>
        <w:pStyle w:val="BodyText"/>
        <w:shd w:val="clear" w:color="auto" w:fill="auto"/>
        <w:ind w:firstLine="709"/>
        <w:jc w:val="both"/>
        <w:rPr>
          <w:color w:val="000000"/>
          <w:lang w:val="ro-RO" w:eastAsia="ro-RO" w:bidi="ro-RO"/>
        </w:rPr>
      </w:pPr>
      <w:r>
        <w:rPr>
          <w:b/>
          <w:bCs/>
          <w:color w:val="000000"/>
          <w:lang w:val="ro-RO" w:eastAsia="ro-RO" w:bidi="ro-RO"/>
        </w:rPr>
        <w:lastRenderedPageBreak/>
        <w:t xml:space="preserve">Art. II. </w:t>
      </w:r>
      <w:r w:rsidR="004A4403">
        <w:rPr>
          <w:color w:val="000000"/>
          <w:lang w:val="ro-RO" w:eastAsia="ro-RO" w:bidi="ro-RO"/>
        </w:rPr>
        <w:t>–</w:t>
      </w:r>
      <w:r>
        <w:rPr>
          <w:b/>
          <w:bCs/>
          <w:color w:val="000000"/>
          <w:lang w:val="ro-RO" w:eastAsia="ro-RO" w:bidi="ro-RO"/>
        </w:rPr>
        <w:t xml:space="preserve"> </w:t>
      </w:r>
      <w:r>
        <w:rPr>
          <w:color w:val="000000"/>
          <w:lang w:val="ro-RO" w:eastAsia="ro-RO" w:bidi="ro-RO"/>
        </w:rPr>
        <w:t>La articolul 4 alineatul (5</w:t>
      </w:r>
      <w:r>
        <w:rPr>
          <w:color w:val="000000"/>
          <w:vertAlign w:val="superscript"/>
          <w:lang w:val="ro-RO" w:eastAsia="ro-RO" w:bidi="ro-RO"/>
        </w:rPr>
        <w:t>1</w:t>
      </w:r>
      <w:r>
        <w:rPr>
          <w:color w:val="000000"/>
          <w:lang w:val="ro-RO" w:eastAsia="ro-RO" w:bidi="ro-RO"/>
        </w:rPr>
        <w:t>) din Legea nr. 1054/2000 pentru punerea în aplicare a titlului IV din Codul fiscal (republicată în Monitorul Oficial al Republicii Moldova, ediție specială din 8 februarie 2007), cu modificările ulterioare, după cuvintele „produsele din tutun” se introduce textul „ , cartușele și rezervele pentru țigarete</w:t>
      </w:r>
      <w:r w:rsidR="00D13178">
        <w:rPr>
          <w:color w:val="000000"/>
          <w:lang w:val="ro-RO" w:eastAsia="ro-RO" w:bidi="ro-RO"/>
        </w:rPr>
        <w:t>le</w:t>
      </w:r>
      <w:r>
        <w:rPr>
          <w:color w:val="000000"/>
          <w:lang w:val="ro-RO" w:eastAsia="ro-RO" w:bidi="ro-RO"/>
        </w:rPr>
        <w:t xml:space="preserve"> electronice, inclusiv țigaretele electronice de unică folosință, preparatele destinate utilizării în cartușe</w:t>
      </w:r>
      <w:r w:rsidR="00C76B68">
        <w:rPr>
          <w:color w:val="000000"/>
          <w:lang w:val="ro-RO" w:eastAsia="ro-RO" w:bidi="ro-RO"/>
        </w:rPr>
        <w:t>le</w:t>
      </w:r>
      <w:r>
        <w:rPr>
          <w:color w:val="000000"/>
          <w:lang w:val="ro-RO" w:eastAsia="ro-RO" w:bidi="ro-RO"/>
        </w:rPr>
        <w:t xml:space="preserve"> și rezervele pentru țigaretele electronice </w:t>
      </w:r>
      <w:r w:rsidRPr="00D65F41">
        <w:rPr>
          <w:color w:val="000000"/>
          <w:lang w:val="ro-RO" w:eastAsia="ro-RO" w:bidi="ro-RO"/>
        </w:rPr>
        <w:t>de la pozițiile tarifare 382499920</w:t>
      </w:r>
      <w:r w:rsidR="000E509F" w:rsidRPr="00D65F41">
        <w:rPr>
          <w:color w:val="000000"/>
          <w:lang w:val="ro-RO" w:eastAsia="ro-RO" w:bidi="ro-RO"/>
        </w:rPr>
        <w:t>–</w:t>
      </w:r>
      <w:r w:rsidRPr="00D65F41">
        <w:rPr>
          <w:color w:val="000000"/>
          <w:lang w:val="ro-RO" w:eastAsia="ro-RO" w:bidi="ro-RO"/>
        </w:rPr>
        <w:t>382499960</w:t>
      </w:r>
      <w:r w:rsidR="00D60BF4">
        <w:rPr>
          <w:color w:val="000000"/>
          <w:lang w:val="ro-RO" w:eastAsia="ro-RO" w:bidi="ro-RO"/>
        </w:rPr>
        <w:t>,</w:t>
      </w:r>
      <w:r>
        <w:rPr>
          <w:color w:val="000000"/>
          <w:lang w:val="ro-RO" w:eastAsia="ro-RO" w:bidi="ro-RO"/>
        </w:rPr>
        <w:t>”.</w:t>
      </w:r>
    </w:p>
    <w:p w14:paraId="5AFF3E40" w14:textId="77777777" w:rsidR="00846494" w:rsidRDefault="00846494" w:rsidP="003E42BE">
      <w:pPr>
        <w:pStyle w:val="BodyText"/>
        <w:shd w:val="clear" w:color="auto" w:fill="auto"/>
        <w:ind w:firstLine="709"/>
        <w:jc w:val="both"/>
        <w:rPr>
          <w:color w:val="000000"/>
          <w:lang w:val="ro-RO" w:eastAsia="ro-RO" w:bidi="ro-RO"/>
        </w:rPr>
      </w:pPr>
    </w:p>
    <w:p w14:paraId="4DAEFCB4" w14:textId="2521A3C4" w:rsidR="008670E9" w:rsidRDefault="008670E9" w:rsidP="003E42BE">
      <w:pPr>
        <w:pStyle w:val="BodyText"/>
        <w:shd w:val="clear" w:color="auto" w:fill="auto"/>
        <w:ind w:firstLine="709"/>
        <w:jc w:val="both"/>
        <w:rPr>
          <w:color w:val="000000"/>
          <w:lang w:val="ro-RO" w:eastAsia="ro-RO" w:bidi="ro-RO"/>
        </w:rPr>
      </w:pPr>
      <w:r>
        <w:rPr>
          <w:b/>
          <w:bCs/>
          <w:color w:val="000000"/>
          <w:lang w:val="ro-RO" w:eastAsia="ro-RO" w:bidi="ro-RO"/>
        </w:rPr>
        <w:t xml:space="preserve">Art. III. </w:t>
      </w:r>
      <w:r w:rsidR="004A4403">
        <w:rPr>
          <w:color w:val="000000"/>
          <w:lang w:val="ro-RO" w:eastAsia="ro-RO" w:bidi="ro-RO"/>
        </w:rPr>
        <w:t>–</w:t>
      </w:r>
      <w:r>
        <w:rPr>
          <w:b/>
          <w:bCs/>
          <w:color w:val="000000"/>
          <w:lang w:val="ro-RO" w:eastAsia="ro-RO" w:bidi="ro-RO"/>
        </w:rPr>
        <w:t xml:space="preserve"> </w:t>
      </w:r>
      <w:r>
        <w:rPr>
          <w:color w:val="000000"/>
          <w:lang w:val="ro-RO" w:eastAsia="ro-RO" w:bidi="ro-RO"/>
        </w:rPr>
        <w:t>Articolul 23 din Legea nr. 278/2007 privind controlul tutunului (republicată în Monitorul Oficial al Republicii Moldova, 2015, nr. 258</w:t>
      </w:r>
      <w:r w:rsidR="00ED6FD5">
        <w:rPr>
          <w:color w:val="000000"/>
          <w:lang w:val="ro-RO" w:eastAsia="ro-RO" w:bidi="ro-RO"/>
        </w:rPr>
        <w:t>–</w:t>
      </w:r>
      <w:r>
        <w:rPr>
          <w:color w:val="000000"/>
          <w:lang w:val="ro-RO" w:eastAsia="ro-RO" w:bidi="ro-RO"/>
        </w:rPr>
        <w:t xml:space="preserve">261, </w:t>
      </w:r>
      <w:r w:rsidR="00ED6FD5">
        <w:rPr>
          <w:color w:val="000000"/>
          <w:lang w:val="ro-RO" w:eastAsia="ro-RO" w:bidi="ro-RO"/>
        </w:rPr>
        <w:t xml:space="preserve">            </w:t>
      </w:r>
      <w:r>
        <w:rPr>
          <w:color w:val="000000"/>
          <w:lang w:val="ro-RO" w:eastAsia="ro-RO" w:bidi="ro-RO"/>
        </w:rPr>
        <w:t>art. 489), cu modificările ulterioare, se completează cu alineatul (7) cu următorul cuprins:</w:t>
      </w:r>
    </w:p>
    <w:p w14:paraId="4A12A3BD" w14:textId="77777777" w:rsidR="003E7E2C" w:rsidRDefault="003E7E2C" w:rsidP="003E42BE">
      <w:pPr>
        <w:pStyle w:val="BodyText"/>
        <w:shd w:val="clear" w:color="auto" w:fill="auto"/>
        <w:ind w:firstLine="709"/>
        <w:jc w:val="both"/>
      </w:pPr>
    </w:p>
    <w:p w14:paraId="4D215856" w14:textId="61B35B41" w:rsidR="008670E9" w:rsidRDefault="008670E9" w:rsidP="003E42BE">
      <w:pPr>
        <w:pStyle w:val="BodyText"/>
        <w:shd w:val="clear" w:color="auto" w:fill="auto"/>
        <w:ind w:firstLine="709"/>
        <w:jc w:val="both"/>
        <w:rPr>
          <w:color w:val="000000"/>
          <w:lang w:val="ro-RO" w:eastAsia="ro-RO" w:bidi="ro-RO"/>
        </w:rPr>
      </w:pPr>
      <w:r>
        <w:rPr>
          <w:color w:val="000000"/>
          <w:lang w:val="ro-RO" w:eastAsia="ro-RO" w:bidi="ro-RO"/>
        </w:rPr>
        <w:t>„(7) Introducerea pe teritoriul Republicii Moldova și/sau comercializarea produselor conexe se permite numai după aplicarea</w:t>
      </w:r>
      <w:r w:rsidR="001B114E">
        <w:rPr>
          <w:color w:val="000000"/>
          <w:lang w:val="ro-RO" w:eastAsia="ro-RO" w:bidi="ro-RO"/>
        </w:rPr>
        <w:t xml:space="preserve">, prin lipire, a </w:t>
      </w:r>
      <w:r>
        <w:rPr>
          <w:color w:val="000000"/>
          <w:lang w:val="ro-RO" w:eastAsia="ro-RO" w:bidi="ro-RO"/>
        </w:rPr>
        <w:t xml:space="preserve">timbrului de </w:t>
      </w:r>
      <w:proofErr w:type="spellStart"/>
      <w:r>
        <w:rPr>
          <w:color w:val="000000"/>
          <w:lang w:val="ro-RO" w:eastAsia="ro-RO" w:bidi="ro-RO"/>
        </w:rPr>
        <w:t>acciz</w:t>
      </w:r>
      <w:proofErr w:type="spellEnd"/>
      <w:r w:rsidR="00465ADE">
        <w:rPr>
          <w:color w:val="000000"/>
          <w:lang w:val="ro-RO" w:eastAsia="ro-RO" w:bidi="ro-RO"/>
        </w:rPr>
        <w:t xml:space="preserve"> sau a </w:t>
      </w:r>
      <w:r>
        <w:rPr>
          <w:color w:val="000000"/>
          <w:lang w:val="ro-RO" w:eastAsia="ro-RO" w:bidi="ro-RO"/>
        </w:rPr>
        <w:t>timbrului de consum pe ambalajul produsului</w:t>
      </w:r>
      <w:r w:rsidR="001B114E">
        <w:rPr>
          <w:color w:val="000000"/>
          <w:lang w:val="ro-RO" w:eastAsia="ro-RO" w:bidi="ro-RO"/>
        </w:rPr>
        <w:t xml:space="preserve">, </w:t>
      </w:r>
      <w:r>
        <w:rPr>
          <w:color w:val="000000"/>
          <w:lang w:val="ro-RO" w:eastAsia="ro-RO" w:bidi="ro-RO"/>
        </w:rPr>
        <w:t xml:space="preserve">astfel încât deschiderea ambalajului să asigure deteriorarea timbrului de </w:t>
      </w:r>
      <w:proofErr w:type="spellStart"/>
      <w:r>
        <w:rPr>
          <w:color w:val="000000"/>
          <w:lang w:val="ro-RO" w:eastAsia="ro-RO" w:bidi="ro-RO"/>
        </w:rPr>
        <w:t>acciz</w:t>
      </w:r>
      <w:proofErr w:type="spellEnd"/>
      <w:r w:rsidR="00465ADE">
        <w:rPr>
          <w:color w:val="000000"/>
          <w:lang w:val="ro-RO" w:eastAsia="ro-RO" w:bidi="ro-RO"/>
        </w:rPr>
        <w:t xml:space="preserve"> sau a </w:t>
      </w:r>
      <w:r>
        <w:rPr>
          <w:color w:val="000000"/>
          <w:lang w:val="ro-RO" w:eastAsia="ro-RO" w:bidi="ro-RO"/>
        </w:rPr>
        <w:t>timbrului de consum.”</w:t>
      </w:r>
    </w:p>
    <w:p w14:paraId="1C6824C1" w14:textId="77777777" w:rsidR="003E7E2C" w:rsidRDefault="003E7E2C" w:rsidP="003E42BE">
      <w:pPr>
        <w:pStyle w:val="BodyText"/>
        <w:shd w:val="clear" w:color="auto" w:fill="auto"/>
        <w:ind w:firstLine="709"/>
        <w:jc w:val="both"/>
      </w:pPr>
    </w:p>
    <w:p w14:paraId="66862538" w14:textId="649D629E" w:rsidR="00727323" w:rsidRDefault="008670E9" w:rsidP="00775B84">
      <w:pPr>
        <w:pStyle w:val="BodyText"/>
        <w:shd w:val="clear" w:color="auto" w:fill="auto"/>
        <w:ind w:firstLine="709"/>
        <w:jc w:val="both"/>
        <w:rPr>
          <w:color w:val="000000"/>
          <w:lang w:val="ro-RO" w:eastAsia="ro-RO" w:bidi="ro-RO"/>
        </w:rPr>
      </w:pPr>
      <w:r>
        <w:rPr>
          <w:b/>
          <w:bCs/>
          <w:color w:val="000000"/>
          <w:lang w:val="ro-RO" w:eastAsia="ro-RO" w:bidi="ro-RO"/>
        </w:rPr>
        <w:t xml:space="preserve">Art. IV. </w:t>
      </w:r>
      <w:r w:rsidR="004A4403">
        <w:rPr>
          <w:color w:val="000000"/>
          <w:lang w:val="ro-RO" w:eastAsia="ro-RO" w:bidi="ro-RO"/>
        </w:rPr>
        <w:t>–</w:t>
      </w:r>
      <w:r w:rsidR="00775B84">
        <w:rPr>
          <w:color w:val="000000"/>
          <w:lang w:val="ro-RO" w:eastAsia="ro-RO" w:bidi="ro-RO"/>
        </w:rPr>
        <w:t xml:space="preserve"> </w:t>
      </w:r>
      <w:r w:rsidR="00727323" w:rsidRPr="0091245E">
        <w:rPr>
          <w:color w:val="000000"/>
          <w:lang w:val="ro-RO" w:eastAsia="ro-RO" w:bidi="ro-RO"/>
        </w:rPr>
        <w:t>Dispoziții tranzitorii</w:t>
      </w:r>
    </w:p>
    <w:p w14:paraId="4182F79E" w14:textId="77777777" w:rsidR="00727323" w:rsidRDefault="00727323" w:rsidP="00775B84">
      <w:pPr>
        <w:pStyle w:val="BodyText"/>
        <w:shd w:val="clear" w:color="auto" w:fill="auto"/>
        <w:ind w:firstLine="709"/>
        <w:jc w:val="both"/>
        <w:rPr>
          <w:color w:val="000000"/>
          <w:lang w:val="ro-RO" w:eastAsia="ro-RO" w:bidi="ro-RO"/>
        </w:rPr>
      </w:pPr>
    </w:p>
    <w:p w14:paraId="62CD9C53" w14:textId="434ECFB4" w:rsidR="00775B84" w:rsidRDefault="00775B84" w:rsidP="00775B84">
      <w:pPr>
        <w:pStyle w:val="BodyText"/>
        <w:shd w:val="clear" w:color="auto" w:fill="auto"/>
        <w:ind w:firstLine="709"/>
        <w:jc w:val="both"/>
        <w:rPr>
          <w:color w:val="000000"/>
        </w:rPr>
      </w:pPr>
      <w:r>
        <w:rPr>
          <w:color w:val="000000"/>
        </w:rPr>
        <w:t xml:space="preserve">(1) Subiecții impunerii care au importat produse conexe accizate de la poziția tarifară 382499960 efectuează inventarierea acestora și le declară la Serviciul Fiscal de Stat în termen de până la 1 septembrie 2022. Stocurile de produse </w:t>
      </w:r>
      <w:r w:rsidRPr="00775B84">
        <w:rPr>
          <w:color w:val="000000"/>
          <w:spacing w:val="-4"/>
        </w:rPr>
        <w:t>conexe accizate de la poziția tarifară 382499960 importate până la publicarea</w:t>
      </w:r>
      <w:r>
        <w:rPr>
          <w:color w:val="000000"/>
        </w:rPr>
        <w:t xml:space="preserve">  prezentei legi în Monitorul Oficial al Republicii Moldova pot fi comercializate fără timbru de </w:t>
      </w:r>
      <w:proofErr w:type="spellStart"/>
      <w:r>
        <w:rPr>
          <w:color w:val="000000"/>
        </w:rPr>
        <w:t>acciz</w:t>
      </w:r>
      <w:proofErr w:type="spellEnd"/>
      <w:r>
        <w:rPr>
          <w:color w:val="000000"/>
        </w:rPr>
        <w:t xml:space="preserve"> sau timbru de consum în termen de până la 180 de zile de la publicare, cu condiția declarării acestora la Serviciul Fiscal de Stat.</w:t>
      </w:r>
    </w:p>
    <w:p w14:paraId="04F30BE0" w14:textId="77777777" w:rsidR="00775B84" w:rsidRDefault="00775B84" w:rsidP="00775B84">
      <w:pPr>
        <w:ind w:firstLine="709"/>
        <w:jc w:val="both"/>
        <w:rPr>
          <w:rFonts w:ascii="Times New Roman" w:hAnsi="Times New Roman" w:cs="Times New Roman"/>
          <w:sz w:val="28"/>
          <w:szCs w:val="28"/>
        </w:rPr>
      </w:pPr>
    </w:p>
    <w:p w14:paraId="7B1B3D2E" w14:textId="2FCFC1BF" w:rsidR="00775B84" w:rsidRDefault="00775B84" w:rsidP="00775B84">
      <w:pPr>
        <w:ind w:firstLine="709"/>
        <w:jc w:val="both"/>
        <w:rPr>
          <w:rFonts w:ascii="Times New Roman" w:hAnsi="Times New Roman" w:cs="Times New Roman"/>
          <w:sz w:val="28"/>
          <w:szCs w:val="28"/>
        </w:rPr>
      </w:pPr>
      <w:r>
        <w:rPr>
          <w:rFonts w:ascii="Times New Roman" w:hAnsi="Times New Roman" w:cs="Times New Roman"/>
          <w:color w:val="000000"/>
          <w:sz w:val="28"/>
          <w:szCs w:val="28"/>
        </w:rPr>
        <w:t>(2) Guvernul, în termen de până la 1 septembrie 2022, va aduce actele sale normative în concordanță cu prezenta lege.</w:t>
      </w:r>
    </w:p>
    <w:p w14:paraId="1C8F47B7" w14:textId="4D12F5FB" w:rsidR="004E10CA" w:rsidRDefault="004E10CA" w:rsidP="008670E9">
      <w:pPr>
        <w:jc w:val="both"/>
        <w:rPr>
          <w:rFonts w:ascii="Times New Roman" w:hAnsi="Times New Roman" w:cs="Times New Roman"/>
          <w:sz w:val="28"/>
          <w:szCs w:val="28"/>
        </w:rPr>
      </w:pPr>
    </w:p>
    <w:p w14:paraId="6B7382F6" w14:textId="77777777" w:rsidR="00CD3B5B" w:rsidRDefault="00CD3B5B" w:rsidP="008670E9">
      <w:pPr>
        <w:jc w:val="both"/>
        <w:rPr>
          <w:rFonts w:ascii="Times New Roman" w:hAnsi="Times New Roman" w:cs="Times New Roman"/>
          <w:sz w:val="28"/>
          <w:szCs w:val="28"/>
        </w:rPr>
      </w:pPr>
    </w:p>
    <w:p w14:paraId="47BBEA95" w14:textId="77777777" w:rsidR="004A4F41" w:rsidRPr="007B4DBF" w:rsidRDefault="004A4F41" w:rsidP="00CD3B5B">
      <w:pPr>
        <w:jc w:val="center"/>
        <w:rPr>
          <w:rFonts w:ascii="Times New Roman" w:hAnsi="Times New Roman" w:cs="Times New Roman"/>
          <w:b/>
          <w:bCs/>
          <w:color w:val="000000" w:themeColor="text1"/>
          <w:sz w:val="28"/>
          <w:szCs w:val="28"/>
        </w:rPr>
      </w:pPr>
      <w:r w:rsidRPr="007B4DBF">
        <w:rPr>
          <w:rFonts w:ascii="Times New Roman" w:hAnsi="Times New Roman" w:cs="Times New Roman"/>
          <w:b/>
          <w:bCs/>
          <w:color w:val="000000" w:themeColor="text1"/>
          <w:sz w:val="28"/>
          <w:szCs w:val="28"/>
        </w:rPr>
        <w:t>PREŞEDINTELE  PARLAMENTULUI</w:t>
      </w:r>
    </w:p>
    <w:p w14:paraId="0F233657" w14:textId="71B59978" w:rsidR="004A4F41" w:rsidRDefault="004A4F41" w:rsidP="00CD3B5B">
      <w:pPr>
        <w:ind w:leftChars="100" w:left="220" w:rightChars="350" w:right="770"/>
        <w:jc w:val="center"/>
        <w:rPr>
          <w:rFonts w:ascii="Times New Roman" w:hAnsi="Times New Roman" w:cs="Times New Roman"/>
          <w:b/>
          <w:bCs/>
          <w:color w:val="000000" w:themeColor="text1"/>
          <w:sz w:val="28"/>
          <w:szCs w:val="28"/>
        </w:rPr>
      </w:pPr>
    </w:p>
    <w:p w14:paraId="5ECD8182" w14:textId="77777777" w:rsidR="00CD3B5B" w:rsidRPr="007B4DBF" w:rsidRDefault="00CD3B5B" w:rsidP="00CD3B5B">
      <w:pPr>
        <w:ind w:leftChars="100" w:left="220" w:rightChars="350" w:right="770"/>
        <w:jc w:val="center"/>
        <w:rPr>
          <w:rFonts w:ascii="Times New Roman" w:hAnsi="Times New Roman" w:cs="Times New Roman"/>
          <w:b/>
          <w:bCs/>
          <w:color w:val="000000" w:themeColor="text1"/>
          <w:sz w:val="28"/>
          <w:szCs w:val="28"/>
        </w:rPr>
      </w:pPr>
    </w:p>
    <w:p w14:paraId="54E863C6" w14:textId="77777777" w:rsidR="004A4F41" w:rsidRPr="007B4DBF" w:rsidRDefault="004A4F41" w:rsidP="00CD3B5B">
      <w:pPr>
        <w:ind w:leftChars="100" w:left="220" w:rightChars="350" w:right="770"/>
        <w:jc w:val="center"/>
        <w:rPr>
          <w:rFonts w:ascii="Times New Roman" w:hAnsi="Times New Roman" w:cs="Times New Roman"/>
          <w:b/>
          <w:bCs/>
          <w:color w:val="000000" w:themeColor="text1"/>
          <w:sz w:val="28"/>
          <w:szCs w:val="28"/>
        </w:rPr>
      </w:pPr>
    </w:p>
    <w:p w14:paraId="7248774C" w14:textId="77777777" w:rsidR="004A4F41" w:rsidRPr="007B4DBF" w:rsidRDefault="004A4F41" w:rsidP="00CD3B5B">
      <w:pPr>
        <w:jc w:val="center"/>
        <w:rPr>
          <w:rFonts w:ascii="Times New Roman" w:hAnsi="Times New Roman" w:cs="Times New Roman"/>
          <w:b/>
          <w:bCs/>
          <w:caps/>
          <w:color w:val="000000" w:themeColor="text1"/>
          <w:sz w:val="28"/>
          <w:szCs w:val="28"/>
        </w:rPr>
      </w:pPr>
      <w:r w:rsidRPr="007B4DBF">
        <w:rPr>
          <w:rFonts w:ascii="Times New Roman" w:hAnsi="Times New Roman" w:cs="Times New Roman"/>
          <w:b/>
          <w:bCs/>
          <w:caps/>
          <w:color w:val="000000" w:themeColor="text1"/>
          <w:sz w:val="28"/>
          <w:szCs w:val="28"/>
        </w:rPr>
        <w:t>Igor GROSU</w:t>
      </w:r>
    </w:p>
    <w:p w14:paraId="61158CAD" w14:textId="0CEE4E3E" w:rsidR="004A4F41" w:rsidRDefault="004A4F41" w:rsidP="00CD3B5B">
      <w:pPr>
        <w:ind w:left="567" w:right="1985"/>
        <w:jc w:val="center"/>
        <w:rPr>
          <w:rFonts w:ascii="Times New Roman" w:hAnsi="Times New Roman" w:cs="Times New Roman"/>
          <w:b/>
          <w:bCs/>
          <w:caps/>
          <w:color w:val="000000" w:themeColor="text1"/>
          <w:sz w:val="28"/>
          <w:szCs w:val="28"/>
        </w:rPr>
      </w:pPr>
    </w:p>
    <w:p w14:paraId="2D3C5739" w14:textId="7EEAF01B" w:rsidR="00CD3B5B" w:rsidRDefault="00CD3B5B" w:rsidP="00CD3B5B">
      <w:pPr>
        <w:ind w:left="567" w:right="1985"/>
        <w:jc w:val="center"/>
        <w:rPr>
          <w:rFonts w:ascii="Times New Roman" w:hAnsi="Times New Roman" w:cs="Times New Roman"/>
          <w:b/>
          <w:bCs/>
          <w:caps/>
          <w:color w:val="000000" w:themeColor="text1"/>
          <w:sz w:val="28"/>
          <w:szCs w:val="28"/>
        </w:rPr>
      </w:pPr>
    </w:p>
    <w:p w14:paraId="71650F90" w14:textId="77777777" w:rsidR="00CD3B5B" w:rsidRPr="007B4DBF" w:rsidRDefault="00CD3B5B" w:rsidP="00CD3B5B">
      <w:pPr>
        <w:ind w:left="567" w:right="1985"/>
        <w:jc w:val="center"/>
        <w:rPr>
          <w:rFonts w:ascii="Times New Roman" w:hAnsi="Times New Roman" w:cs="Times New Roman"/>
          <w:b/>
          <w:bCs/>
          <w:caps/>
          <w:color w:val="000000" w:themeColor="text1"/>
          <w:sz w:val="28"/>
          <w:szCs w:val="28"/>
        </w:rPr>
      </w:pPr>
    </w:p>
    <w:p w14:paraId="12C2C29C" w14:textId="77777777" w:rsidR="004A4F41" w:rsidRPr="007B4DBF" w:rsidRDefault="004A4F41" w:rsidP="00CD3B5B">
      <w:pPr>
        <w:ind w:left="567" w:right="1985"/>
        <w:jc w:val="center"/>
        <w:rPr>
          <w:rFonts w:ascii="Times New Roman" w:hAnsi="Times New Roman" w:cs="Times New Roman"/>
          <w:b/>
          <w:bCs/>
          <w:caps/>
          <w:color w:val="000000" w:themeColor="text1"/>
          <w:sz w:val="28"/>
          <w:szCs w:val="28"/>
        </w:rPr>
      </w:pPr>
    </w:p>
    <w:p w14:paraId="54B09484" w14:textId="77777777" w:rsidR="004A4F41" w:rsidRPr="007B4DBF" w:rsidRDefault="004A4F41" w:rsidP="00CD3B5B">
      <w:pPr>
        <w:rPr>
          <w:rFonts w:ascii="Times New Roman" w:hAnsi="Times New Roman" w:cs="Times New Roman"/>
          <w:b/>
          <w:bCs/>
          <w:color w:val="000000" w:themeColor="text1"/>
          <w:sz w:val="28"/>
          <w:szCs w:val="28"/>
        </w:rPr>
      </w:pPr>
      <w:r w:rsidRPr="007B4DBF">
        <w:rPr>
          <w:rFonts w:ascii="Times New Roman" w:hAnsi="Times New Roman" w:cs="Times New Roman"/>
          <w:b/>
          <w:bCs/>
          <w:caps/>
          <w:color w:val="000000" w:themeColor="text1"/>
          <w:sz w:val="28"/>
          <w:szCs w:val="28"/>
        </w:rPr>
        <w:t>C</w:t>
      </w:r>
      <w:r w:rsidRPr="007B4DBF">
        <w:rPr>
          <w:rFonts w:ascii="Times New Roman" w:hAnsi="Times New Roman" w:cs="Times New Roman"/>
          <w:b/>
          <w:bCs/>
          <w:color w:val="000000" w:themeColor="text1"/>
          <w:sz w:val="28"/>
          <w:szCs w:val="28"/>
        </w:rPr>
        <w:t xml:space="preserve">hișinău, 29 iulie 2022.     </w:t>
      </w:r>
    </w:p>
    <w:p w14:paraId="3FBF0542" w14:textId="0A42833D" w:rsidR="004E10CA" w:rsidRPr="004A4F41" w:rsidRDefault="004A4F41" w:rsidP="00CD3B5B">
      <w:pPr>
        <w:rPr>
          <w:rFonts w:ascii="Times New Roman" w:hAnsi="Times New Roman" w:cs="Times New Roman"/>
          <w:b/>
          <w:sz w:val="28"/>
          <w:szCs w:val="28"/>
          <w:lang w:val="ro-RO"/>
        </w:rPr>
      </w:pPr>
      <w:r w:rsidRPr="007B4DBF">
        <w:rPr>
          <w:rFonts w:ascii="Times New Roman" w:hAnsi="Times New Roman" w:cs="Times New Roman"/>
          <w:b/>
          <w:bCs/>
          <w:color w:val="000000" w:themeColor="text1"/>
          <w:sz w:val="28"/>
          <w:szCs w:val="28"/>
        </w:rPr>
        <w:t>Nr. 25</w:t>
      </w:r>
      <w:r>
        <w:rPr>
          <w:rFonts w:ascii="Times New Roman" w:hAnsi="Times New Roman" w:cs="Times New Roman"/>
          <w:b/>
          <w:bCs/>
          <w:color w:val="000000" w:themeColor="text1"/>
          <w:sz w:val="28"/>
          <w:szCs w:val="28"/>
        </w:rPr>
        <w:t>6</w:t>
      </w:r>
      <w:r w:rsidRPr="007B4DBF">
        <w:rPr>
          <w:rFonts w:ascii="Times New Roman" w:hAnsi="Times New Roman" w:cs="Times New Roman"/>
          <w:b/>
          <w:bCs/>
          <w:color w:val="000000" w:themeColor="text1"/>
          <w:sz w:val="28"/>
          <w:szCs w:val="28"/>
        </w:rPr>
        <w:t>.</w:t>
      </w:r>
    </w:p>
    <w:sectPr w:rsidR="004E10CA" w:rsidRPr="004A4F41" w:rsidSect="00552FE9">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4DCE7" w14:textId="77777777" w:rsidR="00643B0E" w:rsidRDefault="00643B0E" w:rsidP="00D64A3C">
      <w:r>
        <w:separator/>
      </w:r>
    </w:p>
  </w:endnote>
  <w:endnote w:type="continuationSeparator" w:id="0">
    <w:p w14:paraId="0A7A4414" w14:textId="77777777" w:rsidR="00643B0E" w:rsidRDefault="00643B0E" w:rsidP="00D64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BA300" w14:textId="77777777" w:rsidR="00643B0E" w:rsidRDefault="00643B0E" w:rsidP="00D64A3C">
      <w:r>
        <w:separator/>
      </w:r>
    </w:p>
  </w:footnote>
  <w:footnote w:type="continuationSeparator" w:id="0">
    <w:p w14:paraId="3105E21D" w14:textId="77777777" w:rsidR="00643B0E" w:rsidRDefault="00643B0E" w:rsidP="00D64A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3251596"/>
      <w:docPartObj>
        <w:docPartGallery w:val="Page Numbers (Top of Page)"/>
        <w:docPartUnique/>
      </w:docPartObj>
    </w:sdtPr>
    <w:sdtEndPr/>
    <w:sdtContent>
      <w:p w14:paraId="05532C90" w14:textId="2F7D5822" w:rsidR="00D64A3C" w:rsidRDefault="00D64A3C">
        <w:pPr>
          <w:pStyle w:val="Header"/>
          <w:jc w:val="center"/>
        </w:pPr>
        <w:r w:rsidRPr="00D64A3C">
          <w:rPr>
            <w:rFonts w:ascii="Times New Roman" w:hAnsi="Times New Roman" w:cs="Times New Roman"/>
            <w:sz w:val="28"/>
            <w:szCs w:val="28"/>
          </w:rPr>
          <w:fldChar w:fldCharType="begin"/>
        </w:r>
        <w:r w:rsidRPr="00085FFC">
          <w:rPr>
            <w:rFonts w:ascii="Times New Roman" w:hAnsi="Times New Roman" w:cs="Times New Roman"/>
            <w:sz w:val="28"/>
            <w:szCs w:val="28"/>
          </w:rPr>
          <w:instrText>PAGE   \* MERGEFORMAT</w:instrText>
        </w:r>
        <w:r w:rsidRPr="00D64A3C">
          <w:rPr>
            <w:rFonts w:ascii="Times New Roman" w:hAnsi="Times New Roman" w:cs="Times New Roman"/>
            <w:sz w:val="28"/>
            <w:szCs w:val="28"/>
          </w:rPr>
          <w:fldChar w:fldCharType="separate"/>
        </w:r>
        <w:r w:rsidRPr="00085FFC">
          <w:rPr>
            <w:rFonts w:ascii="Times New Roman" w:hAnsi="Times New Roman" w:cs="Times New Roman"/>
            <w:sz w:val="28"/>
            <w:szCs w:val="28"/>
            <w:lang w:val="ro-RO"/>
          </w:rPr>
          <w:t>2</w:t>
        </w:r>
        <w:r w:rsidRPr="00D64A3C">
          <w:rPr>
            <w:rFonts w:ascii="Times New Roman" w:hAnsi="Times New Roman" w:cs="Times New Roman"/>
            <w:sz w:val="28"/>
            <w:szCs w:val="28"/>
          </w:rPr>
          <w:fldChar w:fldCharType="end"/>
        </w:r>
      </w:p>
    </w:sdtContent>
  </w:sdt>
  <w:p w14:paraId="74FC7725" w14:textId="77777777" w:rsidR="00D64A3C" w:rsidRDefault="00D64A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2131B"/>
    <w:multiLevelType w:val="multilevel"/>
    <w:tmpl w:val="4230B9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C63"/>
    <w:rsid w:val="0000313D"/>
    <w:rsid w:val="000530C9"/>
    <w:rsid w:val="00085FFC"/>
    <w:rsid w:val="000E509F"/>
    <w:rsid w:val="00122EC0"/>
    <w:rsid w:val="001429DD"/>
    <w:rsid w:val="001B114E"/>
    <w:rsid w:val="001C6831"/>
    <w:rsid w:val="001D3685"/>
    <w:rsid w:val="00210683"/>
    <w:rsid w:val="00305137"/>
    <w:rsid w:val="00365869"/>
    <w:rsid w:val="003665EE"/>
    <w:rsid w:val="003B5A7C"/>
    <w:rsid w:val="003C2613"/>
    <w:rsid w:val="003E42BE"/>
    <w:rsid w:val="003E7E2C"/>
    <w:rsid w:val="003F72C8"/>
    <w:rsid w:val="003F7B4B"/>
    <w:rsid w:val="00423CE3"/>
    <w:rsid w:val="0043362D"/>
    <w:rsid w:val="00465ADE"/>
    <w:rsid w:val="00471088"/>
    <w:rsid w:val="004A4403"/>
    <w:rsid w:val="004A4F41"/>
    <w:rsid w:val="004D3D26"/>
    <w:rsid w:val="004E10CA"/>
    <w:rsid w:val="004E2BC4"/>
    <w:rsid w:val="0050737B"/>
    <w:rsid w:val="005169E2"/>
    <w:rsid w:val="00525F0C"/>
    <w:rsid w:val="0054742F"/>
    <w:rsid w:val="00552FE9"/>
    <w:rsid w:val="00583DCB"/>
    <w:rsid w:val="005A6854"/>
    <w:rsid w:val="005E09D5"/>
    <w:rsid w:val="00613499"/>
    <w:rsid w:val="00643B0E"/>
    <w:rsid w:val="00643C2F"/>
    <w:rsid w:val="00662715"/>
    <w:rsid w:val="006D4EEF"/>
    <w:rsid w:val="006F1DAA"/>
    <w:rsid w:val="00714AB1"/>
    <w:rsid w:val="00716C63"/>
    <w:rsid w:val="00727323"/>
    <w:rsid w:val="00756E47"/>
    <w:rsid w:val="00770584"/>
    <w:rsid w:val="00775B84"/>
    <w:rsid w:val="0081717E"/>
    <w:rsid w:val="00835E8C"/>
    <w:rsid w:val="0084213E"/>
    <w:rsid w:val="00846494"/>
    <w:rsid w:val="00847F3B"/>
    <w:rsid w:val="008608C2"/>
    <w:rsid w:val="008670E9"/>
    <w:rsid w:val="008F5089"/>
    <w:rsid w:val="0091245E"/>
    <w:rsid w:val="00933972"/>
    <w:rsid w:val="00990432"/>
    <w:rsid w:val="00A0678C"/>
    <w:rsid w:val="00A10168"/>
    <w:rsid w:val="00A97F33"/>
    <w:rsid w:val="00AA5149"/>
    <w:rsid w:val="00C051D1"/>
    <w:rsid w:val="00C0774D"/>
    <w:rsid w:val="00C54049"/>
    <w:rsid w:val="00C65CFA"/>
    <w:rsid w:val="00C76B68"/>
    <w:rsid w:val="00C84CA8"/>
    <w:rsid w:val="00CB644C"/>
    <w:rsid w:val="00CC1F4B"/>
    <w:rsid w:val="00CD3B5B"/>
    <w:rsid w:val="00D078C5"/>
    <w:rsid w:val="00D11EEA"/>
    <w:rsid w:val="00D13178"/>
    <w:rsid w:val="00D60BF4"/>
    <w:rsid w:val="00D64A3C"/>
    <w:rsid w:val="00D65F41"/>
    <w:rsid w:val="00E40326"/>
    <w:rsid w:val="00E775BE"/>
    <w:rsid w:val="00ED6FD5"/>
    <w:rsid w:val="00EF7E88"/>
    <w:rsid w:val="00F01625"/>
    <w:rsid w:val="00F10F4F"/>
    <w:rsid w:val="00F41623"/>
    <w:rsid w:val="00F55222"/>
    <w:rsid w:val="00F60817"/>
    <w:rsid w:val="00F615CE"/>
    <w:rsid w:val="00F93EA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817DD"/>
  <w15:chartTrackingRefBased/>
  <w15:docId w15:val="{D83B7DBE-0A61-45F8-BD83-193213AB9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7B4B"/>
    <w:rPr>
      <w:rFonts w:ascii="Times New Roman" w:hAnsi="Times New Roman" w:cs="Times New Roman"/>
      <w:sz w:val="24"/>
      <w:szCs w:val="24"/>
    </w:rPr>
  </w:style>
  <w:style w:type="character" w:customStyle="1" w:styleId="BodyTextChar">
    <w:name w:val="Body Text Char"/>
    <w:basedOn w:val="DefaultParagraphFont"/>
    <w:link w:val="BodyText"/>
    <w:rsid w:val="008670E9"/>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8670E9"/>
    <w:pPr>
      <w:widowControl w:val="0"/>
      <w:shd w:val="clear" w:color="auto" w:fill="FFFFFF"/>
      <w:ind w:firstLine="400"/>
    </w:pPr>
    <w:rPr>
      <w:rFonts w:ascii="Times New Roman" w:eastAsia="Times New Roman" w:hAnsi="Times New Roman" w:cs="Times New Roman"/>
      <w:sz w:val="28"/>
      <w:szCs w:val="28"/>
    </w:rPr>
  </w:style>
  <w:style w:type="character" w:customStyle="1" w:styleId="BodyTextChar1">
    <w:name w:val="Body Text Char1"/>
    <w:basedOn w:val="DefaultParagraphFont"/>
    <w:uiPriority w:val="99"/>
    <w:semiHidden/>
    <w:rsid w:val="008670E9"/>
  </w:style>
  <w:style w:type="paragraph" w:styleId="Revision">
    <w:name w:val="Revision"/>
    <w:hidden/>
    <w:uiPriority w:val="99"/>
    <w:semiHidden/>
    <w:rsid w:val="00F60817"/>
  </w:style>
  <w:style w:type="paragraph" w:styleId="Header">
    <w:name w:val="header"/>
    <w:basedOn w:val="Normal"/>
    <w:link w:val="HeaderChar"/>
    <w:uiPriority w:val="99"/>
    <w:unhideWhenUsed/>
    <w:rsid w:val="00D64A3C"/>
    <w:pPr>
      <w:tabs>
        <w:tab w:val="center" w:pos="4677"/>
        <w:tab w:val="right" w:pos="9355"/>
      </w:tabs>
    </w:pPr>
  </w:style>
  <w:style w:type="character" w:customStyle="1" w:styleId="HeaderChar">
    <w:name w:val="Header Char"/>
    <w:basedOn w:val="DefaultParagraphFont"/>
    <w:link w:val="Header"/>
    <w:uiPriority w:val="99"/>
    <w:rsid w:val="00D64A3C"/>
  </w:style>
  <w:style w:type="paragraph" w:styleId="Footer">
    <w:name w:val="footer"/>
    <w:basedOn w:val="Normal"/>
    <w:link w:val="FooterChar"/>
    <w:uiPriority w:val="99"/>
    <w:unhideWhenUsed/>
    <w:rsid w:val="00D64A3C"/>
    <w:pPr>
      <w:tabs>
        <w:tab w:val="center" w:pos="4677"/>
        <w:tab w:val="right" w:pos="9355"/>
      </w:tabs>
    </w:pPr>
  </w:style>
  <w:style w:type="character" w:customStyle="1" w:styleId="FooterChar">
    <w:name w:val="Footer Char"/>
    <w:basedOn w:val="DefaultParagraphFont"/>
    <w:link w:val="Footer"/>
    <w:uiPriority w:val="99"/>
    <w:rsid w:val="00D64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726052">
      <w:bodyDiv w:val="1"/>
      <w:marLeft w:val="0"/>
      <w:marRight w:val="0"/>
      <w:marTop w:val="0"/>
      <w:marBottom w:val="0"/>
      <w:divBdr>
        <w:top w:val="none" w:sz="0" w:space="0" w:color="auto"/>
        <w:left w:val="none" w:sz="0" w:space="0" w:color="auto"/>
        <w:bottom w:val="none" w:sz="0" w:space="0" w:color="auto"/>
        <w:right w:val="none" w:sz="0" w:space="0" w:color="auto"/>
      </w:divBdr>
    </w:div>
    <w:div w:id="207415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672D360C-514D-44AA-B4A0-5A7743790ACC}"/>
</file>

<file path=customXml/itemProps2.xml><?xml version="1.0" encoding="utf-8"?>
<ds:datastoreItem xmlns:ds="http://schemas.openxmlformats.org/officeDocument/2006/customXml" ds:itemID="{2F901AD1-78EE-46B0-A950-BFCEBEB9BA3A}"/>
</file>

<file path=customXml/itemProps3.xml><?xml version="1.0" encoding="utf-8"?>
<ds:datastoreItem xmlns:ds="http://schemas.openxmlformats.org/officeDocument/2006/customXml" ds:itemID="{A9935C21-FA1A-403B-9943-31231C3313F9}"/>
</file>

<file path=docProps/app.xml><?xml version="1.0" encoding="utf-8"?>
<Properties xmlns="http://schemas.openxmlformats.org/officeDocument/2006/extended-properties" xmlns:vt="http://schemas.openxmlformats.org/officeDocument/2006/docPropsVTypes">
  <Template>Normal</Template>
  <TotalTime>2</TotalTime>
  <Pages>2</Pages>
  <Words>561</Words>
  <Characters>3259</Characters>
  <Application>Microsoft Office Word</Application>
  <DocSecurity>0</DocSecurity>
  <Lines>27</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L_256.2022.ro</dc:title>
  <dc:subject/>
  <dc:creator>Iurie Cernean</dc:creator>
  <cp:keywords/>
  <dc:description/>
  <cp:lastModifiedBy>Inga Rusnac</cp:lastModifiedBy>
  <cp:revision>3</cp:revision>
  <cp:lastPrinted>2022-03-15T08:52:00Z</cp:lastPrinted>
  <dcterms:created xsi:type="dcterms:W3CDTF">2022-07-29T10:27:00Z</dcterms:created>
  <dcterms:modified xsi:type="dcterms:W3CDTF">2022-07-29T10:29:00Z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