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2D200" w14:textId="53487A26" w:rsidR="00954FEA" w:rsidRPr="00954FEA" w:rsidRDefault="00954FEA" w:rsidP="00954FEA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954FEA">
        <w:rPr>
          <w:rFonts w:ascii="Times New Roman" w:hAnsi="Times New Roman" w:cs="Times New Roman"/>
          <w:i/>
          <w:iCs/>
          <w:sz w:val="24"/>
          <w:szCs w:val="24"/>
        </w:rPr>
        <w:t>proiect</w:t>
      </w:r>
    </w:p>
    <w:p w14:paraId="041A82BB" w14:textId="4AEDE4E4" w:rsidR="00335E2D" w:rsidRPr="00EB08D3" w:rsidRDefault="00335E2D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PARLAMENTUL REPUBLICII MOLDOVA</w:t>
      </w:r>
    </w:p>
    <w:p w14:paraId="0815F570" w14:textId="5EBB81C1" w:rsidR="00335E2D" w:rsidRDefault="00335E2D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9D9F1D" w14:textId="77777777" w:rsidR="00954FEA" w:rsidRPr="00EB08D3" w:rsidRDefault="00954FEA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757153" w14:textId="77777777" w:rsidR="00335E2D" w:rsidRDefault="00335E2D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46C4EFCF" w14:textId="77777777" w:rsidR="00954FEA" w:rsidRPr="00EB08D3" w:rsidRDefault="00954FEA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7311C5" w14:textId="5A6DC318" w:rsidR="00335E2D" w:rsidRPr="00EB08D3" w:rsidRDefault="00335E2D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cu privire la Raportul de activitate al</w:t>
      </w:r>
    </w:p>
    <w:p w14:paraId="3BC5FD62" w14:textId="3FE264D5" w:rsidR="00335E2D" w:rsidRPr="00EB08D3" w:rsidRDefault="00335E2D" w:rsidP="00335E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Consiliului Concurenței pentru anul 2023</w:t>
      </w:r>
    </w:p>
    <w:p w14:paraId="1E784AE4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EA0B2C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E46FF7" w14:textId="3969F859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În temeiul art.128 alin.(3) din Regulamentul Parlamentului, adoptat prin Legea nr.797/1996 şi art. 33 alin. (</w:t>
      </w:r>
      <w:r w:rsidR="00AA3E2F">
        <w:rPr>
          <w:rFonts w:ascii="Times New Roman" w:hAnsi="Times New Roman" w:cs="Times New Roman"/>
          <w:sz w:val="28"/>
          <w:szCs w:val="28"/>
        </w:rPr>
        <w:t>5</w:t>
      </w:r>
      <w:r w:rsidRPr="00EB08D3">
        <w:rPr>
          <w:rFonts w:ascii="Times New Roman" w:hAnsi="Times New Roman" w:cs="Times New Roman"/>
          <w:sz w:val="28"/>
          <w:szCs w:val="28"/>
        </w:rPr>
        <w:t>)</w:t>
      </w:r>
      <w:r w:rsidR="00712A70">
        <w:rPr>
          <w:rFonts w:ascii="Times New Roman" w:hAnsi="Times New Roman" w:cs="Times New Roman"/>
          <w:sz w:val="28"/>
          <w:szCs w:val="28"/>
        </w:rPr>
        <w:t xml:space="preserve"> din</w:t>
      </w:r>
      <w:r w:rsidRPr="00EB08D3">
        <w:rPr>
          <w:rFonts w:ascii="Times New Roman" w:hAnsi="Times New Roman" w:cs="Times New Roman"/>
          <w:sz w:val="28"/>
          <w:szCs w:val="28"/>
        </w:rPr>
        <w:t xml:space="preserve"> Leg</w:t>
      </w:r>
      <w:r w:rsidR="00712A70">
        <w:rPr>
          <w:rFonts w:ascii="Times New Roman" w:hAnsi="Times New Roman" w:cs="Times New Roman"/>
          <w:sz w:val="28"/>
          <w:szCs w:val="28"/>
        </w:rPr>
        <w:t>ea</w:t>
      </w:r>
      <w:r w:rsidRPr="00EB08D3">
        <w:rPr>
          <w:rFonts w:ascii="Times New Roman" w:hAnsi="Times New Roman" w:cs="Times New Roman"/>
          <w:sz w:val="28"/>
          <w:szCs w:val="28"/>
        </w:rPr>
        <w:t xml:space="preserve"> concurentei nr. 183/2012</w:t>
      </w:r>
    </w:p>
    <w:p w14:paraId="14AD2C5A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C267C8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A8222E" w14:textId="528B3D7B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7343B8B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DD0EA6" w14:textId="7AAA7C98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Art.1.</w:t>
      </w:r>
      <w:r w:rsidRPr="00EB08D3">
        <w:rPr>
          <w:rFonts w:ascii="Times New Roman" w:hAnsi="Times New Roman" w:cs="Times New Roman"/>
          <w:sz w:val="28"/>
          <w:szCs w:val="28"/>
        </w:rPr>
        <w:t xml:space="preserve"> – Se ia act de Raportul de activitate al Consiliului Concurenței pentru anul 2023.</w:t>
      </w:r>
    </w:p>
    <w:p w14:paraId="6087D743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5A00D4" w14:textId="236E9F88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Art.2.</w:t>
      </w:r>
      <w:r w:rsidRPr="00EB08D3">
        <w:rPr>
          <w:rFonts w:ascii="Times New Roman" w:hAnsi="Times New Roman" w:cs="Times New Roman"/>
          <w:sz w:val="28"/>
          <w:szCs w:val="28"/>
        </w:rPr>
        <w:t xml:space="preserve"> – Consiliul Concurenței:</w:t>
      </w:r>
    </w:p>
    <w:p w14:paraId="55CCE9A5" w14:textId="2C616896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intensifica eforturile în vederea contracarării practicilor anticoncurențiale prin luarea unei atitudini mai proactive față de problemele existente pe piețe;</w:t>
      </w:r>
    </w:p>
    <w:p w14:paraId="312C36AF" w14:textId="14D7BBB4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prioritiza activitatea instituției și setarea clară a domeniilor și sectoarelor economice cheie care vor fi analizate de către Consiliul în condițiile resurselor limitate a instituției;</w:t>
      </w:r>
    </w:p>
    <w:p w14:paraId="083AA5F4" w14:textId="58E61AF6" w:rsidR="00335E2D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îmbunătăți accesul publicului la informațiile despre activitățile și deciziile Consiliului prin actualizarea constantă a paginii web și publicarea periodică a rapoartelor de activitate intermediare, or accesul facil la informație crește transparența și încrederea publicului;</w:t>
      </w:r>
    </w:p>
    <w:p w14:paraId="71373214" w14:textId="2A20E514" w:rsidR="007029C9" w:rsidRDefault="007029C9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va comunica mai activ despre deciziile și acțiunile inițiate, prin organizarea conferințelor de presă, interacțiune mai bună cu mass-media, utilizarea mai vizibilă a rețelelor sociale, etc;</w:t>
      </w:r>
    </w:p>
    <w:p w14:paraId="4CFD34F7" w14:textId="61F95ED7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efectua investiții mai mari în formarea și retenția personalului calificat pentru a asigura o continuitate și un standard înalt de expertiză în investigații și luarea deciziilor. Criza de resurse umane este menționată ca o provocare majoră. Investițiile în resurse umane vor conduce la o eficiență și o performanță mai bune ale Consiliului;</w:t>
      </w:r>
    </w:p>
    <w:p w14:paraId="28E5D1D5" w14:textId="094EE5B6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accentua implementarea și utilizarea sistemelor informaționale moderne pentru gestionarea electronică a proceselor interne și a investigațiilor. Digitalizarea proceselor poate îmbunătăți eficiența operațională și poate facilita managementul cazurilor complexe;</w:t>
      </w:r>
    </w:p>
    <w:p w14:paraId="13AF93A6" w14:textId="25E92D53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extinde cooperarea cu alte autorități de concurență și organizații internaționale pentru a învăța din bunele practici și a îmbunătăți cadrul legislativ și operațional. Colaborarea internațională poate aduce noi perspective și soluții inovatoare pentru problemele locale;</w:t>
      </w:r>
    </w:p>
    <w:p w14:paraId="51C014C8" w14:textId="4959F06E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lastRenderedPageBreak/>
        <w:t>- va crea și implementa campanii de informare și educare a întreprinderilor și publicului larg privind beneficiile unei concurențe loiale. Promovarea culturii concurențiale contribuie la prevenirea practicilor anticoncurențiale și la crearea unui mediu economic sănătos;</w:t>
      </w:r>
    </w:p>
    <w:p w14:paraId="50EA0F74" w14:textId="7657D54B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comunica impactul amenzilor aplicate asupra mediului concurențial și a modului cum aceste amenzi au dus la schimbarea comportamentului agenților economici și/sau a sectorului vizat.</w:t>
      </w:r>
    </w:p>
    <w:p w14:paraId="340461C5" w14:textId="4D172F05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>- va asigura comunicarea publică proactivă și îmbunătățirea comunicării interne în cadrul instituției.</w:t>
      </w:r>
    </w:p>
    <w:p w14:paraId="3526D047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6A2A7D" w14:textId="77777777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 xml:space="preserve">Art.3. </w:t>
      </w:r>
      <w:r w:rsidRPr="00EB08D3">
        <w:rPr>
          <w:rFonts w:ascii="Times New Roman" w:hAnsi="Times New Roman" w:cs="Times New Roman"/>
          <w:sz w:val="28"/>
          <w:szCs w:val="28"/>
        </w:rPr>
        <w:t>– Comisia economie, buget şi finanţe a Parlamentului, în contextul controlului parlamentar, va monitoriza executarea prezentei hotărâri.</w:t>
      </w:r>
    </w:p>
    <w:p w14:paraId="0CECCFE9" w14:textId="77777777" w:rsidR="00335E2D" w:rsidRPr="00EB08D3" w:rsidRDefault="00335E2D" w:rsidP="00335E2D">
      <w:pPr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F0D098" w14:textId="77777777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Art.4.</w:t>
      </w:r>
      <w:r w:rsidRPr="00EB08D3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421BAB80" w14:textId="77777777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F3B996B" w14:textId="77777777" w:rsidR="00335E2D" w:rsidRPr="00EB08D3" w:rsidRDefault="00335E2D" w:rsidP="00335E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9C47DC" w14:textId="3A8F1C40" w:rsidR="005169E2" w:rsidRPr="00EB08D3" w:rsidRDefault="00335E2D" w:rsidP="00335E2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08D3">
        <w:rPr>
          <w:rFonts w:ascii="Times New Roman" w:hAnsi="Times New Roman" w:cs="Times New Roman"/>
          <w:b/>
          <w:bCs/>
          <w:sz w:val="28"/>
          <w:szCs w:val="28"/>
        </w:rPr>
        <w:t>PREŞEDINTELE PARLAMENTULUI</w:t>
      </w:r>
    </w:p>
    <w:sectPr w:rsidR="005169E2" w:rsidRPr="00EB08D3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FD231" w14:textId="77777777" w:rsidR="002F7715" w:rsidRDefault="002F7715" w:rsidP="00954FEA">
      <w:r>
        <w:separator/>
      </w:r>
    </w:p>
  </w:endnote>
  <w:endnote w:type="continuationSeparator" w:id="0">
    <w:p w14:paraId="4C1905C4" w14:textId="77777777" w:rsidR="002F7715" w:rsidRDefault="002F7715" w:rsidP="0095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103598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1D1C5B" w14:textId="3F39172D" w:rsidR="00954FEA" w:rsidRDefault="00954F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396389" w14:textId="77777777" w:rsidR="00954FEA" w:rsidRDefault="00954F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F75B7" w14:textId="77777777" w:rsidR="002F7715" w:rsidRDefault="002F7715" w:rsidP="00954FEA">
      <w:r>
        <w:separator/>
      </w:r>
    </w:p>
  </w:footnote>
  <w:footnote w:type="continuationSeparator" w:id="0">
    <w:p w14:paraId="6A98F999" w14:textId="77777777" w:rsidR="002F7715" w:rsidRDefault="002F7715" w:rsidP="00954F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E2D"/>
    <w:rsid w:val="00087098"/>
    <w:rsid w:val="002F7715"/>
    <w:rsid w:val="00335E2D"/>
    <w:rsid w:val="005169E2"/>
    <w:rsid w:val="005A5BFB"/>
    <w:rsid w:val="007029C9"/>
    <w:rsid w:val="00712A70"/>
    <w:rsid w:val="00954FEA"/>
    <w:rsid w:val="00A24758"/>
    <w:rsid w:val="00AA3E2F"/>
    <w:rsid w:val="00CA4FF7"/>
    <w:rsid w:val="00EB08D3"/>
    <w:rsid w:val="00EC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ABBF1"/>
  <w15:chartTrackingRefBased/>
  <w15:docId w15:val="{94171191-E942-49A0-A3D0-D03F7AB6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E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E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E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E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E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E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E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E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E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E2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E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E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E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E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E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4F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FEA"/>
  </w:style>
  <w:style w:type="paragraph" w:styleId="Footer">
    <w:name w:val="footer"/>
    <w:basedOn w:val="Normal"/>
    <w:link w:val="FooterChar"/>
    <w:uiPriority w:val="99"/>
    <w:unhideWhenUsed/>
    <w:rsid w:val="00954F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AED90C-E666-455C-BA23-2E0D63B15404}"/>
</file>

<file path=customXml/itemProps2.xml><?xml version="1.0" encoding="utf-8"?>
<ds:datastoreItem xmlns:ds="http://schemas.openxmlformats.org/officeDocument/2006/customXml" ds:itemID="{5D388981-3DAC-41D0-81F6-9AB38DDB7309}"/>
</file>

<file path=customXml/itemProps3.xml><?xml version="1.0" encoding="utf-8"?>
<ds:datastoreItem xmlns:ds="http://schemas.openxmlformats.org/officeDocument/2006/customXml" ds:itemID="{48EA02DC-3644-47E0-B95E-A2D3998A6B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436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208.2024.ro</dc:title>
  <dc:subject/>
  <dc:creator>Iurie Cernean</dc:creator>
  <cp:keywords/>
  <dc:description/>
  <cp:lastModifiedBy>Iurie Cernean</cp:lastModifiedBy>
  <cp:revision>7</cp:revision>
  <dcterms:created xsi:type="dcterms:W3CDTF">2024-06-20T11:38:00Z</dcterms:created>
  <dcterms:modified xsi:type="dcterms:W3CDTF">2024-06-26T09:12:00Z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