
<file path=[Content_Types].xml><?xml version="1.0" encoding="utf-8"?>
<Types xmlns="http://schemas.openxmlformats.org/package/2006/content-types">
  <Default Extension="png" ContentType="image/png"/>
  <Default Extension="rels" ContentType="application/vnd.openxmlformats-package.relationships+xml"/>
  <Default Extension="jpeg" ContentType="image/jpeg"/>
  <Default Extension="xml" ContentType="applicatio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footer8.xml" ContentType="application/vnd.openxmlformats-officedocument.wordprocessingml.footer+xml"/>
  <Override PartName="/word/header10.xml" ContentType="application/vnd.openxmlformats-officedocument.wordprocessingml.header+xml"/>
  <Override PartName="/word/footer9.xml" ContentType="application/vnd.openxmlformats-officedocument.wordprocessingml.footer+xml"/>
  <Override PartName="/word/header11.xml" ContentType="application/vnd.openxmlformats-officedocument.wordprocessingml.header+xml"/>
  <Override PartName="/word/footer10.xml" ContentType="application/vnd.openxmlformats-officedocument.wordprocessingml.footer+xml"/>
  <Override PartName="/word/header12.xml" ContentType="application/vnd.openxmlformats-officedocument.wordprocessingml.header+xml"/>
  <Override PartName="/word/footer11.xml" ContentType="application/vnd.openxmlformats-officedocument.wordprocessingml.footer+xml"/>
  <Override PartName="/word/header13.xml" ContentType="application/vnd.openxmlformats-officedocument.wordprocessingml.header+xml"/>
  <Override PartName="/word/footer12.xml" ContentType="application/vnd.openxmlformats-officedocument.wordprocessingml.footer+xml"/>
  <Override PartName="/word/header14.xml" ContentType="application/vnd.openxmlformats-officedocument.wordprocessingml.header+xml"/>
  <Override PartName="/word/footer13.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footnotes.xml" ContentType="application/vnd.openxmlformats-officedocument.wordprocessingml.footnote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6"/>
        <w:keepNext w:val="0"/>
        <w:keepLines w:val="0"/>
        <w:framePr w:w="1886" w:h="523" w:wrap="none" w:hAnchor="page" w:x="1675" w:y="375"/>
        <w:widowControl w:val="0"/>
        <w:shd w:val="clear" w:color="auto" w:fill="auto"/>
        <w:bidi w:val="0"/>
        <w:spacing w:before="0" w:after="0" w:line="240" w:lineRule="auto"/>
        <w:ind w:left="0" w:right="0" w:firstLine="0"/>
        <w:jc w:val="left"/>
        <w:rPr>
          <w:sz w:val="22"/>
          <w:szCs w:val="22"/>
        </w:rPr>
      </w:pPr>
      <w:r>
        <w:rPr>
          <w:color w:val="303741"/>
          <w:spacing w:val="0"/>
          <w:w w:val="100"/>
          <w:position w:val="0"/>
          <w:sz w:val="22"/>
          <w:szCs w:val="22"/>
          <w:shd w:val="clear" w:color="auto" w:fill="auto"/>
          <w:lang w:val="en-US" w:eastAsia="en-US" w:bidi="en-US"/>
        </w:rPr>
        <w:t>Parlamentul</w:t>
      </w:r>
    </w:p>
    <w:p>
      <w:pPr>
        <w:pStyle w:val="Style6"/>
        <w:keepNext w:val="0"/>
        <w:keepLines w:val="0"/>
        <w:framePr w:w="1886" w:h="523" w:wrap="none" w:hAnchor="page" w:x="1675" w:y="375"/>
        <w:widowControl w:val="0"/>
        <w:shd w:val="clear" w:color="auto" w:fill="auto"/>
        <w:bidi w:val="0"/>
        <w:spacing w:before="0" w:after="0" w:line="209" w:lineRule="auto"/>
        <w:ind w:left="0" w:right="0" w:firstLine="0"/>
        <w:jc w:val="left"/>
        <w:rPr>
          <w:sz w:val="22"/>
          <w:szCs w:val="22"/>
        </w:rPr>
      </w:pPr>
      <w:r>
        <w:rPr>
          <w:color w:val="303741"/>
          <w:spacing w:val="0"/>
          <w:w w:val="100"/>
          <w:position w:val="0"/>
          <w:sz w:val="22"/>
          <w:szCs w:val="22"/>
          <w:shd w:val="clear" w:color="auto" w:fill="auto"/>
          <w:lang w:val="en-US" w:eastAsia="en-US" w:bidi="en-US"/>
        </w:rPr>
        <w:t>Republicii Moldova</w:t>
      </w:r>
    </w:p>
    <w:p>
      <w:pPr>
        <w:pStyle w:val="Style9"/>
        <w:keepNext w:val="0"/>
        <w:keepLines w:val="0"/>
        <w:framePr w:w="1277" w:h="758" w:wrap="none" w:hAnchor="page" w:x="9580" w:y="131"/>
        <w:widowControl w:val="0"/>
        <w:shd w:val="clear" w:color="auto" w:fill="auto"/>
        <w:bidi w:val="0"/>
        <w:spacing w:before="0" w:after="160" w:line="240" w:lineRule="auto"/>
        <w:ind w:left="0" w:right="0" w:firstLine="0"/>
        <w:jc w:val="right"/>
        <w:rPr>
          <w:sz w:val="24"/>
          <w:szCs w:val="24"/>
        </w:rPr>
      </w:pPr>
      <w:r>
        <w:rPr>
          <w:rFonts w:ascii="Georgia" w:eastAsia="Georgia" w:hAnsi="Georgia" w:cs="Georgia"/>
          <w:color w:val="303741"/>
          <w:spacing w:val="0"/>
          <w:w w:val="100"/>
          <w:position w:val="0"/>
          <w:sz w:val="24"/>
          <w:szCs w:val="24"/>
          <w:shd w:val="clear" w:color="auto" w:fill="auto"/>
          <w:lang w:val="en-US" w:eastAsia="en-US" w:bidi="en-US"/>
        </w:rPr>
        <w:t>OL nr. 027</w:t>
      </w:r>
    </w:p>
    <w:p>
      <w:pPr>
        <w:pStyle w:val="Style9"/>
        <w:keepNext w:val="0"/>
        <w:keepLines w:val="0"/>
        <w:framePr w:w="1277" w:h="758" w:wrap="none" w:hAnchor="page" w:x="9580" w:y="131"/>
        <w:widowControl w:val="0"/>
        <w:shd w:val="clear" w:color="auto" w:fill="auto"/>
        <w:bidi w:val="0"/>
        <w:spacing w:before="0" w:after="0" w:line="240" w:lineRule="auto"/>
        <w:ind w:left="0" w:right="0" w:firstLine="0"/>
        <w:jc w:val="right"/>
        <w:rPr>
          <w:sz w:val="24"/>
          <w:szCs w:val="24"/>
        </w:rPr>
      </w:pPr>
      <w:r>
        <w:rPr>
          <w:rFonts w:ascii="Georgia" w:eastAsia="Georgia" w:hAnsi="Georgia" w:cs="Georgia"/>
          <w:color w:val="303741"/>
          <w:spacing w:val="0"/>
          <w:w w:val="100"/>
          <w:position w:val="0"/>
          <w:sz w:val="24"/>
          <w:szCs w:val="24"/>
          <w:shd w:val="clear" w:color="auto" w:fill="auto"/>
          <w:lang w:val="en-US" w:eastAsia="en-US" w:bidi="en-US"/>
        </w:rPr>
        <w:t>22.04.2021</w:t>
      </w:r>
    </w:p>
    <w:p>
      <w:pPr>
        <w:widowControl w:val="0"/>
        <w:spacing w:line="360" w:lineRule="exact"/>
      </w:pPr>
      <w:r>
        <w:drawing>
          <wp:anchor distT="0" distB="0" distL="0" distR="0" simplePos="0" relativeHeight="62914690" behindDoc="1" locked="0" layoutInCell="1" allowOverlap="1">
            <wp:simplePos x="0" y="0"/>
            <wp:positionH relativeFrom="page">
              <wp:posOffset>447040</wp:posOffset>
            </wp:positionH>
            <wp:positionV relativeFrom="margin">
              <wp:posOffset>0</wp:posOffset>
            </wp:positionV>
            <wp:extent cx="359410" cy="43878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359410" cy="438785"/>
                    </a:xfrm>
                    <a:prstGeom prst="rect"/>
                  </pic:spPr>
                </pic:pic>
              </a:graphicData>
            </a:graphic>
          </wp:anchor>
        </w:drawing>
      </w:r>
      <w:r>
        <w:drawing>
          <wp:anchor distT="0" distB="338455" distL="36830" distR="448310" simplePos="0" relativeHeight="62914691" behindDoc="1" locked="0" layoutInCell="1" allowOverlap="1">
            <wp:simplePos x="0" y="0"/>
            <wp:positionH relativeFrom="page">
              <wp:posOffset>1099820</wp:posOffset>
            </wp:positionH>
            <wp:positionV relativeFrom="margin">
              <wp:posOffset>0</wp:posOffset>
            </wp:positionV>
            <wp:extent cx="713105" cy="231775"/>
            <wp:wrapNone/>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713105" cy="231775"/>
                    </a:xfrm>
                    <a:prstGeom prst="rect"/>
                  </pic:spPr>
                </pic:pic>
              </a:graphicData>
            </a:graphic>
          </wp:anchor>
        </w:drawing>
      </w:r>
    </w:p>
    <w:p>
      <w:pPr>
        <w:widowControl w:val="0"/>
        <w:spacing w:after="537" w:line="1" w:lineRule="exact"/>
      </w:pPr>
    </w:p>
    <w:p>
      <w:pPr>
        <w:widowControl w:val="0"/>
        <w:spacing w:line="1" w:lineRule="exact"/>
        <w:sectPr>
          <w:footnotePr>
            <w:pos w:val="pageBottom"/>
            <w:numFmt w:val="decimal"/>
            <w:numRestart w:val="continuous"/>
          </w:footnotePr>
          <w:pgSz w:w="11900" w:h="16840"/>
          <w:pgMar w:top="865" w:left="704" w:right="977" w:bottom="252" w:header="437" w:footer="3" w:gutter="0"/>
          <w:pgNumType w:start="1"/>
          <w:cols w:space="720"/>
          <w:noEndnote/>
          <w:rtlGutter w:val="0"/>
          <w:docGrid w:linePitch="360"/>
        </w:sectPr>
      </w:pPr>
    </w:p>
    <w:p>
      <w:pPr>
        <w:pStyle w:val="Style13"/>
        <w:keepNext/>
        <w:keepLines/>
        <w:widowControl w:val="0"/>
        <w:shd w:val="clear" w:color="auto" w:fill="auto"/>
        <w:bidi w:val="0"/>
        <w:spacing w:before="0" w:after="0" w:line="240" w:lineRule="auto"/>
        <w:ind w:left="0" w:right="0"/>
        <w:jc w:val="left"/>
      </w:pPr>
      <w:bookmarkStart w:id="0" w:name="bookmark0"/>
      <w:bookmarkStart w:id="1" w:name="bookmark1"/>
      <w:r>
        <w:rPr>
          <w:spacing w:val="0"/>
          <w:w w:val="100"/>
          <w:position w:val="0"/>
          <w:shd w:val="clear" w:color="auto" w:fill="auto"/>
          <w:lang w:val="en-US" w:eastAsia="en-US" w:bidi="en-US"/>
        </w:rPr>
        <w:t>Deputat in Parlamentul</w:t>
      </w:r>
      <w:bookmarkEnd w:id="0"/>
      <w:bookmarkEnd w:id="1"/>
    </w:p>
    <w:p>
      <w:pPr>
        <w:pStyle w:val="Style13"/>
        <w:keepNext/>
        <w:keepLines/>
        <w:widowControl w:val="0"/>
        <w:shd w:val="clear" w:color="auto" w:fill="auto"/>
        <w:bidi w:val="0"/>
        <w:spacing w:before="0" w:after="1440" w:line="240" w:lineRule="auto"/>
        <w:ind w:left="0" w:right="0"/>
        <w:jc w:val="left"/>
      </w:pPr>
      <w:bookmarkStart w:id="2" w:name="bookmark2"/>
      <w:bookmarkStart w:id="3" w:name="bookmark3"/>
      <w:r>
        <w:rPr>
          <w:spacing w:val="0"/>
          <w:w w:val="100"/>
          <w:position w:val="0"/>
          <w:shd w:val="clear" w:color="auto" w:fill="auto"/>
          <w:lang w:val="en-US" w:eastAsia="en-US" w:bidi="en-US"/>
        </w:rPr>
        <w:t>Republicii Moldova</w:t>
      </w:r>
      <w:bookmarkEnd w:id="2"/>
      <w:bookmarkEnd w:id="3"/>
    </w:p>
    <w:p>
      <w:pPr>
        <w:pStyle w:val="Style15"/>
        <w:keepNext/>
        <w:keepLines/>
        <w:widowControl w:val="0"/>
        <w:shd w:val="clear" w:color="auto" w:fill="auto"/>
        <w:bidi w:val="0"/>
        <w:spacing w:before="0" w:after="420" w:line="334" w:lineRule="auto"/>
        <w:ind w:left="4880" w:right="0" w:firstLine="0"/>
        <w:jc w:val="right"/>
      </w:pPr>
      <w:bookmarkStart w:id="4" w:name="bookmark4"/>
      <w:bookmarkStart w:id="5" w:name="bookmark5"/>
      <w:r>
        <w:rPr>
          <w:color w:val="000000"/>
          <w:spacing w:val="0"/>
          <w:w w:val="100"/>
          <w:position w:val="0"/>
          <w:shd w:val="clear" w:color="auto" w:fill="auto"/>
          <w:lang w:val="en-US" w:eastAsia="en-US" w:bidi="en-US"/>
        </w:rPr>
        <w:t>Biroului Permanent al Parlamentului Republicii Moldova</w:t>
      </w:r>
      <w:bookmarkEnd w:id="4"/>
      <w:bookmarkEnd w:id="5"/>
    </w:p>
    <w:p>
      <w:pPr>
        <w:pStyle w:val="Style17"/>
        <w:keepNext w:val="0"/>
        <w:keepLines w:val="0"/>
        <w:widowControl w:val="0"/>
        <w:shd w:val="clear" w:color="auto" w:fill="auto"/>
        <w:bidi w:val="0"/>
        <w:spacing w:before="0" w:after="0" w:line="360" w:lineRule="auto"/>
        <w:ind w:left="160" w:right="0" w:firstLine="580"/>
        <w:jc w:val="both"/>
      </w:pPr>
      <w:r>
        <w:rPr>
          <w:color w:val="000000"/>
          <w:spacing w:val="0"/>
          <w:w w:val="100"/>
          <w:position w:val="0"/>
          <w:shd w:val="clear" w:color="auto" w:fill="auto"/>
          <w:lang w:val="en-US" w:eastAsia="en-US" w:bidi="en-US"/>
        </w:rPr>
        <w:t>In conformitate cu prevederile articolului 73 din Constitutia Republicii Moldova si articolului 47 din Regulamentul Parlamentului se inainteaza spre exammare Parlamentului cu titlu de initiativa legislativa proiectul de Hotarire a Parlamentului cu privire la Raportul Comisiei de ancheta privind analiza situatiei economico-financiare de la I.S. ,,Calea Ferata din Moldova” si rezultatul activitatii</w:t>
      </w:r>
    </w:p>
    <w:p>
      <w:pPr>
        <w:pStyle w:val="Style9"/>
        <w:keepNext w:val="0"/>
        <w:keepLines w:val="0"/>
        <w:widowControl w:val="0"/>
        <w:shd w:val="clear" w:color="auto" w:fill="auto"/>
        <w:tabs>
          <w:tab w:pos="6955" w:val="left"/>
          <w:tab w:pos="9125" w:val="left"/>
        </w:tabs>
        <w:bidi w:val="0"/>
        <w:spacing w:before="0" w:after="180" w:line="180" w:lineRule="auto"/>
        <w:ind w:left="3720" w:right="0" w:firstLine="0"/>
        <w:jc w:val="left"/>
        <w:rPr>
          <w:sz w:val="8"/>
          <w:szCs w:val="8"/>
        </w:rPr>
      </w:pPr>
      <w:r>
        <w:rPr>
          <w:rFonts w:ascii="Calibri" w:eastAsia="Calibri" w:hAnsi="Calibri" w:cs="Calibri"/>
          <w:color w:val="000000"/>
          <w:spacing w:val="0"/>
          <w:w w:val="100"/>
          <w:position w:val="0"/>
          <w:sz w:val="8"/>
          <w:szCs w:val="8"/>
          <w:shd w:val="clear" w:color="auto" w:fill="auto"/>
          <w:lang w:val="en-US" w:eastAsia="en-US" w:bidi="en-US"/>
        </w:rPr>
        <w:t>2 2</w:t>
        <w:tab/>
        <w:t>5</w:t>
        <w:tab/>
        <w:t>5</w:t>
      </w:r>
    </w:p>
    <w:p>
      <w:pPr>
        <w:pStyle w:val="Style17"/>
        <w:keepNext w:val="0"/>
        <w:keepLines w:val="0"/>
        <w:widowControl w:val="0"/>
        <w:shd w:val="clear" w:color="auto" w:fill="auto"/>
        <w:bidi w:val="0"/>
        <w:spacing w:before="0" w:after="420" w:line="360" w:lineRule="auto"/>
        <w:ind w:left="0" w:right="0" w:firstLine="160"/>
        <w:jc w:val="left"/>
      </w:pPr>
      <w:r>
        <w:rPr>
          <w:color w:val="000000"/>
          <w:spacing w:val="0"/>
          <w:w w:val="100"/>
          <w:position w:val="0"/>
          <w:shd w:val="clear" w:color="auto" w:fill="auto"/>
          <w:lang w:val="en-US" w:eastAsia="en-US" w:bidi="en-US"/>
        </w:rPr>
        <w:t>ramurii de transport feroviar pentru perioada 2010-2020.</w:t>
      </w:r>
    </w:p>
    <w:p>
      <w:pPr>
        <w:pStyle w:val="Style17"/>
        <w:keepNext w:val="0"/>
        <w:keepLines w:val="0"/>
        <w:widowControl w:val="0"/>
        <w:shd w:val="clear" w:color="auto" w:fill="auto"/>
        <w:bidi w:val="0"/>
        <w:spacing w:before="0" w:after="100" w:line="240" w:lineRule="auto"/>
        <w:ind w:left="0" w:right="0" w:firstLine="720"/>
        <w:jc w:val="both"/>
      </w:pPr>
      <w:r>
        <w:rPr>
          <w:b/>
          <w:bCs/>
          <w:i/>
          <w:iCs/>
          <w:color w:val="000000"/>
          <w:spacing w:val="0"/>
          <w:w w:val="100"/>
          <w:position w:val="0"/>
          <w:shd w:val="clear" w:color="auto" w:fill="auto"/>
          <w:lang w:val="en-US" w:eastAsia="en-US" w:bidi="en-US"/>
        </w:rPr>
        <w:t>Anexe :</w:t>
      </w:r>
    </w:p>
    <w:p>
      <w:pPr>
        <w:pStyle w:val="Style17"/>
        <w:keepNext w:val="0"/>
        <w:keepLines w:val="0"/>
        <w:widowControl w:val="0"/>
        <w:numPr>
          <w:ilvl w:val="0"/>
          <w:numId w:val="1"/>
        </w:numPr>
        <w:shd w:val="clear" w:color="auto" w:fill="auto"/>
        <w:tabs>
          <w:tab w:pos="358" w:val="left"/>
        </w:tabs>
        <w:bidi w:val="0"/>
        <w:spacing w:before="0" w:after="180" w:line="240" w:lineRule="auto"/>
        <w:ind w:left="0" w:right="0" w:firstLine="0"/>
        <w:jc w:val="left"/>
      </w:pPr>
      <w:r>
        <w:rPr>
          <w:color w:val="000000"/>
          <w:spacing w:val="0"/>
          <w:w w:val="100"/>
          <w:position w:val="0"/>
          <w:shd w:val="clear" w:color="auto" w:fill="auto"/>
          <w:lang w:val="en-US" w:eastAsia="en-US" w:bidi="en-US"/>
        </w:rPr>
        <w:t>Proiectul Hotararii</w:t>
      </w:r>
    </w:p>
    <w:p>
      <w:pPr>
        <w:pStyle w:val="Style17"/>
        <w:keepNext w:val="0"/>
        <w:keepLines w:val="0"/>
        <w:widowControl w:val="0"/>
        <w:numPr>
          <w:ilvl w:val="0"/>
          <w:numId w:val="1"/>
        </w:numPr>
        <w:shd w:val="clear" w:color="auto" w:fill="auto"/>
        <w:tabs>
          <w:tab w:pos="387" w:val="left"/>
        </w:tabs>
        <w:bidi w:val="0"/>
        <w:spacing w:before="0" w:after="480" w:line="360" w:lineRule="auto"/>
        <w:ind w:left="0" w:right="0" w:firstLine="0"/>
        <w:jc w:val="left"/>
      </w:pPr>
      <w:r>
        <w:rPr>
          <w:color w:val="000000"/>
          <w:spacing w:val="0"/>
          <w:w w:val="100"/>
          <w:position w:val="0"/>
          <w:shd w:val="clear" w:color="auto" w:fill="auto"/>
          <w:lang w:val="en-US" w:eastAsia="en-US" w:bidi="en-US"/>
        </w:rPr>
        <w:t>Raportul Comisiei de Ancheta</w:t>
      </w:r>
    </w:p>
    <w:p>
      <w:pPr>
        <w:pStyle w:val="Style15"/>
        <w:keepNext/>
        <w:keepLines/>
        <w:widowControl w:val="0"/>
        <w:shd w:val="clear" w:color="auto" w:fill="auto"/>
        <w:tabs>
          <w:tab w:pos="7666" w:val="left"/>
        </w:tabs>
        <w:bidi w:val="0"/>
        <w:spacing w:before="0" w:after="4600" w:line="360" w:lineRule="auto"/>
        <w:ind w:left="0" w:right="0" w:firstLine="720"/>
        <w:jc w:val="both"/>
      </w:pPr>
      <w:bookmarkStart w:id="6" w:name="bookmark6"/>
      <w:bookmarkStart w:id="7" w:name="bookmark7"/>
      <w:r>
        <w:rPr>
          <w:color w:val="000000"/>
          <w:spacing w:val="0"/>
          <w:w w:val="100"/>
          <w:position w:val="0"/>
          <w:shd w:val="clear" w:color="auto" w:fill="auto"/>
          <w:lang w:val="en-US" w:eastAsia="en-US" w:bidi="en-US"/>
        </w:rPr>
        <w:t>Deputat in Parlament</w:t>
        <w:tab/>
        <w:t>Oleg LIPSKII</w:t>
      </w:r>
      <w:bookmarkEnd w:id="6"/>
      <w:bookmarkEnd w:id="7"/>
    </w:p>
    <w:p>
      <w:pPr>
        <w:pStyle w:val="Style9"/>
        <w:keepNext w:val="0"/>
        <w:keepLines w:val="0"/>
        <w:widowControl w:val="0"/>
        <w:shd w:val="clear" w:color="auto" w:fill="auto"/>
        <w:bidi w:val="0"/>
        <w:spacing w:before="0" w:after="0" w:line="240" w:lineRule="auto"/>
        <w:ind w:left="0" w:right="0" w:firstLine="160"/>
        <w:jc w:val="left"/>
        <w:rPr>
          <w:sz w:val="18"/>
          <w:szCs w:val="18"/>
        </w:rPr>
      </w:pPr>
      <w:r>
        <mc:AlternateContent>
          <mc:Choice Requires="wps">
            <w:drawing>
              <wp:anchor distT="0" distB="0" distL="114300" distR="114300" simplePos="0" relativeHeight="125829378" behindDoc="0" locked="0" layoutInCell="1" allowOverlap="1">
                <wp:simplePos x="0" y="0"/>
                <wp:positionH relativeFrom="page">
                  <wp:posOffset>5772150</wp:posOffset>
                </wp:positionH>
                <wp:positionV relativeFrom="paragraph">
                  <wp:posOffset>12700</wp:posOffset>
                </wp:positionV>
                <wp:extent cx="1069975" cy="323215"/>
                <wp:wrapSquare wrapText="left"/>
                <wp:docPr id="5" name="Shape 5"/>
                <a:graphic xmlns:a="http://schemas.openxmlformats.org/drawingml/2006/main">
                  <a:graphicData uri="http://schemas.microsoft.com/office/word/2010/wordprocessingShape">
                    <wps:wsp>
                      <wps:cNvSpPr txBox="1"/>
                      <wps:spPr>
                        <a:xfrm>
                          <a:ext cx="1069975" cy="323215"/>
                        </a:xfrm>
                        <a:prstGeom prst="rect"/>
                        <a:noFill/>
                      </wps:spPr>
                      <wps:txbx>
                        <w:txbxContent>
                          <w:p>
                            <w:pPr>
                              <w:pStyle w:val="Style9"/>
                              <w:keepNext w:val="0"/>
                              <w:keepLines w:val="0"/>
                              <w:widowControl w:val="0"/>
                              <w:shd w:val="clear" w:color="auto" w:fill="auto"/>
                              <w:bidi w:val="0"/>
                              <w:spacing w:before="0" w:after="0" w:line="276" w:lineRule="auto"/>
                              <w:ind w:left="0" w:right="0" w:firstLine="0"/>
                              <w:jc w:val="right"/>
                              <w:rPr>
                                <w:sz w:val="18"/>
                                <w:szCs w:val="18"/>
                              </w:rPr>
                            </w:pPr>
                            <w:r>
                              <w:fldChar w:fldCharType="begin"/>
                            </w:r>
                            <w:r>
                              <w:rPr/>
                              <w:instrText> HYPERLINK "mailto:info@parlament.md" </w:instrText>
                            </w:r>
                            <w:r>
                              <w:fldChar w:fldCharType="separate"/>
                            </w:r>
                            <w:r>
                              <w:rPr>
                                <w:rFonts w:ascii="Georgia" w:eastAsia="Georgia" w:hAnsi="Georgia" w:cs="Georgia"/>
                                <w:color w:val="000000"/>
                                <w:spacing w:val="0"/>
                                <w:w w:val="100"/>
                                <w:position w:val="0"/>
                                <w:sz w:val="18"/>
                                <w:szCs w:val="18"/>
                                <w:shd w:val="clear" w:color="auto" w:fill="auto"/>
                                <w:lang w:val="en-US" w:eastAsia="en-US" w:bidi="en-US"/>
                              </w:rPr>
                              <w:t>info@parlament.md</w:t>
                            </w:r>
                            <w:r>
                              <w:fldChar w:fldCharType="end"/>
                            </w:r>
                            <w:r>
                              <w:rPr>
                                <w:rFonts w:ascii="Georgia" w:eastAsia="Georgia" w:hAnsi="Georgia" w:cs="Georgia"/>
                                <w:color w:val="000000"/>
                                <w:spacing w:val="0"/>
                                <w:w w:val="100"/>
                                <w:position w:val="0"/>
                                <w:sz w:val="18"/>
                                <w:szCs w:val="18"/>
                                <w:shd w:val="clear" w:color="auto" w:fill="auto"/>
                                <w:lang w:val="en-US" w:eastAsia="en-US" w:bidi="en-US"/>
                              </w:rPr>
                              <w:t xml:space="preserve"> </w:t>
                            </w:r>
                            <w:r>
                              <w:fldChar w:fldCharType="begin"/>
                            </w:r>
                            <w:r>
                              <w:rPr/>
                              <w:instrText> HYPERLINK "http://www.parlament.md" </w:instrText>
                            </w:r>
                            <w:r>
                              <w:fldChar w:fldCharType="separate"/>
                            </w:r>
                            <w:r>
                              <w:rPr>
                                <w:rFonts w:ascii="Georgia" w:eastAsia="Georgia" w:hAnsi="Georgia" w:cs="Georgia"/>
                                <w:color w:val="000000"/>
                                <w:spacing w:val="0"/>
                                <w:w w:val="100"/>
                                <w:position w:val="0"/>
                                <w:sz w:val="18"/>
                                <w:szCs w:val="18"/>
                                <w:shd w:val="clear" w:color="auto" w:fill="auto"/>
                                <w:lang w:val="en-US" w:eastAsia="en-US" w:bidi="en-US"/>
                              </w:rPr>
                              <w:t>www.parlament.md</w:t>
                            </w:r>
                            <w:r>
                              <w:fldChar w:fldCharType="end"/>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31" type="#_x0000_t202" style="position:absolute;margin-left:454.5pt;margin-top:1.pt;width:84.25pt;height:25.449999999999999pt;z-index:-125829375;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76" w:lineRule="auto"/>
                        <w:ind w:left="0" w:right="0" w:firstLine="0"/>
                        <w:jc w:val="right"/>
                        <w:rPr>
                          <w:sz w:val="18"/>
                          <w:szCs w:val="18"/>
                        </w:rPr>
                      </w:pPr>
                      <w:r>
                        <w:fldChar w:fldCharType="begin"/>
                      </w:r>
                      <w:r>
                        <w:rPr/>
                        <w:instrText> HYPERLINK "mailto:info@parlament.md" </w:instrText>
                      </w:r>
                      <w:r>
                        <w:fldChar w:fldCharType="separate"/>
                      </w:r>
                      <w:r>
                        <w:rPr>
                          <w:rFonts w:ascii="Georgia" w:eastAsia="Georgia" w:hAnsi="Georgia" w:cs="Georgia"/>
                          <w:color w:val="000000"/>
                          <w:spacing w:val="0"/>
                          <w:w w:val="100"/>
                          <w:position w:val="0"/>
                          <w:sz w:val="18"/>
                          <w:szCs w:val="18"/>
                          <w:shd w:val="clear" w:color="auto" w:fill="auto"/>
                          <w:lang w:val="en-US" w:eastAsia="en-US" w:bidi="en-US"/>
                        </w:rPr>
                        <w:t>info@parlament.md</w:t>
                      </w:r>
                      <w:r>
                        <w:fldChar w:fldCharType="end"/>
                      </w:r>
                      <w:r>
                        <w:rPr>
                          <w:rFonts w:ascii="Georgia" w:eastAsia="Georgia" w:hAnsi="Georgia" w:cs="Georgia"/>
                          <w:color w:val="000000"/>
                          <w:spacing w:val="0"/>
                          <w:w w:val="100"/>
                          <w:position w:val="0"/>
                          <w:sz w:val="18"/>
                          <w:szCs w:val="18"/>
                          <w:shd w:val="clear" w:color="auto" w:fill="auto"/>
                          <w:lang w:val="en-US" w:eastAsia="en-US" w:bidi="en-US"/>
                        </w:rPr>
                        <w:t xml:space="preserve"> </w:t>
                      </w:r>
                      <w:r>
                        <w:fldChar w:fldCharType="begin"/>
                      </w:r>
                      <w:r>
                        <w:rPr/>
                        <w:instrText> HYPERLINK "http://www.parlament.md" </w:instrText>
                      </w:r>
                      <w:r>
                        <w:fldChar w:fldCharType="separate"/>
                      </w:r>
                      <w:r>
                        <w:rPr>
                          <w:rFonts w:ascii="Georgia" w:eastAsia="Georgia" w:hAnsi="Georgia" w:cs="Georgia"/>
                          <w:color w:val="000000"/>
                          <w:spacing w:val="0"/>
                          <w:w w:val="100"/>
                          <w:position w:val="0"/>
                          <w:sz w:val="18"/>
                          <w:szCs w:val="18"/>
                          <w:shd w:val="clear" w:color="auto" w:fill="auto"/>
                          <w:lang w:val="en-US" w:eastAsia="en-US" w:bidi="en-US"/>
                        </w:rPr>
                        <w:t>www.parlament.md</w:t>
                      </w:r>
                      <w:r>
                        <w:fldChar w:fldCharType="end"/>
                      </w:r>
                    </w:p>
                  </w:txbxContent>
                </v:textbox>
                <w10:wrap type="square" side="left" anchorx="page"/>
              </v:shape>
            </w:pict>
          </mc:Fallback>
        </mc:AlternateContent>
      </w:r>
      <w:r>
        <w:rPr>
          <w:rFonts w:ascii="Georgia" w:eastAsia="Georgia" w:hAnsi="Georgia" w:cs="Georgia"/>
          <w:color w:val="000000"/>
          <w:spacing w:val="0"/>
          <w:w w:val="100"/>
          <w:position w:val="0"/>
          <w:sz w:val="18"/>
          <w:szCs w:val="18"/>
          <w:shd w:val="clear" w:color="auto" w:fill="auto"/>
          <w:lang w:val="en-US" w:eastAsia="en-US" w:bidi="en-US"/>
        </w:rPr>
        <w:t>Republica Moldova, MD-2073, Chisinau</w:t>
      </w:r>
    </w:p>
    <w:p>
      <w:pPr>
        <w:pStyle w:val="Style9"/>
        <w:keepNext w:val="0"/>
        <w:keepLines w:val="0"/>
        <w:widowControl w:val="0"/>
        <w:shd w:val="clear" w:color="auto" w:fill="auto"/>
        <w:bidi w:val="0"/>
        <w:spacing w:before="0" w:after="300" w:line="240" w:lineRule="auto"/>
        <w:ind w:left="0" w:right="0" w:firstLine="160"/>
        <w:jc w:val="left"/>
        <w:rPr>
          <w:sz w:val="18"/>
          <w:szCs w:val="18"/>
        </w:rPr>
      </w:pPr>
      <w:r>
        <w:rPr>
          <w:rFonts w:ascii="Georgia" w:eastAsia="Georgia" w:hAnsi="Georgia" w:cs="Georgia"/>
          <w:color w:val="000000"/>
          <w:spacing w:val="0"/>
          <w:w w:val="100"/>
          <w:position w:val="0"/>
          <w:sz w:val="18"/>
          <w:szCs w:val="18"/>
          <w:shd w:val="clear" w:color="auto" w:fill="auto"/>
          <w:lang w:val="en-US" w:eastAsia="en-US" w:bidi="en-US"/>
        </w:rPr>
        <w:t>Bd. §tefan cel Mare §i Sfint 105</w:t>
      </w:r>
    </w:p>
    <w:p>
      <w:pPr>
        <w:pStyle w:val="Style17"/>
        <w:keepNext w:val="0"/>
        <w:keepLines w:val="0"/>
        <w:widowControl w:val="0"/>
        <w:shd w:val="clear" w:color="auto" w:fill="auto"/>
        <w:bidi w:val="0"/>
        <w:spacing w:before="0" w:after="420" w:line="240" w:lineRule="auto"/>
        <w:ind w:left="0" w:right="0" w:firstLine="0"/>
        <w:jc w:val="right"/>
      </w:pPr>
      <w:r>
        <w:rPr>
          <w:color w:val="000000"/>
          <w:spacing w:val="0"/>
          <w:w w:val="100"/>
          <w:position w:val="0"/>
          <w:shd w:val="clear" w:color="auto" w:fill="auto"/>
          <w:lang w:val="en-US" w:eastAsia="en-US" w:bidi="en-US"/>
        </w:rPr>
        <w:t>Proiect</w:t>
      </w:r>
    </w:p>
    <w:p>
      <w:pPr>
        <w:pStyle w:val="Style15"/>
        <w:keepNext/>
        <w:keepLines/>
        <w:widowControl w:val="0"/>
        <w:shd w:val="clear" w:color="auto" w:fill="auto"/>
        <w:bidi w:val="0"/>
        <w:spacing w:before="0" w:after="0" w:line="240" w:lineRule="auto"/>
        <w:ind w:left="0" w:right="0" w:firstLine="0"/>
        <w:jc w:val="center"/>
      </w:pPr>
      <w:bookmarkStart w:id="8" w:name="bookmark8"/>
      <w:bookmarkStart w:id="9" w:name="bookmark9"/>
      <w:r>
        <w:rPr>
          <w:color w:val="000000"/>
          <w:spacing w:val="0"/>
          <w:w w:val="100"/>
          <w:position w:val="0"/>
          <w:shd w:val="clear" w:color="auto" w:fill="auto"/>
          <w:lang w:val="en-US" w:eastAsia="en-US" w:bidi="en-US"/>
        </w:rPr>
        <w:t>H O T A R t R E</w:t>
      </w:r>
      <w:bookmarkEnd w:id="8"/>
      <w:bookmarkEnd w:id="9"/>
    </w:p>
    <w:p>
      <w:pPr>
        <w:pStyle w:val="Style15"/>
        <w:keepNext/>
        <w:keepLines/>
        <w:widowControl w:val="0"/>
        <w:shd w:val="clear" w:color="auto" w:fill="auto"/>
        <w:bidi w:val="0"/>
        <w:spacing w:before="0" w:after="320" w:line="240" w:lineRule="auto"/>
        <w:ind w:left="0" w:right="0" w:firstLine="0"/>
        <w:jc w:val="center"/>
      </w:pPr>
      <w:bookmarkStart w:id="10" w:name="bookmark10"/>
      <w:bookmarkStart w:id="11" w:name="bookmark11"/>
      <w:r>
        <w:rPr>
          <w:color w:val="000000"/>
          <w:spacing w:val="0"/>
          <w:w w:val="100"/>
          <w:position w:val="0"/>
          <w:shd w:val="clear" w:color="auto" w:fill="auto"/>
          <w:lang w:val="en-US" w:eastAsia="en-US" w:bidi="en-US"/>
        </w:rPr>
        <w:t>cu privire la Raportul Comisiei de ancheta privind analiza situatiei</w:t>
        <w:br/>
        <w:t>economico-financiare de la t.S. ,,Calea Ferata din Moldova” si rezultatul</w:t>
        <w:br/>
        <w:t>activitatii ramurii de transport feroviar pentru perioada 2010-2020</w:t>
      </w:r>
      <w:bookmarkEnd w:id="10"/>
      <w:bookmarkEnd w:id="11"/>
    </w:p>
    <w:p>
      <w:pPr>
        <w:pStyle w:val="Style17"/>
        <w:keepNext w:val="0"/>
        <w:keepLines w:val="0"/>
        <w:widowControl w:val="0"/>
        <w:shd w:val="clear" w:color="auto" w:fill="auto"/>
        <w:bidi w:val="0"/>
        <w:spacing w:before="0" w:after="320" w:line="240" w:lineRule="auto"/>
        <w:ind w:left="0" w:right="0" w:firstLine="580"/>
        <w:jc w:val="both"/>
      </w:pPr>
      <w:r>
        <w:rPr>
          <w:color w:val="000000"/>
          <w:spacing w:val="0"/>
          <w:w w:val="100"/>
          <w:position w:val="0"/>
          <w:shd w:val="clear" w:color="auto" w:fill="auto"/>
          <w:lang w:val="en-US" w:eastAsia="en-US" w:bidi="en-US"/>
        </w:rPr>
        <w:t>Parlamentul adopta prezenta hotarire.</w:t>
      </w:r>
    </w:p>
    <w:p>
      <w:pPr>
        <w:pStyle w:val="Style17"/>
        <w:keepNext w:val="0"/>
        <w:keepLines w:val="0"/>
        <w:widowControl w:val="0"/>
        <w:shd w:val="clear" w:color="auto" w:fill="auto"/>
        <w:bidi w:val="0"/>
        <w:spacing w:before="0" w:after="320" w:line="240" w:lineRule="auto"/>
        <w:ind w:left="0" w:right="0" w:firstLine="600"/>
        <w:jc w:val="both"/>
      </w:pPr>
      <w:r>
        <w:rPr>
          <w:b/>
          <w:bCs/>
          <w:color w:val="000000"/>
          <w:spacing w:val="0"/>
          <w:w w:val="100"/>
          <w:position w:val="0"/>
          <w:shd w:val="clear" w:color="auto" w:fill="auto"/>
          <w:lang w:val="en-US" w:eastAsia="en-US" w:bidi="en-US"/>
        </w:rPr>
        <w:t xml:space="preserve">Art.1. </w:t>
      </w:r>
      <w:r>
        <w:rPr>
          <w:color w:val="000000"/>
          <w:spacing w:val="0"/>
          <w:w w:val="100"/>
          <w:position w:val="0"/>
          <w:shd w:val="clear" w:color="auto" w:fill="auto"/>
          <w:lang w:val="en-US" w:eastAsia="en-US" w:bidi="en-US"/>
        </w:rPr>
        <w:t>- Se ia act de Raportul si concluziile Comisiei de ancheta privind analiza situatiei economico-financiare de la I.S. ,,Calea Ferata din Moldova” si rezultatul activitatii ramurii de transport feroviar pentru perioada 2010-2020.</w:t>
      </w:r>
    </w:p>
    <w:p>
      <w:pPr>
        <w:pStyle w:val="Style17"/>
        <w:keepNext w:val="0"/>
        <w:keepLines w:val="0"/>
        <w:widowControl w:val="0"/>
        <w:shd w:val="clear" w:color="auto" w:fill="auto"/>
        <w:bidi w:val="0"/>
        <w:spacing w:before="0" w:after="0" w:line="240" w:lineRule="auto"/>
        <w:ind w:left="0" w:right="0" w:firstLine="600"/>
        <w:jc w:val="both"/>
      </w:pPr>
      <w:r>
        <w:rPr>
          <w:b/>
          <w:bCs/>
          <w:color w:val="000000"/>
          <w:spacing w:val="0"/>
          <w:w w:val="100"/>
          <w:position w:val="0"/>
          <w:shd w:val="clear" w:color="auto" w:fill="auto"/>
          <w:lang w:val="en-US" w:eastAsia="en-US" w:bidi="en-US"/>
        </w:rPr>
        <w:t xml:space="preserve">Art.2. </w:t>
      </w:r>
      <w:r>
        <w:rPr>
          <w:color w:val="000000"/>
          <w:spacing w:val="0"/>
          <w:w w:val="100"/>
          <w:position w:val="0"/>
          <w:shd w:val="clear" w:color="auto" w:fill="auto"/>
          <w:lang w:val="en-US" w:eastAsia="en-US" w:bidi="en-US"/>
        </w:rPr>
        <w:t>- Guvernul va:</w:t>
      </w:r>
    </w:p>
    <w:p>
      <w:pPr>
        <w:pStyle w:val="Style17"/>
        <w:keepNext w:val="0"/>
        <w:keepLines w:val="0"/>
        <w:widowControl w:val="0"/>
        <w:numPr>
          <w:ilvl w:val="0"/>
          <w:numId w:val="3"/>
        </w:numPr>
        <w:shd w:val="clear" w:color="auto" w:fill="auto"/>
        <w:tabs>
          <w:tab w:pos="872" w:val="left"/>
        </w:tabs>
        <w:bidi w:val="0"/>
        <w:spacing w:before="0" w:after="0" w:line="240" w:lineRule="auto"/>
        <w:ind w:left="0" w:right="0" w:firstLine="600"/>
        <w:jc w:val="both"/>
      </w:pPr>
      <w:r>
        <w:rPr>
          <w:color w:val="000000"/>
          <w:spacing w:val="0"/>
          <w:w w:val="100"/>
          <w:position w:val="0"/>
          <w:shd w:val="clear" w:color="auto" w:fill="auto"/>
          <w:lang w:val="en-US" w:eastAsia="en-US" w:bidi="en-US"/>
        </w:rPr>
        <w:t>asigura eficientizarea managementului I.S. „CFM”;</w:t>
      </w:r>
    </w:p>
    <w:p>
      <w:pPr>
        <w:pStyle w:val="Style17"/>
        <w:keepNext w:val="0"/>
        <w:keepLines w:val="0"/>
        <w:widowControl w:val="0"/>
        <w:numPr>
          <w:ilvl w:val="0"/>
          <w:numId w:val="3"/>
        </w:numPr>
        <w:shd w:val="clear" w:color="auto" w:fill="auto"/>
        <w:tabs>
          <w:tab w:pos="872" w:val="left"/>
        </w:tabs>
        <w:bidi w:val="0"/>
        <w:spacing w:before="0" w:after="0" w:line="240" w:lineRule="auto"/>
        <w:ind w:left="0" w:right="0" w:firstLine="600"/>
        <w:jc w:val="both"/>
      </w:pPr>
      <w:r>
        <w:rPr>
          <w:color w:val="000000"/>
          <w:spacing w:val="0"/>
          <w:w w:val="100"/>
          <w:position w:val="0"/>
          <w:shd w:val="clear" w:color="auto" w:fill="auto"/>
          <w:lang w:val="en-US" w:eastAsia="en-US" w:bidi="en-US"/>
        </w:rPr>
        <w:t>asigura optimizarea cheltuielilor administrative;</w:t>
      </w:r>
    </w:p>
    <w:p>
      <w:pPr>
        <w:pStyle w:val="Style17"/>
        <w:keepNext w:val="0"/>
        <w:keepLines w:val="0"/>
        <w:widowControl w:val="0"/>
        <w:numPr>
          <w:ilvl w:val="0"/>
          <w:numId w:val="3"/>
        </w:numPr>
        <w:shd w:val="clear" w:color="auto" w:fill="auto"/>
        <w:tabs>
          <w:tab w:pos="872" w:val="left"/>
        </w:tabs>
        <w:bidi w:val="0"/>
        <w:spacing w:before="0" w:after="0" w:line="240" w:lineRule="auto"/>
        <w:ind w:left="0" w:right="0" w:firstLine="600"/>
        <w:jc w:val="both"/>
      </w:pPr>
      <w:r>
        <w:rPr>
          <w:color w:val="000000"/>
          <w:spacing w:val="0"/>
          <w:w w:val="100"/>
          <w:position w:val="0"/>
          <w:shd w:val="clear" w:color="auto" w:fill="auto"/>
          <w:lang w:val="en-US" w:eastAsia="en-US" w:bidi="en-US"/>
        </w:rPr>
        <w:t>asigura o monitorizare riguroasa a procurarilor;</w:t>
      </w:r>
    </w:p>
    <w:p>
      <w:pPr>
        <w:pStyle w:val="Style17"/>
        <w:keepNext w:val="0"/>
        <w:keepLines w:val="0"/>
        <w:widowControl w:val="0"/>
        <w:numPr>
          <w:ilvl w:val="0"/>
          <w:numId w:val="3"/>
        </w:numPr>
        <w:shd w:val="clear" w:color="auto" w:fill="auto"/>
        <w:tabs>
          <w:tab w:pos="848" w:val="left"/>
        </w:tabs>
        <w:bidi w:val="0"/>
        <w:spacing w:before="0" w:after="0" w:line="240" w:lineRule="auto"/>
        <w:ind w:left="0" w:right="0" w:firstLine="600"/>
        <w:jc w:val="both"/>
      </w:pPr>
      <w:r>
        <w:rPr>
          <w:color w:val="000000"/>
          <w:spacing w:val="0"/>
          <w:w w:val="100"/>
          <w:position w:val="0"/>
          <w:shd w:val="clear" w:color="auto" w:fill="auto"/>
          <w:lang w:val="en-US" w:eastAsia="en-US" w:bidi="en-US"/>
        </w:rPr>
        <w:t>asigura separarea subdiviziunilor/serviciilor I.S. „CFM” care detin functii de control de subdiviziunile, serviciile care sunt consumatoare de resurse.</w:t>
      </w:r>
    </w:p>
    <w:p>
      <w:pPr>
        <w:pStyle w:val="Style17"/>
        <w:keepNext w:val="0"/>
        <w:keepLines w:val="0"/>
        <w:widowControl w:val="0"/>
        <w:numPr>
          <w:ilvl w:val="0"/>
          <w:numId w:val="3"/>
        </w:numPr>
        <w:shd w:val="clear" w:color="auto" w:fill="auto"/>
        <w:tabs>
          <w:tab w:pos="848" w:val="left"/>
        </w:tabs>
        <w:bidi w:val="0"/>
        <w:spacing w:before="0" w:after="0" w:line="240" w:lineRule="auto"/>
        <w:ind w:left="0" w:right="0" w:firstLine="600"/>
        <w:jc w:val="both"/>
      </w:pPr>
      <w:r>
        <w:rPr>
          <w:color w:val="000000"/>
          <w:spacing w:val="0"/>
          <w:w w:val="100"/>
          <w:position w:val="0"/>
          <w:shd w:val="clear" w:color="auto" w:fill="auto"/>
          <w:lang w:val="en-US" w:eastAsia="en-US" w:bidi="en-US"/>
        </w:rPr>
        <w:t>examina posibilitatea subventionarii transportului feroviar de pasageri (suburban si local);</w:t>
      </w:r>
    </w:p>
    <w:p>
      <w:pPr>
        <w:pStyle w:val="Style17"/>
        <w:keepNext w:val="0"/>
        <w:keepLines w:val="0"/>
        <w:widowControl w:val="0"/>
        <w:numPr>
          <w:ilvl w:val="0"/>
          <w:numId w:val="3"/>
        </w:numPr>
        <w:shd w:val="clear" w:color="auto" w:fill="auto"/>
        <w:tabs>
          <w:tab w:pos="848" w:val="left"/>
        </w:tabs>
        <w:bidi w:val="0"/>
        <w:spacing w:before="0" w:after="0" w:line="240" w:lineRule="auto"/>
        <w:ind w:left="0" w:right="0" w:firstLine="600"/>
        <w:jc w:val="both"/>
      </w:pPr>
      <w:r>
        <w:rPr>
          <w:color w:val="000000"/>
          <w:spacing w:val="0"/>
          <w:w w:val="100"/>
          <w:position w:val="0"/>
          <w:shd w:val="clear" w:color="auto" w:fill="auto"/>
          <w:lang w:val="en-US" w:eastAsia="en-US" w:bidi="en-US"/>
        </w:rPr>
        <w:t>examina posibilitatea reorganizarii intreprinderii conform unui plan elaborat in baza unor analize economico-financiare ample, de dezvoltare a fluxurilor de transport feroviar la nivel national, regional si chiar demararea unor proiecte globale;</w:t>
      </w:r>
    </w:p>
    <w:p>
      <w:pPr>
        <w:pStyle w:val="Style17"/>
        <w:keepNext w:val="0"/>
        <w:keepLines w:val="0"/>
        <w:widowControl w:val="0"/>
        <w:numPr>
          <w:ilvl w:val="0"/>
          <w:numId w:val="3"/>
        </w:numPr>
        <w:shd w:val="clear" w:color="auto" w:fill="auto"/>
        <w:tabs>
          <w:tab w:pos="848" w:val="left"/>
        </w:tabs>
        <w:bidi w:val="0"/>
        <w:spacing w:before="0" w:after="0" w:line="240" w:lineRule="auto"/>
        <w:ind w:left="0" w:right="0" w:firstLine="600"/>
        <w:jc w:val="both"/>
      </w:pPr>
      <w:r>
        <w:rPr>
          <w:color w:val="000000"/>
          <w:spacing w:val="0"/>
          <w:w w:val="100"/>
          <w:position w:val="0"/>
          <w:shd w:val="clear" w:color="auto" w:fill="auto"/>
          <w:lang w:val="en-US" w:eastAsia="en-US" w:bidi="en-US"/>
        </w:rPr>
        <w:t>examina posibilitatea demararii unui proces masiv de reabilitare si tehnologizare a infrastructurii;</w:t>
      </w:r>
    </w:p>
    <w:p>
      <w:pPr>
        <w:pStyle w:val="Style17"/>
        <w:keepNext w:val="0"/>
        <w:keepLines w:val="0"/>
        <w:widowControl w:val="0"/>
        <w:numPr>
          <w:ilvl w:val="0"/>
          <w:numId w:val="3"/>
        </w:numPr>
        <w:shd w:val="clear" w:color="auto" w:fill="auto"/>
        <w:tabs>
          <w:tab w:pos="843" w:val="left"/>
        </w:tabs>
        <w:bidi w:val="0"/>
        <w:spacing w:before="0" w:after="0" w:line="240" w:lineRule="auto"/>
        <w:ind w:left="0" w:right="0" w:firstLine="600"/>
        <w:jc w:val="both"/>
      </w:pPr>
      <w:r>
        <w:rPr>
          <w:color w:val="000000"/>
          <w:spacing w:val="0"/>
          <w:w w:val="100"/>
          <w:position w:val="0"/>
          <w:shd w:val="clear" w:color="auto" w:fill="auto"/>
          <w:lang w:val="en-US" w:eastAsia="en-US" w:bidi="en-US"/>
        </w:rPr>
        <w:t>examina posibilitatea crearii si implementarii unui mecanism de restituire a accizelor pentru combustibil in partea ce tine de motorina consumata pe infrastructura feroviara;</w:t>
      </w:r>
    </w:p>
    <w:p>
      <w:pPr>
        <w:pStyle w:val="Style17"/>
        <w:keepNext w:val="0"/>
        <w:keepLines w:val="0"/>
        <w:widowControl w:val="0"/>
        <w:numPr>
          <w:ilvl w:val="0"/>
          <w:numId w:val="3"/>
        </w:numPr>
        <w:shd w:val="clear" w:color="auto" w:fill="auto"/>
        <w:tabs>
          <w:tab w:pos="848" w:val="left"/>
        </w:tabs>
        <w:bidi w:val="0"/>
        <w:spacing w:before="0" w:after="320" w:line="240" w:lineRule="auto"/>
        <w:ind w:left="0" w:right="0" w:firstLine="600"/>
        <w:jc w:val="both"/>
      </w:pPr>
      <w:r>
        <w:rPr>
          <w:color w:val="000000"/>
          <w:spacing w:val="0"/>
          <w:w w:val="100"/>
          <w:position w:val="0"/>
          <w:shd w:val="clear" w:color="auto" w:fill="auto"/>
          <w:lang w:val="en-US" w:eastAsia="en-US" w:bidi="en-US"/>
        </w:rPr>
        <w:t>elabora un mecanism de a stimula transportul de marfuri in volume sporite pe cale ferata.</w:t>
      </w:r>
    </w:p>
    <w:p>
      <w:pPr>
        <w:pStyle w:val="Style17"/>
        <w:keepNext w:val="0"/>
        <w:keepLines w:val="0"/>
        <w:widowControl w:val="0"/>
        <w:shd w:val="clear" w:color="auto" w:fill="auto"/>
        <w:bidi w:val="0"/>
        <w:spacing w:before="0" w:after="0" w:line="240" w:lineRule="auto"/>
        <w:ind w:left="0" w:right="0" w:firstLine="600"/>
        <w:jc w:val="both"/>
      </w:pPr>
      <w:r>
        <w:rPr>
          <w:b/>
          <w:bCs/>
          <w:color w:val="000000"/>
          <w:spacing w:val="0"/>
          <w:w w:val="100"/>
          <w:position w:val="0"/>
          <w:shd w:val="clear" w:color="auto" w:fill="auto"/>
          <w:lang w:val="en-US" w:eastAsia="en-US" w:bidi="en-US"/>
        </w:rPr>
        <w:t xml:space="preserve">Art.3. </w:t>
      </w:r>
      <w:r>
        <w:rPr>
          <w:color w:val="000000"/>
          <w:spacing w:val="0"/>
          <w:w w:val="100"/>
          <w:position w:val="0"/>
          <w:shd w:val="clear" w:color="auto" w:fill="auto"/>
          <w:lang w:val="en-US" w:eastAsia="en-US" w:bidi="en-US"/>
        </w:rPr>
        <w:t>- Se solicita Procuraturii Generale:</w:t>
      </w:r>
    </w:p>
    <w:p>
      <w:pPr>
        <w:pStyle w:val="Style17"/>
        <w:keepNext w:val="0"/>
        <w:keepLines w:val="0"/>
        <w:widowControl w:val="0"/>
        <w:numPr>
          <w:ilvl w:val="0"/>
          <w:numId w:val="3"/>
        </w:numPr>
        <w:shd w:val="clear" w:color="auto" w:fill="auto"/>
        <w:tabs>
          <w:tab w:pos="848" w:val="left"/>
        </w:tabs>
        <w:bidi w:val="0"/>
        <w:spacing w:before="0" w:after="0" w:line="240" w:lineRule="auto"/>
        <w:ind w:left="0" w:right="0" w:firstLine="600"/>
        <w:jc w:val="both"/>
      </w:pPr>
      <w:r>
        <w:rPr>
          <w:color w:val="000000"/>
          <w:spacing w:val="0"/>
          <w:w w:val="100"/>
          <w:position w:val="0"/>
          <w:shd w:val="clear" w:color="auto" w:fill="auto"/>
          <w:lang w:val="en-US" w:eastAsia="en-US" w:bidi="en-US"/>
        </w:rPr>
        <w:t>examinarea si aprecierea legalitatii si temeiniciei emiterii ordonantelor de clasare a cauzelor penale ce au ca obiect al investigarii patrimoniul, actiunile sau inactiunile angajatilor I.S. ,,Calea Ferata din Moldova” pentru anii 2010-2020, in temeiul art. 53</w:t>
      </w:r>
      <w:r>
        <w:rPr>
          <w:color w:val="000000"/>
          <w:spacing w:val="0"/>
          <w:w w:val="100"/>
          <w:position w:val="0"/>
          <w:shd w:val="clear" w:color="auto" w:fill="auto"/>
          <w:vertAlign w:val="superscript"/>
          <w:lang w:val="en-US" w:eastAsia="en-US" w:bidi="en-US"/>
        </w:rPr>
        <w:t>1</w:t>
      </w:r>
      <w:r>
        <w:rPr>
          <w:color w:val="000000"/>
          <w:spacing w:val="0"/>
          <w:w w:val="100"/>
          <w:position w:val="0"/>
          <w:shd w:val="clear" w:color="auto" w:fill="auto"/>
          <w:lang w:val="en-US" w:eastAsia="en-US" w:bidi="en-US"/>
        </w:rPr>
        <w:t xml:space="preserve"> alin. (2) din Codul de procedura penala;</w:t>
      </w:r>
    </w:p>
    <w:p>
      <w:pPr>
        <w:pStyle w:val="Style17"/>
        <w:keepNext w:val="0"/>
        <w:keepLines w:val="0"/>
        <w:widowControl w:val="0"/>
        <w:numPr>
          <w:ilvl w:val="0"/>
          <w:numId w:val="3"/>
        </w:numPr>
        <w:shd w:val="clear" w:color="auto" w:fill="auto"/>
        <w:tabs>
          <w:tab w:pos="848" w:val="left"/>
        </w:tabs>
        <w:bidi w:val="0"/>
        <w:spacing w:before="0" w:after="0" w:line="240" w:lineRule="auto"/>
        <w:ind w:left="0" w:right="0" w:firstLine="600"/>
        <w:jc w:val="both"/>
      </w:pPr>
      <w:r>
        <w:rPr>
          <w:color w:val="000000"/>
          <w:spacing w:val="0"/>
          <w:w w:val="100"/>
          <w:position w:val="0"/>
          <w:shd w:val="clear" w:color="auto" w:fill="auto"/>
          <w:lang w:val="en-US" w:eastAsia="en-US" w:bidi="en-US"/>
        </w:rPr>
        <w:t>examinarea oportunitatii crearii unui grup specializat in scopul efectuarii cercetarii sub toate aspectele, complete si obiective a circumstantelor cauzelor penale ce au ca obiect al investigarii patrimoniul, actiunile sau inactiunile angajatilor I.S. ,,Calea Ferata din Moldova” pentru anii 2010-2020;</w:t>
      </w:r>
    </w:p>
    <w:p>
      <w:pPr>
        <w:pStyle w:val="Style17"/>
        <w:keepNext w:val="0"/>
        <w:keepLines w:val="0"/>
        <w:widowControl w:val="0"/>
        <w:numPr>
          <w:ilvl w:val="0"/>
          <w:numId w:val="3"/>
        </w:numPr>
        <w:shd w:val="clear" w:color="auto" w:fill="auto"/>
        <w:tabs>
          <w:tab w:pos="838" w:val="left"/>
        </w:tabs>
        <w:bidi w:val="0"/>
        <w:spacing w:before="0" w:after="320" w:line="240" w:lineRule="auto"/>
        <w:ind w:left="0" w:right="0" w:firstLine="600"/>
        <w:jc w:val="both"/>
      </w:pPr>
      <w:r>
        <w:rPr>
          <w:color w:val="000000"/>
          <w:spacing w:val="0"/>
          <w:w w:val="100"/>
          <w:position w:val="0"/>
          <w:shd w:val="clear" w:color="auto" w:fill="auto"/>
          <w:lang w:val="en-US" w:eastAsia="en-US" w:bidi="en-US"/>
        </w:rPr>
        <w:t>intreprinderea masurilor pentru recuperarea mijloacelor financiare delapidate din I.S. „Calea Ferata din Moldova”.</w:t>
      </w:r>
    </w:p>
    <w:p>
      <w:pPr>
        <w:pStyle w:val="Style17"/>
        <w:keepNext w:val="0"/>
        <w:keepLines w:val="0"/>
        <w:widowControl w:val="0"/>
        <w:shd w:val="clear" w:color="auto" w:fill="auto"/>
        <w:bidi w:val="0"/>
        <w:spacing w:before="0" w:after="0" w:line="240" w:lineRule="auto"/>
        <w:ind w:left="700" w:right="0" w:firstLine="580"/>
        <w:jc w:val="left"/>
      </w:pPr>
      <w:r>
        <w:rPr>
          <w:b/>
          <w:bCs/>
          <w:color w:val="000000"/>
          <w:spacing w:val="0"/>
          <w:w w:val="100"/>
          <w:position w:val="0"/>
          <w:shd w:val="clear" w:color="auto" w:fill="auto"/>
          <w:lang w:val="en-US" w:eastAsia="en-US" w:bidi="en-US"/>
        </w:rPr>
        <w:t xml:space="preserve">Art.4. </w:t>
      </w:r>
      <w:r>
        <w:rPr>
          <w:color w:val="000000"/>
          <w:spacing w:val="0"/>
          <w:w w:val="100"/>
          <w:position w:val="0"/>
          <w:shd w:val="clear" w:color="auto" w:fill="auto"/>
          <w:lang w:val="en-US" w:eastAsia="en-US" w:bidi="en-US"/>
        </w:rPr>
        <w:t>- Raportul Comisiei de ancheta privind analiza situatiei economico- financiare de la I.S. ,,Calea Ferata din Moldova” si rezultatul activitatii ramurii de transport feroviar pentru perioada 2010-2020 se remite spre informare Guvernului si Procuraturii Generale.</w:t>
      </w:r>
    </w:p>
    <w:p>
      <w:pPr>
        <w:pStyle w:val="Style9"/>
        <w:keepNext w:val="0"/>
        <w:keepLines w:val="0"/>
        <w:widowControl w:val="0"/>
        <w:shd w:val="clear" w:color="auto" w:fill="auto"/>
        <w:bidi w:val="0"/>
        <w:spacing w:before="0" w:after="300" w:line="180" w:lineRule="auto"/>
        <w:ind w:left="0" w:right="0" w:firstLine="700"/>
        <w:jc w:val="left"/>
        <w:rPr>
          <w:sz w:val="8"/>
          <w:szCs w:val="8"/>
        </w:rPr>
      </w:pPr>
      <w:r>
        <w:rPr>
          <w:rFonts w:ascii="Calibri" w:eastAsia="Calibri" w:hAnsi="Calibri" w:cs="Calibri"/>
          <w:color w:val="000000"/>
          <w:spacing w:val="0"/>
          <w:w w:val="100"/>
          <w:position w:val="0"/>
          <w:sz w:val="8"/>
          <w:szCs w:val="8"/>
          <w:shd w:val="clear" w:color="auto" w:fill="auto"/>
          <w:lang w:val="en-US" w:eastAsia="en-US" w:bidi="en-US"/>
        </w:rPr>
        <w:t>5</w:t>
      </w:r>
    </w:p>
    <w:p>
      <w:pPr>
        <w:pStyle w:val="Style17"/>
        <w:keepNext w:val="0"/>
        <w:keepLines w:val="0"/>
        <w:widowControl w:val="0"/>
        <w:shd w:val="clear" w:color="auto" w:fill="auto"/>
        <w:bidi w:val="0"/>
        <w:spacing w:before="0" w:after="300" w:line="240" w:lineRule="auto"/>
        <w:ind w:left="700" w:right="0" w:firstLine="580"/>
        <w:jc w:val="left"/>
      </w:pPr>
      <w:r>
        <w:rPr>
          <w:b/>
          <w:bCs/>
          <w:color w:val="000000"/>
          <w:spacing w:val="0"/>
          <w:w w:val="100"/>
          <w:position w:val="0"/>
          <w:shd w:val="clear" w:color="auto" w:fill="auto"/>
          <w:lang w:val="en-US" w:eastAsia="en-US" w:bidi="en-US"/>
        </w:rPr>
        <w:t xml:space="preserve">Art.5. </w:t>
      </w:r>
      <w:r>
        <w:rPr>
          <w:color w:val="000000"/>
          <w:spacing w:val="0"/>
          <w:w w:val="100"/>
          <w:position w:val="0"/>
          <w:shd w:val="clear" w:color="auto" w:fill="auto"/>
          <w:lang w:val="en-US" w:eastAsia="en-US" w:bidi="en-US"/>
        </w:rPr>
        <w:t>- In termen de pana la 2 luni de la data adoptarii prezentei hotarari, Guvernul si Procuratura Generala vor raporta Parlamentului cu privire la executarea recomandarilor Comisiei de ancheta.</w:t>
      </w:r>
    </w:p>
    <w:p>
      <w:pPr>
        <w:pStyle w:val="Style17"/>
        <w:keepNext w:val="0"/>
        <w:keepLines w:val="0"/>
        <w:widowControl w:val="0"/>
        <w:shd w:val="clear" w:color="auto" w:fill="auto"/>
        <w:bidi w:val="0"/>
        <w:spacing w:before="0" w:after="600" w:line="240" w:lineRule="auto"/>
        <w:ind w:left="700" w:right="0" w:firstLine="580"/>
        <w:jc w:val="left"/>
      </w:pPr>
      <w:r>
        <w:rPr>
          <w:b/>
          <w:bCs/>
          <w:color w:val="000000"/>
          <w:spacing w:val="0"/>
          <w:w w:val="100"/>
          <w:position w:val="0"/>
          <w:shd w:val="clear" w:color="auto" w:fill="auto"/>
          <w:lang w:val="en-US" w:eastAsia="en-US" w:bidi="en-US"/>
        </w:rPr>
        <w:t xml:space="preserve">Art.6. </w:t>
      </w:r>
      <w:r>
        <w:rPr>
          <w:color w:val="000000"/>
          <w:spacing w:val="0"/>
          <w:w w:val="100"/>
          <w:position w:val="0"/>
          <w:shd w:val="clear" w:color="auto" w:fill="auto"/>
          <w:lang w:val="en-US" w:eastAsia="en-US" w:bidi="en-US"/>
        </w:rPr>
        <w:t>- Prezenta hotarire intra in vigoare la data publicarii in Monitorul Oficial al Republicii Moldova.</w:t>
      </w:r>
    </w:p>
    <w:p>
      <w:pPr>
        <w:pStyle w:val="Style17"/>
        <w:keepNext w:val="0"/>
        <w:keepLines w:val="0"/>
        <w:widowControl w:val="0"/>
        <w:shd w:val="clear" w:color="auto" w:fill="auto"/>
        <w:tabs>
          <w:tab w:pos="7290" w:val="left"/>
        </w:tabs>
        <w:bidi w:val="0"/>
        <w:spacing w:before="0" w:after="440" w:line="240" w:lineRule="auto"/>
        <w:ind w:left="1280" w:right="0" w:firstLine="0"/>
        <w:jc w:val="left"/>
        <w:sectPr>
          <w:footnotePr>
            <w:pos w:val="pageBottom"/>
            <w:numFmt w:val="decimal"/>
            <w:numRestart w:val="continuous"/>
          </w:footnotePr>
          <w:type w:val="continuous"/>
          <w:pgSz w:w="11900" w:h="16840"/>
          <w:pgMar w:top="1100" w:left="1016" w:right="468" w:bottom="276" w:header="672" w:footer="3" w:gutter="0"/>
          <w:cols w:space="720"/>
          <w:noEndnote/>
          <w:rtlGutter w:val="0"/>
          <w:docGrid w:linePitch="360"/>
        </w:sectPr>
      </w:pPr>
      <w:r>
        <w:rPr>
          <w:b/>
          <w:bCs/>
          <w:color w:val="000000"/>
          <w:spacing w:val="0"/>
          <w:w w:val="100"/>
          <w:position w:val="0"/>
          <w:shd w:val="clear" w:color="auto" w:fill="auto"/>
          <w:lang w:val="en-US" w:eastAsia="en-US" w:bidi="en-US"/>
        </w:rPr>
        <w:t>PRE^EDINTELE PARLAMENTULUI</w:t>
        <w:tab/>
        <w:t>Zinaida GRECEANH</w:t>
      </w:r>
    </w:p>
    <w:p>
      <w:pPr>
        <w:pStyle w:val="Style9"/>
        <w:keepNext w:val="0"/>
        <w:keepLines w:val="0"/>
        <w:widowControl w:val="0"/>
        <w:shd w:val="clear" w:color="auto" w:fill="auto"/>
        <w:bidi w:val="0"/>
        <w:spacing w:before="0" w:after="0" w:line="240" w:lineRule="auto"/>
        <w:ind w:left="0" w:right="0" w:firstLine="160"/>
        <w:jc w:val="both"/>
        <w:rPr>
          <w:sz w:val="22"/>
          <w:szCs w:val="22"/>
        </w:rPr>
      </w:pPr>
      <w:r>
        <w:drawing>
          <wp:anchor distT="0" distB="0" distL="114300" distR="114300" simplePos="0" relativeHeight="125829380" behindDoc="0" locked="0" layoutInCell="1" allowOverlap="1">
            <wp:simplePos x="0" y="0"/>
            <wp:positionH relativeFrom="page">
              <wp:posOffset>428625</wp:posOffset>
            </wp:positionH>
            <wp:positionV relativeFrom="paragraph">
              <wp:posOffset>25400</wp:posOffset>
            </wp:positionV>
            <wp:extent cx="396240" cy="189230"/>
            <wp:wrapSquare wrapText="bothSides"/>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9"/>
                    <a:stretch/>
                  </pic:blipFill>
                  <pic:spPr>
                    <a:xfrm>
                      <a:ext cx="396240" cy="189230"/>
                    </a:xfrm>
                    <a:prstGeom prst="rect"/>
                  </pic:spPr>
                </pic:pic>
              </a:graphicData>
            </a:graphic>
          </wp:anchor>
        </w:drawing>
      </w:r>
      <w:r>
        <mc:AlternateContent>
          <mc:Choice Requires="wps">
            <w:drawing>
              <wp:anchor distT="0" distB="0" distL="114300" distR="114300" simplePos="0" relativeHeight="125829381" behindDoc="0" locked="0" layoutInCell="1" allowOverlap="1">
                <wp:simplePos x="0" y="0"/>
                <wp:positionH relativeFrom="page">
                  <wp:posOffset>5668010</wp:posOffset>
                </wp:positionH>
                <wp:positionV relativeFrom="paragraph">
                  <wp:posOffset>127000</wp:posOffset>
                </wp:positionV>
                <wp:extent cx="1225550" cy="198120"/>
                <wp:wrapSquare wrapText="left"/>
                <wp:docPr id="9" name="Shape 9"/>
                <a:graphic xmlns:a="http://schemas.openxmlformats.org/drawingml/2006/main">
                  <a:graphicData uri="http://schemas.microsoft.com/office/word/2010/wordprocessingShape">
                    <wps:wsp>
                      <wps:cNvSpPr txBox="1"/>
                      <wps:spPr>
                        <a:xfrm>
                          <a:ext cx="1225550" cy="198120"/>
                        </a:xfrm>
                        <a:prstGeom prst="rect"/>
                        <a:noFill/>
                      </wps:spPr>
                      <wps:txbx>
                        <w:txbxContent>
                          <w:p>
                            <w:pPr>
                              <w:pStyle w:val="Style9"/>
                              <w:keepNext w:val="0"/>
                              <w:keepLines w:val="0"/>
                              <w:widowControl w:val="0"/>
                              <w:shd w:val="clear" w:color="auto" w:fill="auto"/>
                              <w:tabs>
                                <w:tab w:leader="underscore" w:pos="1334" w:val="left"/>
                              </w:tabs>
                              <w:bidi w:val="0"/>
                              <w:spacing w:before="0" w:after="0" w:line="240" w:lineRule="auto"/>
                              <w:ind w:left="0" w:right="0" w:firstLine="0"/>
                              <w:jc w:val="right"/>
                              <w:rPr>
                                <w:sz w:val="24"/>
                                <w:szCs w:val="24"/>
                              </w:rPr>
                            </w:pPr>
                            <w:r>
                              <w:rPr>
                                <w:rFonts w:ascii="Georgia" w:eastAsia="Georgia" w:hAnsi="Georgia" w:cs="Georgia"/>
                                <w:color w:val="303741"/>
                                <w:spacing w:val="0"/>
                                <w:w w:val="100"/>
                                <w:position w:val="0"/>
                                <w:sz w:val="24"/>
                                <w:szCs w:val="24"/>
                                <w:shd w:val="clear" w:color="auto" w:fill="auto"/>
                                <w:lang w:val="en-US" w:eastAsia="en-US" w:bidi="en-US"/>
                              </w:rPr>
                              <w:t xml:space="preserve">din </w:t>
                              <w:tab/>
                              <w:t>2021</w:t>
                            </w:r>
                          </w:p>
                        </w:txbxContent>
                      </wps:txbx>
                      <wps:bodyPr wrap="none" lIns="0" tIns="0" rIns="0" bIns="0">
                        <a:noAutoFit/>
                      </wps:bodyPr>
                    </wps:wsp>
                  </a:graphicData>
                </a:graphic>
              </wp:anchor>
            </w:drawing>
          </mc:Choice>
          <mc:Fallback>
            <w:pict>
              <v:shape id="_x0000_s1035" type="#_x0000_t202" style="position:absolute;margin-left:446.30000000000001pt;margin-top:10.pt;width:96.5pt;height:15.6pt;z-index:-125829372;mso-wrap-distance-left:9.pt;mso-wrap-distance-right:9.pt;mso-position-horizontal-relative:page" filled="f" stroked="f">
                <v:textbox inset="0,0,0,0">
                  <w:txbxContent>
                    <w:p>
                      <w:pPr>
                        <w:pStyle w:val="Style9"/>
                        <w:keepNext w:val="0"/>
                        <w:keepLines w:val="0"/>
                        <w:widowControl w:val="0"/>
                        <w:shd w:val="clear" w:color="auto" w:fill="auto"/>
                        <w:tabs>
                          <w:tab w:leader="underscore" w:pos="1334" w:val="left"/>
                        </w:tabs>
                        <w:bidi w:val="0"/>
                        <w:spacing w:before="0" w:after="0" w:line="240" w:lineRule="auto"/>
                        <w:ind w:left="0" w:right="0" w:firstLine="0"/>
                        <w:jc w:val="right"/>
                        <w:rPr>
                          <w:sz w:val="24"/>
                          <w:szCs w:val="24"/>
                        </w:rPr>
                      </w:pPr>
                      <w:r>
                        <w:rPr>
                          <w:rFonts w:ascii="Georgia" w:eastAsia="Georgia" w:hAnsi="Georgia" w:cs="Georgia"/>
                          <w:color w:val="303741"/>
                          <w:spacing w:val="0"/>
                          <w:w w:val="100"/>
                          <w:position w:val="0"/>
                          <w:sz w:val="24"/>
                          <w:szCs w:val="24"/>
                          <w:shd w:val="clear" w:color="auto" w:fill="auto"/>
                          <w:lang w:val="en-US" w:eastAsia="en-US" w:bidi="en-US"/>
                        </w:rPr>
                        <w:t xml:space="preserve">din </w:t>
                        <w:tab/>
                        <w:t>2021</w:t>
                      </w:r>
                    </w:p>
                  </w:txbxContent>
                </v:textbox>
                <w10:wrap type="square" side="left" anchorx="page"/>
              </v:shape>
            </w:pict>
          </mc:Fallback>
        </mc:AlternateContent>
      </w:r>
      <w:r>
        <w:rPr>
          <w:color w:val="303741"/>
          <w:spacing w:val="0"/>
          <w:w w:val="100"/>
          <w:position w:val="0"/>
          <w:sz w:val="22"/>
          <w:szCs w:val="22"/>
          <w:shd w:val="clear" w:color="auto" w:fill="auto"/>
          <w:lang w:val="en-US" w:eastAsia="en-US" w:bidi="en-US"/>
        </w:rPr>
        <w:t>Parlamentul</w:t>
      </w:r>
    </w:p>
    <w:p>
      <w:pPr>
        <w:pStyle w:val="Style9"/>
        <w:keepNext w:val="0"/>
        <w:keepLines w:val="0"/>
        <w:widowControl w:val="0"/>
        <w:shd w:val="clear" w:color="auto" w:fill="auto"/>
        <w:bidi w:val="0"/>
        <w:spacing w:before="0" w:after="320" w:line="209" w:lineRule="auto"/>
        <w:ind w:left="0" w:right="0" w:firstLine="160"/>
        <w:jc w:val="both"/>
        <w:rPr>
          <w:sz w:val="22"/>
          <w:szCs w:val="22"/>
        </w:rPr>
      </w:pPr>
      <w:r>
        <w:rPr>
          <w:color w:val="303741"/>
          <w:spacing w:val="0"/>
          <w:w w:val="100"/>
          <w:position w:val="0"/>
          <w:sz w:val="22"/>
          <w:szCs w:val="22"/>
          <w:shd w:val="clear" w:color="auto" w:fill="auto"/>
          <w:lang w:val="en-US" w:eastAsia="en-US" w:bidi="en-US"/>
        </w:rPr>
        <w:t>Republicii Moldova</w:t>
      </w:r>
    </w:p>
    <w:p>
      <w:pPr>
        <w:pStyle w:val="Style17"/>
        <w:keepNext w:val="0"/>
        <w:keepLines w:val="0"/>
        <w:widowControl w:val="0"/>
        <w:shd w:val="clear" w:color="auto" w:fill="auto"/>
        <w:bidi w:val="0"/>
        <w:spacing w:before="0" w:after="0" w:line="240" w:lineRule="auto"/>
        <w:ind w:left="0" w:right="0" w:firstLine="0"/>
        <w:jc w:val="both"/>
        <w:rPr>
          <w:sz w:val="30"/>
          <w:szCs w:val="30"/>
        </w:rPr>
      </w:pPr>
      <w:r>
        <w:rPr>
          <w:b/>
          <w:bCs/>
          <w:color w:val="303741"/>
          <w:spacing w:val="0"/>
          <w:w w:val="100"/>
          <w:position w:val="0"/>
          <w:sz w:val="30"/>
          <w:szCs w:val="30"/>
          <w:shd w:val="clear" w:color="auto" w:fill="auto"/>
          <w:lang w:val="en-US" w:eastAsia="en-US" w:bidi="en-US"/>
        </w:rPr>
        <w:t>Comisia de ancheta</w:t>
      </w:r>
    </w:p>
    <w:p>
      <w:pPr>
        <w:pStyle w:val="Style9"/>
        <w:keepNext w:val="0"/>
        <w:keepLines w:val="0"/>
        <w:widowControl w:val="0"/>
        <w:shd w:val="clear" w:color="auto" w:fill="auto"/>
        <w:bidi w:val="0"/>
        <w:spacing w:before="0" w:after="640" w:line="271" w:lineRule="auto"/>
        <w:ind w:left="0" w:right="0" w:firstLine="0"/>
        <w:jc w:val="both"/>
        <w:rPr>
          <w:sz w:val="24"/>
          <w:szCs w:val="24"/>
        </w:rPr>
      </w:pPr>
      <w:r>
        <w:rPr>
          <w:b/>
          <w:bCs/>
          <w:color w:val="303741"/>
          <w:spacing w:val="0"/>
          <w:w w:val="100"/>
          <w:position w:val="0"/>
          <w:sz w:val="24"/>
          <w:szCs w:val="24"/>
          <w:shd w:val="clear" w:color="auto" w:fill="auto"/>
          <w:lang w:val="en-US" w:eastAsia="en-US" w:bidi="en-US"/>
        </w:rPr>
        <w:t>privind analiza situatiei economico-financiare de la I.S. ,,Calea Ferata din Moldova” si rezultatul activitatii ramurii de transport feroviar pentru perioada 2010-2020</w:t>
      </w:r>
    </w:p>
    <w:p>
      <w:pPr>
        <w:pStyle w:val="Style17"/>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en-US" w:eastAsia="en-US" w:bidi="en-US"/>
        </w:rPr>
        <w:t>RAPORT</w:t>
      </w:r>
    </w:p>
    <w:p>
      <w:pPr>
        <w:pStyle w:val="Style17"/>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en-US" w:eastAsia="en-US" w:bidi="en-US"/>
        </w:rPr>
        <w:t>al Comisiei de ancheta privind analiza situatiei economico-financiare de la</w:t>
      </w:r>
    </w:p>
    <w:p>
      <w:pPr>
        <w:pStyle w:val="Style17"/>
        <w:keepNext w:val="0"/>
        <w:keepLines w:val="0"/>
        <w:widowControl w:val="0"/>
        <w:shd w:val="clear" w:color="auto" w:fill="auto"/>
        <w:tabs>
          <w:tab w:pos="608" w:val="left"/>
        </w:tabs>
        <w:bidi w:val="0"/>
        <w:spacing w:before="0" w:after="320" w:line="240" w:lineRule="auto"/>
        <w:ind w:left="0" w:right="0" w:firstLine="0"/>
        <w:jc w:val="center"/>
      </w:pPr>
      <w:r>
        <w:rPr>
          <w:b/>
          <w:bCs/>
          <w:color w:val="000000"/>
          <w:spacing w:val="0"/>
          <w:w w:val="100"/>
          <w:position w:val="0"/>
          <w:shd w:val="clear" w:color="auto" w:fill="auto"/>
          <w:lang w:val="en-US" w:eastAsia="en-US" w:bidi="en-US"/>
        </w:rPr>
        <w:t>I.S.</w:t>
        <w:tab/>
        <w:t>,,Calea Ferata din Moldova” si rezultatul activitatii ramurii de transport</w:t>
        <w:br/>
        <w:t>feroviar pentru perioada 2010-2020</w:t>
      </w:r>
    </w:p>
    <w:p>
      <w:pPr>
        <w:pStyle w:val="Style15"/>
        <w:keepNext/>
        <w:keepLines/>
        <w:widowControl w:val="0"/>
        <w:numPr>
          <w:ilvl w:val="0"/>
          <w:numId w:val="5"/>
        </w:numPr>
        <w:shd w:val="clear" w:color="auto" w:fill="auto"/>
        <w:tabs>
          <w:tab w:pos="1522" w:val="left"/>
        </w:tabs>
        <w:bidi w:val="0"/>
        <w:spacing w:before="0" w:after="0" w:line="240" w:lineRule="auto"/>
        <w:ind w:left="1140" w:right="0" w:firstLine="0"/>
        <w:jc w:val="both"/>
      </w:pPr>
      <w:bookmarkStart w:id="12" w:name="bookmark12"/>
      <w:bookmarkStart w:id="13" w:name="bookmark13"/>
      <w:r>
        <w:rPr>
          <w:color w:val="000000"/>
          <w:spacing w:val="0"/>
          <w:w w:val="100"/>
          <w:position w:val="0"/>
          <w:shd w:val="clear" w:color="auto" w:fill="auto"/>
          <w:lang w:val="en-US" w:eastAsia="en-US" w:bidi="en-US"/>
        </w:rPr>
        <w:t>PREAMBUL</w:t>
      </w:r>
      <w:bookmarkEnd w:id="12"/>
      <w:bookmarkEnd w:id="13"/>
    </w:p>
    <w:p>
      <w:pPr>
        <w:pStyle w:val="Style17"/>
        <w:keepNext w:val="0"/>
        <w:keepLines w:val="0"/>
        <w:widowControl w:val="0"/>
        <w:shd w:val="clear" w:color="auto" w:fill="auto"/>
        <w:bidi w:val="0"/>
        <w:spacing w:before="0" w:after="0" w:line="240" w:lineRule="auto"/>
        <w:ind w:left="200" w:right="0" w:firstLine="940"/>
        <w:jc w:val="both"/>
      </w:pPr>
      <w:r>
        <w:rPr>
          <w:color w:val="000000"/>
          <w:spacing w:val="0"/>
          <w:w w:val="100"/>
          <w:position w:val="0"/>
          <w:shd w:val="clear" w:color="auto" w:fill="auto"/>
          <w:lang w:val="en-US" w:eastAsia="en-US" w:bidi="en-US"/>
        </w:rPr>
        <w:t xml:space="preserve">Prin Hotararea Parlamentului Republicii Moldova nr. </w:t>
      </w:r>
      <w:r>
        <w:rPr>
          <w:color w:val="000000"/>
          <w:spacing w:val="0"/>
          <w:w w:val="100"/>
          <w:position w:val="0"/>
          <w:shd w:val="clear" w:color="auto" w:fill="auto"/>
          <w:lang w:val="ru-RU" w:eastAsia="ru-RU" w:bidi="ru-RU"/>
        </w:rPr>
        <w:t xml:space="preserve">6/2021 </w:t>
      </w:r>
      <w:r>
        <w:rPr>
          <w:color w:val="000000"/>
          <w:spacing w:val="0"/>
          <w:w w:val="100"/>
          <w:position w:val="0"/>
          <w:shd w:val="clear" w:color="auto" w:fill="auto"/>
          <w:lang w:val="en-US" w:eastAsia="en-US" w:bidi="en-US"/>
        </w:rPr>
        <w:t>a fost constituita Comisia de ancheta privind analiza situatiei economico-financiare de la I.S. „Calea Ferata din Moldova” si a rezultatelor activitatii ramurii de transport feroviar pentru perioada 2010-2020, in urmatoarea componenta:</w:t>
      </w:r>
    </w:p>
    <w:p>
      <w:pPr>
        <w:pStyle w:val="Style17"/>
        <w:keepNext w:val="0"/>
        <w:keepLines w:val="0"/>
        <w:widowControl w:val="0"/>
        <w:numPr>
          <w:ilvl w:val="0"/>
          <w:numId w:val="7"/>
        </w:numPr>
        <w:shd w:val="clear" w:color="auto" w:fill="auto"/>
        <w:tabs>
          <w:tab w:pos="1701" w:val="left"/>
        </w:tabs>
        <w:bidi w:val="0"/>
        <w:spacing w:before="0" w:after="0" w:line="240" w:lineRule="auto"/>
        <w:ind w:left="1140" w:right="0" w:firstLine="0"/>
        <w:jc w:val="both"/>
      </w:pPr>
      <w:r>
        <w:rPr>
          <w:color w:val="000000"/>
          <w:spacing w:val="0"/>
          <w:w w:val="100"/>
          <w:position w:val="0"/>
          <w:shd w:val="clear" w:color="auto" w:fill="auto"/>
          <w:lang w:val="en-US" w:eastAsia="en-US" w:bidi="en-US"/>
        </w:rPr>
        <w:t>LIPSKII Oleg - Presedinte al Comisiei;</w:t>
      </w:r>
    </w:p>
    <w:p>
      <w:pPr>
        <w:pStyle w:val="Style17"/>
        <w:keepNext w:val="0"/>
        <w:keepLines w:val="0"/>
        <w:widowControl w:val="0"/>
        <w:numPr>
          <w:ilvl w:val="0"/>
          <w:numId w:val="7"/>
        </w:numPr>
        <w:shd w:val="clear" w:color="auto" w:fill="auto"/>
        <w:tabs>
          <w:tab w:pos="1701" w:val="left"/>
        </w:tabs>
        <w:bidi w:val="0"/>
        <w:spacing w:before="0" w:after="0" w:line="240" w:lineRule="auto"/>
        <w:ind w:left="1140" w:right="0" w:firstLine="0"/>
        <w:jc w:val="both"/>
      </w:pPr>
      <w:r>
        <w:rPr>
          <w:color w:val="000000"/>
          <w:spacing w:val="0"/>
          <w:w w:val="100"/>
          <w:position w:val="0"/>
          <w:shd w:val="clear" w:color="auto" w:fill="auto"/>
          <w:lang w:val="en-US" w:eastAsia="en-US" w:bidi="en-US"/>
        </w:rPr>
        <w:t>AGACHE Angel - Vicepresedinte al Comisiei;</w:t>
      </w:r>
    </w:p>
    <w:p>
      <w:pPr>
        <w:pStyle w:val="Style17"/>
        <w:keepNext w:val="0"/>
        <w:keepLines w:val="0"/>
        <w:widowControl w:val="0"/>
        <w:numPr>
          <w:ilvl w:val="0"/>
          <w:numId w:val="7"/>
        </w:numPr>
        <w:shd w:val="clear" w:color="auto" w:fill="auto"/>
        <w:tabs>
          <w:tab w:pos="1701" w:val="left"/>
        </w:tabs>
        <w:bidi w:val="0"/>
        <w:spacing w:before="0" w:after="0" w:line="240" w:lineRule="auto"/>
        <w:ind w:left="1140" w:right="0" w:firstLine="0"/>
        <w:jc w:val="both"/>
      </w:pPr>
      <w:r>
        <w:rPr>
          <w:color w:val="000000"/>
          <w:spacing w:val="0"/>
          <w:w w:val="100"/>
          <w:position w:val="0"/>
          <w:shd w:val="clear" w:color="auto" w:fill="auto"/>
          <w:lang w:val="en-US" w:eastAsia="en-US" w:bidi="en-US"/>
        </w:rPr>
        <w:t>PADNEVICI Corneliu - Secretar al Comisiei;</w:t>
      </w:r>
    </w:p>
    <w:p>
      <w:pPr>
        <w:pStyle w:val="Style17"/>
        <w:keepNext w:val="0"/>
        <w:keepLines w:val="0"/>
        <w:widowControl w:val="0"/>
        <w:numPr>
          <w:ilvl w:val="0"/>
          <w:numId w:val="7"/>
        </w:numPr>
        <w:shd w:val="clear" w:color="auto" w:fill="auto"/>
        <w:tabs>
          <w:tab w:pos="1701" w:val="left"/>
        </w:tabs>
        <w:bidi w:val="0"/>
        <w:spacing w:before="0" w:after="0" w:line="240" w:lineRule="auto"/>
        <w:ind w:left="1140" w:right="0" w:firstLine="0"/>
        <w:jc w:val="both"/>
      </w:pPr>
      <w:r>
        <w:rPr>
          <w:color w:val="000000"/>
          <w:spacing w:val="0"/>
          <w:w w:val="100"/>
          <w:position w:val="0"/>
          <w:shd w:val="clear" w:color="auto" w:fill="auto"/>
          <w:lang w:val="en-US" w:eastAsia="en-US" w:bidi="en-US"/>
        </w:rPr>
        <w:t>JOLNACI Alexandru - membru al Comisiei;</w:t>
      </w:r>
    </w:p>
    <w:p>
      <w:pPr>
        <w:pStyle w:val="Style17"/>
        <w:keepNext w:val="0"/>
        <w:keepLines w:val="0"/>
        <w:widowControl w:val="0"/>
        <w:numPr>
          <w:ilvl w:val="0"/>
          <w:numId w:val="7"/>
        </w:numPr>
        <w:shd w:val="clear" w:color="auto" w:fill="auto"/>
        <w:tabs>
          <w:tab w:pos="1701" w:val="left"/>
        </w:tabs>
        <w:bidi w:val="0"/>
        <w:spacing w:before="0" w:after="0" w:line="240" w:lineRule="auto"/>
        <w:ind w:left="1140" w:right="0" w:firstLine="0"/>
        <w:jc w:val="both"/>
      </w:pPr>
      <w:r>
        <w:rPr>
          <w:color w:val="000000"/>
          <w:spacing w:val="0"/>
          <w:w w:val="100"/>
          <w:position w:val="0"/>
          <w:shd w:val="clear" w:color="auto" w:fill="auto"/>
          <w:lang w:val="en-US" w:eastAsia="en-US" w:bidi="en-US"/>
        </w:rPr>
        <w:t>PASCARU Nicolae - membru al Comisiei;</w:t>
      </w:r>
    </w:p>
    <w:p>
      <w:pPr>
        <w:pStyle w:val="Style17"/>
        <w:keepNext w:val="0"/>
        <w:keepLines w:val="0"/>
        <w:widowControl w:val="0"/>
        <w:numPr>
          <w:ilvl w:val="0"/>
          <w:numId w:val="7"/>
        </w:numPr>
        <w:shd w:val="clear" w:color="auto" w:fill="auto"/>
        <w:tabs>
          <w:tab w:pos="1701" w:val="left"/>
        </w:tabs>
        <w:bidi w:val="0"/>
        <w:spacing w:before="0" w:after="0" w:line="240" w:lineRule="auto"/>
        <w:ind w:left="1140" w:right="0" w:firstLine="0"/>
        <w:jc w:val="both"/>
      </w:pPr>
      <w:r>
        <w:rPr>
          <w:color w:val="000000"/>
          <w:spacing w:val="0"/>
          <w:w w:val="100"/>
          <w:position w:val="0"/>
          <w:shd w:val="clear" w:color="auto" w:fill="auto"/>
          <w:lang w:val="en-US" w:eastAsia="en-US" w:bidi="en-US"/>
        </w:rPr>
        <w:t>FRUNZE Petru - membru al Comisiei;</w:t>
      </w:r>
    </w:p>
    <w:p>
      <w:pPr>
        <w:pStyle w:val="Style17"/>
        <w:keepNext w:val="0"/>
        <w:keepLines w:val="0"/>
        <w:widowControl w:val="0"/>
        <w:numPr>
          <w:ilvl w:val="0"/>
          <w:numId w:val="7"/>
        </w:numPr>
        <w:shd w:val="clear" w:color="auto" w:fill="auto"/>
        <w:tabs>
          <w:tab w:pos="1701" w:val="left"/>
        </w:tabs>
        <w:bidi w:val="0"/>
        <w:spacing w:before="0" w:after="0" w:line="240" w:lineRule="auto"/>
        <w:ind w:left="1140" w:right="0" w:firstLine="0"/>
        <w:jc w:val="both"/>
      </w:pPr>
      <w:r>
        <w:rPr>
          <w:color w:val="000000"/>
          <w:spacing w:val="0"/>
          <w:w w:val="100"/>
          <w:position w:val="0"/>
          <w:shd w:val="clear" w:color="auto" w:fill="auto"/>
          <w:lang w:val="en-US" w:eastAsia="en-US" w:bidi="en-US"/>
        </w:rPr>
        <w:t>MARIAN Radu - membru al Comisiei;</w:t>
      </w:r>
    </w:p>
    <w:p>
      <w:pPr>
        <w:pStyle w:val="Style17"/>
        <w:keepNext w:val="0"/>
        <w:keepLines w:val="0"/>
        <w:widowControl w:val="0"/>
        <w:numPr>
          <w:ilvl w:val="0"/>
          <w:numId w:val="7"/>
        </w:numPr>
        <w:shd w:val="clear" w:color="auto" w:fill="auto"/>
        <w:tabs>
          <w:tab w:pos="1701" w:val="left"/>
        </w:tabs>
        <w:bidi w:val="0"/>
        <w:spacing w:before="0" w:after="0" w:line="240" w:lineRule="auto"/>
        <w:ind w:left="1140" w:right="0" w:firstLine="0"/>
        <w:jc w:val="both"/>
      </w:pPr>
      <w:r>
        <w:rPr>
          <w:color w:val="000000"/>
          <w:spacing w:val="0"/>
          <w:w w:val="100"/>
          <w:position w:val="0"/>
          <w:shd w:val="clear" w:color="auto" w:fill="auto"/>
          <w:lang w:val="en-US" w:eastAsia="en-US" w:bidi="en-US"/>
        </w:rPr>
        <w:t>SLUSARI Alexandru - membru al Comisiei;</w:t>
      </w:r>
    </w:p>
    <w:p>
      <w:pPr>
        <w:pStyle w:val="Style17"/>
        <w:keepNext w:val="0"/>
        <w:keepLines w:val="0"/>
        <w:widowControl w:val="0"/>
        <w:numPr>
          <w:ilvl w:val="0"/>
          <w:numId w:val="7"/>
        </w:numPr>
        <w:shd w:val="clear" w:color="auto" w:fill="auto"/>
        <w:tabs>
          <w:tab w:pos="1701" w:val="left"/>
        </w:tabs>
        <w:bidi w:val="0"/>
        <w:spacing w:before="0" w:after="0" w:line="240" w:lineRule="auto"/>
        <w:ind w:left="1140" w:right="0" w:firstLine="0"/>
        <w:jc w:val="both"/>
      </w:pPr>
      <w:r>
        <w:rPr>
          <w:color w:val="000000"/>
          <w:spacing w:val="0"/>
          <w:w w:val="100"/>
          <w:position w:val="0"/>
          <w:shd w:val="clear" w:color="auto" w:fill="auto"/>
          <w:lang w:val="en-US" w:eastAsia="en-US" w:bidi="en-US"/>
        </w:rPr>
        <w:t>LEUCA Ion - membru al Comisiei;</w:t>
      </w:r>
    </w:p>
    <w:p>
      <w:pPr>
        <w:pStyle w:val="Style17"/>
        <w:keepNext w:val="0"/>
        <w:keepLines w:val="0"/>
        <w:widowControl w:val="0"/>
        <w:numPr>
          <w:ilvl w:val="0"/>
          <w:numId w:val="7"/>
        </w:numPr>
        <w:shd w:val="clear" w:color="auto" w:fill="auto"/>
        <w:tabs>
          <w:tab w:pos="1701" w:val="left"/>
        </w:tabs>
        <w:bidi w:val="0"/>
        <w:spacing w:before="0" w:after="0" w:line="240" w:lineRule="auto"/>
        <w:ind w:left="1140" w:right="0" w:firstLine="0"/>
        <w:jc w:val="both"/>
      </w:pPr>
      <w:r>
        <w:rPr>
          <w:color w:val="000000"/>
          <w:spacing w:val="0"/>
          <w:w w:val="100"/>
          <w:position w:val="0"/>
          <w:shd w:val="clear" w:color="auto" w:fill="auto"/>
          <w:lang w:val="en-US" w:eastAsia="en-US" w:bidi="en-US"/>
        </w:rPr>
        <w:t>HIMICI Igor - membru al Comisiei.</w:t>
      </w:r>
    </w:p>
    <w:p>
      <w:pPr>
        <w:pStyle w:val="Style17"/>
        <w:keepNext w:val="0"/>
        <w:keepLines w:val="0"/>
        <w:widowControl w:val="0"/>
        <w:shd w:val="clear" w:color="auto" w:fill="auto"/>
        <w:bidi w:val="0"/>
        <w:spacing w:before="0" w:after="0" w:line="240" w:lineRule="auto"/>
        <w:ind w:left="1140" w:right="0" w:firstLine="0"/>
        <w:jc w:val="both"/>
      </w:pPr>
      <w:r>
        <w:rPr>
          <w:b/>
          <w:bCs/>
          <w:color w:val="000000"/>
          <w:spacing w:val="0"/>
          <w:w w:val="100"/>
          <w:position w:val="0"/>
          <w:u w:val="single"/>
          <w:shd w:val="clear" w:color="auto" w:fill="auto"/>
          <w:lang w:val="en-US" w:eastAsia="en-US" w:bidi="en-US"/>
        </w:rPr>
        <w:t>Scopul Comisiei</w:t>
      </w:r>
      <w:r>
        <w:rPr>
          <w:b/>
          <w:bCs/>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en-US" w:eastAsia="en-US" w:bidi="en-US"/>
        </w:rPr>
        <w:t>este de a elucida cauzele situatiei economico-financiare critice la</w:t>
      </w:r>
    </w:p>
    <w:p>
      <w:pPr>
        <w:pStyle w:val="Style17"/>
        <w:keepNext w:val="0"/>
        <w:keepLines w:val="0"/>
        <w:widowControl w:val="0"/>
        <w:shd w:val="clear" w:color="auto" w:fill="auto"/>
        <w:tabs>
          <w:tab w:pos="765" w:val="left"/>
        </w:tabs>
        <w:bidi w:val="0"/>
        <w:spacing w:before="0" w:after="0" w:line="240" w:lineRule="auto"/>
        <w:ind w:left="200" w:right="0" w:firstLine="80"/>
        <w:jc w:val="both"/>
      </w:pPr>
      <w:r>
        <w:rPr>
          <w:color w:val="000000"/>
          <w:spacing w:val="0"/>
          <w:w w:val="100"/>
          <w:position w:val="0"/>
          <w:shd w:val="clear" w:color="auto" w:fill="auto"/>
          <w:lang w:val="en-US" w:eastAsia="en-US" w:bidi="en-US"/>
        </w:rPr>
        <w:t>I.S.</w:t>
        <w:tab/>
        <w:t>„Calea Ferata din Moldova” (in continuare I.S. „CFM”), a examina eficienta managementului intreprinderii in perioada 2010-2020 si a da un imbold autoritatilor publice responsabile in depasirea crizei create si nerepetarea acesteia pe viitor.</w:t>
      </w:r>
    </w:p>
    <w:p>
      <w:pPr>
        <w:pStyle w:val="Style17"/>
        <w:keepNext w:val="0"/>
        <w:keepLines w:val="0"/>
        <w:widowControl w:val="0"/>
        <w:shd w:val="clear" w:color="auto" w:fill="auto"/>
        <w:bidi w:val="0"/>
        <w:spacing w:before="0" w:after="0" w:line="240" w:lineRule="auto"/>
        <w:ind w:left="200" w:right="0" w:firstLine="940"/>
        <w:jc w:val="both"/>
      </w:pPr>
      <w:r>
        <w:rPr>
          <w:color w:val="000000"/>
          <w:spacing w:val="0"/>
          <w:w w:val="100"/>
          <w:position w:val="0"/>
          <w:shd w:val="clear" w:color="auto" w:fill="auto"/>
          <w:lang w:val="en-US" w:eastAsia="en-US" w:bidi="en-US"/>
        </w:rPr>
        <w:t>In activitatea sa, Comisia de ancheta, s-a condus de Constitutia Republicii Moldova, Regulamentul Parlamentului adoptat prin Legea nr. 797/1996, alte acte normative nationale si internationale menite sa asigure o investigatie obiectiva si transparenta in raport cu membrii comisiei si persoanele care urmau a fi citate, invitate la audienta.</w:t>
      </w:r>
    </w:p>
    <w:p>
      <w:pPr>
        <w:pStyle w:val="Style17"/>
        <w:keepNext w:val="0"/>
        <w:keepLines w:val="0"/>
        <w:widowControl w:val="0"/>
        <w:shd w:val="clear" w:color="auto" w:fill="auto"/>
        <w:bidi w:val="0"/>
        <w:spacing w:before="0" w:after="0" w:line="240" w:lineRule="auto"/>
        <w:ind w:left="200" w:right="0" w:firstLine="940"/>
        <w:jc w:val="both"/>
      </w:pPr>
      <w:r>
        <w:rPr>
          <w:color w:val="000000"/>
          <w:spacing w:val="0"/>
          <w:w w:val="100"/>
          <w:position w:val="0"/>
          <w:shd w:val="clear" w:color="auto" w:fill="auto"/>
          <w:lang w:val="en-US" w:eastAsia="en-US" w:bidi="en-US"/>
        </w:rPr>
        <w:t>Astfel, conform prevederilor art. 36 alin.(1) al Regulamentului Parlamentului, Comisia de ancheta citeaza ca martor orice persoana care dispune de informatii despre vreo fapta sau imprejurare de natura sa serveasca la cercetarea cauzei. Nu pot fi citati in cadrul anchetei reprezentantii puterii judecatoresti, procuraturii si ai organului de urmarire penala pentru prezentarea informatiilor care ar putea prejudicia corectitudinea judecarii cauzelor si/sau confidentialitatea urmaririi penale.</w:t>
      </w:r>
    </w:p>
    <w:p>
      <w:pPr>
        <w:pStyle w:val="Style17"/>
        <w:keepNext w:val="0"/>
        <w:keepLines w:val="0"/>
        <w:widowControl w:val="0"/>
        <w:shd w:val="clear" w:color="auto" w:fill="auto"/>
        <w:bidi w:val="0"/>
        <w:spacing w:before="0" w:after="200" w:line="240" w:lineRule="auto"/>
        <w:ind w:left="200" w:right="0" w:firstLine="940"/>
        <w:jc w:val="both"/>
      </w:pPr>
      <w:r>
        <w:rPr>
          <w:color w:val="000000"/>
          <w:spacing w:val="0"/>
          <w:w w:val="100"/>
          <w:position w:val="0"/>
          <w:shd w:val="clear" w:color="auto" w:fill="auto"/>
          <w:lang w:val="en-US" w:eastAsia="en-US" w:bidi="en-US"/>
        </w:rPr>
        <w:t>Totodata, s-a tinut cont de aprecierile Curtii Constitutionale expuse in Hotararea nr.29/2013, care a constat ca:</w:t>
      </w:r>
    </w:p>
    <w:p>
      <w:pPr>
        <w:pStyle w:val="Style9"/>
        <w:keepNext w:val="0"/>
        <w:keepLines w:val="0"/>
        <w:widowControl w:val="0"/>
        <w:shd w:val="clear" w:color="auto" w:fill="auto"/>
        <w:bidi w:val="0"/>
        <w:spacing w:before="0" w:after="0" w:line="240" w:lineRule="auto"/>
        <w:ind w:left="0" w:right="0" w:firstLine="160"/>
        <w:jc w:val="both"/>
        <w:rPr>
          <w:sz w:val="22"/>
          <w:szCs w:val="22"/>
        </w:rPr>
      </w:pPr>
      <w:r>
        <w:rPr>
          <w:rFonts w:ascii="Calibri" w:eastAsia="Calibri" w:hAnsi="Calibri" w:cs="Calibri"/>
          <w:color w:val="000000"/>
          <w:spacing w:val="0"/>
          <w:w w:val="100"/>
          <w:position w:val="0"/>
          <w:sz w:val="22"/>
          <w:szCs w:val="22"/>
          <w:shd w:val="clear" w:color="auto" w:fill="auto"/>
          <w:lang w:val="en-US" w:eastAsia="en-US" w:bidi="en-US"/>
        </w:rPr>
        <w:t xml:space="preserve">Republica Moldova, MD-2073, Chisinau </w:t>
      </w:r>
      <w:r>
        <w:fldChar w:fldCharType="begin"/>
      </w:r>
      <w:r>
        <w:rPr/>
        <w:instrText> HYPERLINK "mailto:info@parlament.md" </w:instrText>
      </w:r>
      <w:r>
        <w:fldChar w:fldCharType="separate"/>
      </w:r>
      <w:r>
        <w:rPr>
          <w:rFonts w:ascii="Calibri" w:eastAsia="Calibri" w:hAnsi="Calibri" w:cs="Calibri"/>
          <w:color w:val="000000"/>
          <w:spacing w:val="0"/>
          <w:w w:val="100"/>
          <w:position w:val="0"/>
          <w:sz w:val="22"/>
          <w:szCs w:val="22"/>
          <w:shd w:val="clear" w:color="auto" w:fill="auto"/>
          <w:lang w:val="en-US" w:eastAsia="en-US" w:bidi="en-US"/>
        </w:rPr>
        <w:t>info@parlament.md</w:t>
      </w:r>
      <w:r>
        <w:fldChar w:fldCharType="end"/>
      </w:r>
    </w:p>
    <w:p>
      <w:pPr>
        <w:pStyle w:val="Style9"/>
        <w:keepNext w:val="0"/>
        <w:keepLines w:val="0"/>
        <w:widowControl w:val="0"/>
        <w:shd w:val="clear" w:color="auto" w:fill="auto"/>
        <w:bidi w:val="0"/>
        <w:spacing w:before="0" w:after="100" w:line="240" w:lineRule="auto"/>
        <w:ind w:left="0" w:right="0" w:firstLine="160"/>
        <w:jc w:val="both"/>
        <w:rPr>
          <w:sz w:val="22"/>
          <w:szCs w:val="22"/>
        </w:rPr>
        <w:sectPr>
          <w:headerReference w:type="default" r:id="rId11"/>
          <w:footnotePr>
            <w:pos w:val="pageBottom"/>
            <w:numFmt w:val="decimal"/>
            <w:numRestart w:val="continuous"/>
          </w:footnotePr>
          <w:pgSz w:w="11900" w:h="16840"/>
          <w:pgMar w:top="1239" w:left="963" w:right="522" w:bottom="457" w:header="0" w:footer="29" w:gutter="0"/>
          <w:cols w:space="720"/>
          <w:noEndnote/>
          <w:rtlGutter w:val="0"/>
          <w:docGrid w:linePitch="360"/>
        </w:sectPr>
      </w:pPr>
      <w:r>
        <w:rPr>
          <w:rFonts w:ascii="Calibri" w:eastAsia="Calibri" w:hAnsi="Calibri" w:cs="Calibri"/>
          <w:color w:val="000000"/>
          <w:spacing w:val="0"/>
          <w:w w:val="100"/>
          <w:position w:val="0"/>
          <w:sz w:val="22"/>
          <w:szCs w:val="22"/>
          <w:shd w:val="clear" w:color="auto" w:fill="auto"/>
          <w:lang w:val="en-US" w:eastAsia="en-US" w:bidi="en-US"/>
        </w:rPr>
        <w:t xml:space="preserve">Bd. §tefan cel Mare §i Sfint 105 </w:t>
      </w:r>
      <w:r>
        <w:fldChar w:fldCharType="begin"/>
      </w:r>
      <w:r>
        <w:rPr/>
        <w:instrText> HYPERLINK "http://www.parlament.md" </w:instrText>
      </w:r>
      <w:r>
        <w:fldChar w:fldCharType="separate"/>
      </w:r>
      <w:r>
        <w:rPr>
          <w:rFonts w:ascii="Calibri" w:eastAsia="Calibri" w:hAnsi="Calibri" w:cs="Calibri"/>
          <w:color w:val="000000"/>
          <w:spacing w:val="0"/>
          <w:w w:val="100"/>
          <w:position w:val="0"/>
          <w:sz w:val="22"/>
          <w:szCs w:val="22"/>
          <w:shd w:val="clear" w:color="auto" w:fill="auto"/>
          <w:lang w:val="en-US" w:eastAsia="en-US" w:bidi="en-US"/>
        </w:rPr>
        <w:t>www.parlament.md</w:t>
      </w:r>
      <w:r>
        <w:fldChar w:fldCharType="end"/>
      </w:r>
    </w:p>
    <w:p>
      <w:pPr>
        <w:pStyle w:val="Style17"/>
        <w:keepNext w:val="0"/>
        <w:keepLines w:val="0"/>
        <w:widowControl w:val="0"/>
        <w:numPr>
          <w:ilvl w:val="0"/>
          <w:numId w:val="3"/>
        </w:numPr>
        <w:shd w:val="clear" w:color="auto" w:fill="auto"/>
        <w:tabs>
          <w:tab w:pos="1131" w:val="left"/>
        </w:tabs>
        <w:bidi w:val="0"/>
        <w:spacing w:before="280" w:after="0" w:line="240" w:lineRule="auto"/>
        <w:ind w:left="0" w:right="0" w:firstLine="880"/>
        <w:jc w:val="both"/>
      </w:pPr>
      <w:r>
        <w:rPr>
          <w:color w:val="000000"/>
          <w:spacing w:val="0"/>
          <w:w w:val="100"/>
          <w:position w:val="0"/>
          <w:shd w:val="clear" w:color="auto" w:fill="auto"/>
          <w:lang w:val="en-US" w:eastAsia="en-US" w:bidi="en-US"/>
        </w:rPr>
        <w:t>comisiile parlamentare de ancheta au scopul de a constata existenta sau inexistenta faptelor, insa fara a stabili (cu certitudine) raspunderea contraventionala, materiala, disciplinara sau penala a vreunei parti;</w:t>
      </w:r>
    </w:p>
    <w:p>
      <w:pPr>
        <w:pStyle w:val="Style17"/>
        <w:keepNext w:val="0"/>
        <w:keepLines w:val="0"/>
        <w:widowControl w:val="0"/>
        <w:numPr>
          <w:ilvl w:val="0"/>
          <w:numId w:val="3"/>
        </w:numPr>
        <w:shd w:val="clear" w:color="auto" w:fill="auto"/>
        <w:tabs>
          <w:tab w:pos="1131" w:val="left"/>
        </w:tabs>
        <w:bidi w:val="0"/>
        <w:spacing w:before="0" w:after="0" w:line="240" w:lineRule="auto"/>
        <w:ind w:left="0" w:right="0" w:firstLine="880"/>
        <w:jc w:val="both"/>
      </w:pPr>
      <w:r>
        <w:rPr>
          <w:color w:val="000000"/>
          <w:spacing w:val="0"/>
          <w:w w:val="100"/>
          <w:position w:val="0"/>
          <w:shd w:val="clear" w:color="auto" w:fill="auto"/>
          <w:lang w:val="en-US" w:eastAsia="en-US" w:bidi="en-US"/>
        </w:rPr>
        <w:t>este inadmisibil a cita persoane banuite sau invinuite in dosarele penale si a le audia in cadrul comisiei de ancheta referitor la circumstantele ce stau la baza acuzatiei penale. In caz contrar, exista pericolul afectarii dreptului la tacere, protejat de art.6 din Conventia Europeana si implicit, al prezumtiei nevinovatiei, prevazut de art.21 al Constitutiei Republicii Moldova;</w:t>
      </w:r>
    </w:p>
    <w:p>
      <w:pPr>
        <w:pStyle w:val="Style17"/>
        <w:keepNext w:val="0"/>
        <w:keepLines w:val="0"/>
        <w:widowControl w:val="0"/>
        <w:numPr>
          <w:ilvl w:val="0"/>
          <w:numId w:val="3"/>
        </w:numPr>
        <w:shd w:val="clear" w:color="auto" w:fill="auto"/>
        <w:tabs>
          <w:tab w:pos="1122" w:val="left"/>
        </w:tabs>
        <w:bidi w:val="0"/>
        <w:spacing w:before="0" w:after="0" w:line="240" w:lineRule="auto"/>
        <w:ind w:left="0" w:right="0" w:firstLine="880"/>
        <w:jc w:val="both"/>
      </w:pPr>
      <w:r>
        <w:rPr>
          <w:color w:val="000000"/>
          <w:spacing w:val="0"/>
          <w:w w:val="100"/>
          <w:position w:val="0"/>
          <w:shd w:val="clear" w:color="auto" w:fill="auto"/>
          <w:lang w:val="en-US" w:eastAsia="en-US" w:bidi="en-US"/>
        </w:rPr>
        <w:t>sunt inadmisibile orice declaratii publice (sau facute in alt mod) prin care se aduc acuzatii grave unor persoane concrete, si care nu sunt probate in cadrul unor proceduri strict reglementate de lege;</w:t>
      </w:r>
    </w:p>
    <w:p>
      <w:pPr>
        <w:pStyle w:val="Style17"/>
        <w:keepNext w:val="0"/>
        <w:keepLines w:val="0"/>
        <w:widowControl w:val="0"/>
        <w:numPr>
          <w:ilvl w:val="0"/>
          <w:numId w:val="3"/>
        </w:numPr>
        <w:shd w:val="clear" w:color="auto" w:fill="auto"/>
        <w:tabs>
          <w:tab w:pos="1131" w:val="left"/>
        </w:tabs>
        <w:bidi w:val="0"/>
        <w:spacing w:before="0" w:after="0" w:line="240" w:lineRule="auto"/>
        <w:ind w:left="0" w:right="0" w:firstLine="880"/>
        <w:jc w:val="both"/>
      </w:pPr>
      <w:r>
        <w:rPr>
          <w:color w:val="000000"/>
          <w:spacing w:val="0"/>
          <w:w w:val="100"/>
          <w:position w:val="0"/>
          <w:shd w:val="clear" w:color="auto" w:fill="auto"/>
          <w:lang w:val="en-US" w:eastAsia="en-US" w:bidi="en-US"/>
        </w:rPr>
        <w:t>constatarile, concluziile si recomandarile (propunerile) cuprinse in raportul comisiei de ancheta, nu contin norme de drept, deoarece norma de drept, in sensul Legii nr.780/2001 privind actele legislative, este o regula sociala obligatorie, o prescriptie generala, oficiala, impersonala si sanctionabila, aplicabila unei serii intregi de situatii concrete.</w:t>
      </w:r>
    </w:p>
    <w:p>
      <w:pPr>
        <w:pStyle w:val="Style1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In vederea clarificarii situatiei economico-financiare a I.S. „CFM”, Comisia de ancheta a solicitat informatii de la I.S. „CFM” si de la un sir de autoritati publice, si anume:</w:t>
      </w:r>
    </w:p>
    <w:p>
      <w:pPr>
        <w:pStyle w:val="Style17"/>
        <w:keepNext w:val="0"/>
        <w:keepLines w:val="0"/>
        <w:widowControl w:val="0"/>
        <w:numPr>
          <w:ilvl w:val="0"/>
          <w:numId w:val="3"/>
        </w:numPr>
        <w:shd w:val="clear" w:color="auto" w:fill="auto"/>
        <w:tabs>
          <w:tab w:pos="926" w:val="left"/>
        </w:tabs>
        <w:bidi w:val="0"/>
        <w:spacing w:before="0" w:after="0" w:line="223" w:lineRule="auto"/>
        <w:ind w:left="0" w:right="0" w:firstLine="640"/>
        <w:jc w:val="both"/>
      </w:pPr>
      <w:r>
        <w:rPr>
          <w:color w:val="000000"/>
          <w:spacing w:val="0"/>
          <w:w w:val="100"/>
          <w:position w:val="0"/>
          <w:shd w:val="clear" w:color="auto" w:fill="auto"/>
          <w:lang w:val="en-US" w:eastAsia="en-US" w:bidi="en-US"/>
        </w:rPr>
        <w:t>Agentia Proprietati Publice;</w:t>
      </w:r>
    </w:p>
    <w:p>
      <w:pPr>
        <w:pStyle w:val="Style17"/>
        <w:keepNext w:val="0"/>
        <w:keepLines w:val="0"/>
        <w:widowControl w:val="0"/>
        <w:numPr>
          <w:ilvl w:val="0"/>
          <w:numId w:val="3"/>
        </w:numPr>
        <w:shd w:val="clear" w:color="auto" w:fill="auto"/>
        <w:tabs>
          <w:tab w:pos="926" w:val="left"/>
        </w:tabs>
        <w:bidi w:val="0"/>
        <w:spacing w:before="0" w:after="0" w:line="223" w:lineRule="auto"/>
        <w:ind w:left="0" w:right="0" w:firstLine="640"/>
        <w:jc w:val="both"/>
      </w:pPr>
      <w:r>
        <w:rPr>
          <w:color w:val="000000"/>
          <w:spacing w:val="0"/>
          <w:w w:val="100"/>
          <w:position w:val="0"/>
          <w:shd w:val="clear" w:color="auto" w:fill="auto"/>
          <w:lang w:val="en-US" w:eastAsia="en-US" w:bidi="en-US"/>
        </w:rPr>
        <w:t>Curtea de Conturi;</w:t>
      </w:r>
    </w:p>
    <w:p>
      <w:pPr>
        <w:pStyle w:val="Style17"/>
        <w:keepNext w:val="0"/>
        <w:keepLines w:val="0"/>
        <w:widowControl w:val="0"/>
        <w:numPr>
          <w:ilvl w:val="0"/>
          <w:numId w:val="3"/>
        </w:numPr>
        <w:shd w:val="clear" w:color="auto" w:fill="auto"/>
        <w:tabs>
          <w:tab w:pos="926" w:val="left"/>
        </w:tabs>
        <w:bidi w:val="0"/>
        <w:spacing w:before="0" w:after="0" w:line="223" w:lineRule="auto"/>
        <w:ind w:left="0" w:right="0" w:firstLine="640"/>
        <w:jc w:val="both"/>
      </w:pPr>
      <w:r>
        <w:rPr>
          <w:color w:val="000000"/>
          <w:spacing w:val="0"/>
          <w:w w:val="100"/>
          <w:position w:val="0"/>
          <w:shd w:val="clear" w:color="auto" w:fill="auto"/>
          <w:lang w:val="en-US" w:eastAsia="en-US" w:bidi="en-US"/>
        </w:rPr>
        <w:t>Inspectia Financiara;</w:t>
      </w:r>
    </w:p>
    <w:p>
      <w:pPr>
        <w:pStyle w:val="Style17"/>
        <w:keepNext w:val="0"/>
        <w:keepLines w:val="0"/>
        <w:widowControl w:val="0"/>
        <w:numPr>
          <w:ilvl w:val="0"/>
          <w:numId w:val="3"/>
        </w:numPr>
        <w:shd w:val="clear" w:color="auto" w:fill="auto"/>
        <w:tabs>
          <w:tab w:pos="926" w:val="left"/>
        </w:tabs>
        <w:bidi w:val="0"/>
        <w:spacing w:before="0" w:after="0" w:line="223" w:lineRule="auto"/>
        <w:ind w:left="0" w:right="0" w:firstLine="640"/>
        <w:jc w:val="both"/>
      </w:pPr>
      <w:r>
        <w:rPr>
          <w:color w:val="000000"/>
          <w:spacing w:val="0"/>
          <w:w w:val="100"/>
          <w:position w:val="0"/>
          <w:shd w:val="clear" w:color="auto" w:fill="auto"/>
          <w:lang w:val="en-US" w:eastAsia="en-US" w:bidi="en-US"/>
        </w:rPr>
        <w:t>Centru National Anticoruptie;</w:t>
      </w:r>
    </w:p>
    <w:p>
      <w:pPr>
        <w:pStyle w:val="Style17"/>
        <w:keepNext w:val="0"/>
        <w:keepLines w:val="0"/>
        <w:widowControl w:val="0"/>
        <w:numPr>
          <w:ilvl w:val="0"/>
          <w:numId w:val="3"/>
        </w:numPr>
        <w:shd w:val="clear" w:color="auto" w:fill="auto"/>
        <w:tabs>
          <w:tab w:pos="926" w:val="left"/>
        </w:tabs>
        <w:bidi w:val="0"/>
        <w:spacing w:before="0" w:after="0" w:line="223" w:lineRule="auto"/>
        <w:ind w:left="0" w:right="0" w:firstLine="640"/>
        <w:jc w:val="both"/>
      </w:pPr>
      <w:r>
        <w:rPr>
          <w:color w:val="000000"/>
          <w:spacing w:val="0"/>
          <w:w w:val="100"/>
          <w:position w:val="0"/>
          <w:shd w:val="clear" w:color="auto" w:fill="auto"/>
          <w:lang w:val="en-US" w:eastAsia="en-US" w:bidi="en-US"/>
        </w:rPr>
        <w:t>Serviciul de Informatii si Securitate;</w:t>
      </w:r>
    </w:p>
    <w:p>
      <w:pPr>
        <w:pStyle w:val="Style9"/>
        <w:keepNext w:val="0"/>
        <w:keepLines w:val="0"/>
        <w:widowControl w:val="0"/>
        <w:shd w:val="clear" w:color="auto" w:fill="auto"/>
        <w:tabs>
          <w:tab w:pos="3537" w:val="left"/>
          <w:tab w:pos="4890" w:val="left"/>
        </w:tabs>
        <w:bidi w:val="0"/>
        <w:spacing w:before="0" w:after="0" w:line="180" w:lineRule="auto"/>
        <w:ind w:left="3220" w:right="0" w:firstLine="0"/>
        <w:jc w:val="left"/>
        <w:rPr>
          <w:sz w:val="8"/>
          <w:szCs w:val="8"/>
        </w:rPr>
      </w:pPr>
      <w:r>
        <w:rPr>
          <w:rFonts w:ascii="Calibri" w:eastAsia="Calibri" w:hAnsi="Calibri" w:cs="Calibri"/>
          <w:color w:val="000000"/>
          <w:spacing w:val="0"/>
          <w:w w:val="100"/>
          <w:position w:val="0"/>
          <w:sz w:val="8"/>
          <w:szCs w:val="8"/>
          <w:shd w:val="clear" w:color="auto" w:fill="auto"/>
          <w:lang w:val="en-US" w:eastAsia="en-US" w:bidi="en-US"/>
        </w:rPr>
        <w:t>5</w:t>
        <w:tab/>
        <w:t>5</w:t>
        <w:tab/>
        <w:t>~</w:t>
      </w:r>
    </w:p>
    <w:p>
      <w:pPr>
        <w:pStyle w:val="Style17"/>
        <w:keepNext w:val="0"/>
        <w:keepLines w:val="0"/>
        <w:widowControl w:val="0"/>
        <w:numPr>
          <w:ilvl w:val="0"/>
          <w:numId w:val="3"/>
        </w:numPr>
        <w:shd w:val="clear" w:color="auto" w:fill="auto"/>
        <w:tabs>
          <w:tab w:pos="915" w:val="left"/>
        </w:tabs>
        <w:bidi w:val="0"/>
        <w:spacing w:before="0" w:after="0" w:line="230" w:lineRule="auto"/>
        <w:ind w:left="0" w:right="0" w:firstLine="640"/>
        <w:jc w:val="both"/>
      </w:pPr>
      <w:r>
        <w:rPr>
          <w:color w:val="000000"/>
          <w:spacing w:val="0"/>
          <w:w w:val="100"/>
          <w:position w:val="0"/>
          <w:shd w:val="clear" w:color="auto" w:fill="auto"/>
          <w:lang w:val="en-US" w:eastAsia="en-US" w:bidi="en-US"/>
        </w:rPr>
        <w:t>Procuratura Generala si Procuraturile Specializate (Procuratura Anticoruptie si PCCOCS);</w:t>
      </w:r>
    </w:p>
    <w:p>
      <w:pPr>
        <w:pStyle w:val="Style17"/>
        <w:keepNext w:val="0"/>
        <w:keepLines w:val="0"/>
        <w:widowControl w:val="0"/>
        <w:numPr>
          <w:ilvl w:val="0"/>
          <w:numId w:val="3"/>
        </w:numPr>
        <w:shd w:val="clear" w:color="auto" w:fill="auto"/>
        <w:tabs>
          <w:tab w:pos="926" w:val="left"/>
        </w:tabs>
        <w:bidi w:val="0"/>
        <w:spacing w:before="0" w:after="0" w:line="223" w:lineRule="auto"/>
        <w:ind w:left="0" w:right="0" w:firstLine="640"/>
        <w:jc w:val="both"/>
      </w:pPr>
      <w:r>
        <w:rPr>
          <w:color w:val="000000"/>
          <w:spacing w:val="0"/>
          <w:w w:val="100"/>
          <w:position w:val="0"/>
          <w:shd w:val="clear" w:color="auto" w:fill="auto"/>
          <w:lang w:val="en-US" w:eastAsia="en-US" w:bidi="en-US"/>
        </w:rPr>
        <w:t>Ministerul Afacerilor Interne;</w:t>
      </w:r>
    </w:p>
    <w:p>
      <w:pPr>
        <w:pStyle w:val="Style17"/>
        <w:keepNext w:val="0"/>
        <w:keepLines w:val="0"/>
        <w:widowControl w:val="0"/>
        <w:numPr>
          <w:ilvl w:val="0"/>
          <w:numId w:val="3"/>
        </w:numPr>
        <w:shd w:val="clear" w:color="auto" w:fill="auto"/>
        <w:tabs>
          <w:tab w:pos="926" w:val="left"/>
        </w:tabs>
        <w:bidi w:val="0"/>
        <w:spacing w:before="0" w:after="460" w:line="223" w:lineRule="auto"/>
        <w:ind w:left="0" w:right="0" w:firstLine="640"/>
        <w:jc w:val="both"/>
      </w:pPr>
      <w:r>
        <w:rPr>
          <w:color w:val="000000"/>
          <w:spacing w:val="0"/>
          <w:w w:val="100"/>
          <w:position w:val="0"/>
          <w:shd w:val="clear" w:color="auto" w:fill="auto"/>
          <w:lang w:val="en-US" w:eastAsia="en-US" w:bidi="en-US"/>
        </w:rPr>
        <w:t>Ministerul Afacerilor Externe si Integrarii Europene.</w:t>
      </w:r>
    </w:p>
    <w:p>
      <w:pPr>
        <w:pStyle w:val="Style15"/>
        <w:keepNext/>
        <w:keepLines/>
        <w:widowControl w:val="0"/>
        <w:numPr>
          <w:ilvl w:val="0"/>
          <w:numId w:val="5"/>
        </w:numPr>
        <w:shd w:val="clear" w:color="auto" w:fill="auto"/>
        <w:tabs>
          <w:tab w:pos="1353" w:val="left"/>
        </w:tabs>
        <w:bidi w:val="0"/>
        <w:spacing w:before="0" w:after="0" w:line="240" w:lineRule="auto"/>
        <w:ind w:left="0" w:right="0" w:firstLine="860"/>
        <w:jc w:val="both"/>
      </w:pPr>
      <w:bookmarkStart w:id="14" w:name="bookmark14"/>
      <w:bookmarkStart w:id="15" w:name="bookmark15"/>
      <w:r>
        <w:rPr>
          <w:color w:val="000000"/>
          <w:spacing w:val="0"/>
          <w:w w:val="100"/>
          <w:position w:val="0"/>
          <w:shd w:val="clear" w:color="auto" w:fill="auto"/>
          <w:lang w:val="en-US" w:eastAsia="en-US" w:bidi="en-US"/>
        </w:rPr>
        <w:t>LISTA PERSOANELOR CARE AU FOST LA CONDUCEREA</w:t>
      </w:r>
      <w:bookmarkEnd w:id="14"/>
      <w:bookmarkEnd w:id="15"/>
    </w:p>
    <w:p>
      <w:pPr>
        <w:pStyle w:val="Style15"/>
        <w:keepNext/>
        <w:keepLines/>
        <w:widowControl w:val="0"/>
        <w:shd w:val="clear" w:color="auto" w:fill="auto"/>
        <w:bidi w:val="0"/>
        <w:spacing w:before="0" w:after="0" w:line="240" w:lineRule="auto"/>
        <w:ind w:left="0" w:right="0" w:firstLine="0"/>
        <w:jc w:val="left"/>
      </w:pPr>
      <w:bookmarkStart w:id="16" w:name="bookmark16"/>
      <w:bookmarkStart w:id="17" w:name="bookmark17"/>
      <w:r>
        <w:rPr>
          <w:color w:val="000000"/>
          <w:spacing w:val="0"/>
          <w:w w:val="100"/>
          <w:position w:val="0"/>
          <w:shd w:val="clear" w:color="auto" w:fill="auto"/>
          <w:lang w:val="en-US" w:eastAsia="en-US" w:bidi="en-US"/>
        </w:rPr>
        <w:t>t.S. „CFM”</w:t>
      </w:r>
      <w:bookmarkEnd w:id="16"/>
      <w:bookmarkEnd w:id="17"/>
    </w:p>
    <w:p>
      <w:pPr>
        <w:pStyle w:val="Style1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en-US" w:eastAsia="en-US" w:bidi="en-US"/>
        </w:rPr>
        <w:t>In perioada 2010- 2020, conform informatiilor din actele Inspectiei Financiare,</w:t>
      </w:r>
    </w:p>
    <w:p>
      <w:pPr>
        <w:pStyle w:val="Style17"/>
        <w:keepNext w:val="0"/>
        <w:keepLines w:val="0"/>
        <w:widowControl w:val="0"/>
        <w:shd w:val="clear" w:color="auto" w:fill="auto"/>
        <w:tabs>
          <w:tab w:pos="560" w:val="left"/>
        </w:tabs>
        <w:bidi w:val="0"/>
        <w:spacing w:before="0" w:after="0" w:line="240" w:lineRule="auto"/>
        <w:ind w:left="0" w:right="0" w:firstLine="0"/>
        <w:jc w:val="both"/>
      </w:pPr>
      <w:r>
        <w:rPr>
          <w:color w:val="000000"/>
          <w:spacing w:val="0"/>
          <w:w w:val="100"/>
          <w:position w:val="0"/>
          <w:shd w:val="clear" w:color="auto" w:fill="auto"/>
          <w:lang w:val="en-US" w:eastAsia="en-US" w:bidi="en-US"/>
        </w:rPr>
        <w:t>I.S.</w:t>
        <w:tab/>
        <w:t>„CFM” a fost administrata de urmatoarele persoane:</w:t>
      </w:r>
    </w:p>
    <w:p>
      <w:pPr>
        <w:pStyle w:val="Style1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en-US" w:eastAsia="en-US" w:bidi="en-US"/>
        </w:rPr>
        <w:t>Gheorghe Efrim, 26 .01.2010 - 19. 05.2010;</w:t>
      </w:r>
    </w:p>
    <w:p>
      <w:pPr>
        <w:pStyle w:val="Style1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en-US" w:eastAsia="en-US" w:bidi="en-US"/>
        </w:rPr>
        <w:t>Ilie Jurcan, director general de la 16.07.2010 pana la 17.03.2011;</w:t>
      </w:r>
    </w:p>
    <w:p>
      <w:pPr>
        <w:pStyle w:val="Style17"/>
        <w:keepNext w:val="0"/>
        <w:keepLines w:val="0"/>
        <w:widowControl w:val="0"/>
        <w:shd w:val="clear" w:color="auto" w:fill="auto"/>
        <w:bidi w:val="0"/>
        <w:spacing w:before="0" w:after="0" w:line="240" w:lineRule="auto"/>
        <w:ind w:left="860" w:right="0" w:firstLine="20"/>
        <w:jc w:val="both"/>
      </w:pPr>
      <w:r>
        <w:rPr>
          <w:color w:val="000000"/>
          <w:spacing w:val="0"/>
          <w:w w:val="100"/>
          <w:position w:val="0"/>
          <w:shd w:val="clear" w:color="auto" w:fill="auto"/>
          <w:lang w:val="en-US" w:eastAsia="en-US" w:bidi="en-US"/>
        </w:rPr>
        <w:t>Serghei Tom§a, director general interimar de la 17.03.2011 pana la 04.11.2011; Vitalie Struna, director general de la 04.11.2011 pana in 20.06.2013;</w:t>
      </w:r>
    </w:p>
    <w:p>
      <w:pPr>
        <w:pStyle w:val="Style17"/>
        <w:keepNext w:val="0"/>
        <w:keepLines w:val="0"/>
        <w:widowControl w:val="0"/>
        <w:shd w:val="clear" w:color="auto" w:fill="auto"/>
        <w:bidi w:val="0"/>
        <w:spacing w:before="0" w:after="0" w:line="240" w:lineRule="auto"/>
        <w:ind w:left="860" w:right="0" w:firstLine="20"/>
        <w:jc w:val="both"/>
      </w:pPr>
      <w:r>
        <w:rPr>
          <w:color w:val="000000"/>
          <w:spacing w:val="0"/>
          <w:w w:val="100"/>
          <w:position w:val="0"/>
          <w:shd w:val="clear" w:color="auto" w:fill="auto"/>
          <w:lang w:val="en-US" w:eastAsia="en-US" w:bidi="en-US"/>
        </w:rPr>
        <w:t>Serghei Tom§a, directorul interimar de la 20.06.2013 pana la 20.08.2013;</w:t>
      </w:r>
    </w:p>
    <w:p>
      <w:pPr>
        <w:pStyle w:val="Style17"/>
        <w:keepNext w:val="0"/>
        <w:keepLines w:val="0"/>
        <w:widowControl w:val="0"/>
        <w:shd w:val="clear" w:color="auto" w:fill="auto"/>
        <w:bidi w:val="0"/>
        <w:spacing w:before="0" w:after="0" w:line="240" w:lineRule="auto"/>
        <w:ind w:left="860" w:right="0" w:firstLine="20"/>
        <w:jc w:val="both"/>
      </w:pPr>
      <w:r>
        <w:rPr>
          <w:color w:val="000000"/>
          <w:spacing w:val="0"/>
          <w:w w:val="100"/>
          <w:position w:val="0"/>
          <w:shd w:val="clear" w:color="auto" w:fill="auto"/>
          <w:lang w:val="en-US" w:eastAsia="en-US" w:bidi="en-US"/>
        </w:rPr>
        <w:t>Andrei Dama§can, director de la 20.08.2013 pana 14.02.2014</w:t>
      </w:r>
    </w:p>
    <w:p>
      <w:pPr>
        <w:pStyle w:val="Style17"/>
        <w:keepNext w:val="0"/>
        <w:keepLines w:val="0"/>
        <w:widowControl w:val="0"/>
        <w:shd w:val="clear" w:color="auto" w:fill="auto"/>
        <w:bidi w:val="0"/>
        <w:spacing w:before="0" w:after="0" w:line="240" w:lineRule="auto"/>
        <w:ind w:left="860" w:right="0" w:firstLine="20"/>
        <w:jc w:val="both"/>
      </w:pPr>
      <w:r>
        <w:rPr>
          <w:color w:val="000000"/>
          <w:spacing w:val="0"/>
          <w:w w:val="100"/>
          <w:position w:val="0"/>
          <w:shd w:val="clear" w:color="auto" w:fill="auto"/>
          <w:lang w:val="en-US" w:eastAsia="en-US" w:bidi="en-US"/>
        </w:rPr>
        <w:t>Serghei Tomsa, director de la 14.02.2014 pana la 09.04.2015</w:t>
      </w:r>
    </w:p>
    <w:p>
      <w:pPr>
        <w:pStyle w:val="Style17"/>
        <w:keepNext w:val="0"/>
        <w:keepLines w:val="0"/>
        <w:widowControl w:val="0"/>
        <w:shd w:val="clear" w:color="auto" w:fill="auto"/>
        <w:bidi w:val="0"/>
        <w:spacing w:before="0" w:after="0" w:line="240" w:lineRule="auto"/>
        <w:ind w:left="860" w:right="0" w:firstLine="20"/>
        <w:jc w:val="both"/>
      </w:pPr>
      <w:r>
        <w:rPr>
          <w:color w:val="000000"/>
          <w:spacing w:val="0"/>
          <w:w w:val="100"/>
          <w:position w:val="0"/>
          <w:shd w:val="clear" w:color="auto" w:fill="auto"/>
          <w:lang w:val="en-US" w:eastAsia="en-US" w:bidi="en-US"/>
        </w:rPr>
        <w:t>Vladimir Cebotari, director de la 09.04.2015 pana la 31.07.2015</w:t>
      </w:r>
    </w:p>
    <w:p>
      <w:pPr>
        <w:pStyle w:val="Style17"/>
        <w:keepNext w:val="0"/>
        <w:keepLines w:val="0"/>
        <w:widowControl w:val="0"/>
        <w:shd w:val="clear" w:color="auto" w:fill="auto"/>
        <w:bidi w:val="0"/>
        <w:spacing w:before="0" w:after="0" w:line="240" w:lineRule="auto"/>
        <w:ind w:left="860" w:right="0" w:firstLine="20"/>
        <w:jc w:val="both"/>
      </w:pPr>
      <w:r>
        <w:rPr>
          <w:color w:val="000000"/>
          <w:spacing w:val="0"/>
          <w:w w:val="100"/>
          <w:position w:val="0"/>
          <w:shd w:val="clear" w:color="auto" w:fill="auto"/>
          <w:lang w:val="en-US" w:eastAsia="en-US" w:bidi="en-US"/>
        </w:rPr>
        <w:t>Ivan Antoci, director de la 31.07.2015 pana la 03.08.2015;</w:t>
      </w:r>
    </w:p>
    <w:p>
      <w:pPr>
        <w:pStyle w:val="Style17"/>
        <w:keepNext w:val="0"/>
        <w:keepLines w:val="0"/>
        <w:widowControl w:val="0"/>
        <w:shd w:val="clear" w:color="auto" w:fill="auto"/>
        <w:bidi w:val="0"/>
        <w:spacing w:before="0" w:after="0" w:line="240" w:lineRule="auto"/>
        <w:ind w:left="860" w:right="0" w:firstLine="20"/>
        <w:jc w:val="both"/>
      </w:pPr>
      <w:r>
        <w:rPr>
          <w:color w:val="000000"/>
          <w:spacing w:val="0"/>
          <w:w w:val="100"/>
          <w:position w:val="0"/>
          <w:shd w:val="clear" w:color="auto" w:fill="auto"/>
          <w:lang w:val="en-US" w:eastAsia="en-US" w:bidi="en-US"/>
        </w:rPr>
        <w:t>Iurie Topala, director de la 03.08.2015 pana la 23.09.2019</w:t>
      </w:r>
    </w:p>
    <w:p>
      <w:pPr>
        <w:pStyle w:val="Style17"/>
        <w:keepNext w:val="0"/>
        <w:keepLines w:val="0"/>
        <w:widowControl w:val="0"/>
        <w:shd w:val="clear" w:color="auto" w:fill="auto"/>
        <w:bidi w:val="0"/>
        <w:spacing w:before="0" w:after="0" w:line="240" w:lineRule="auto"/>
        <w:ind w:left="860" w:right="0" w:firstLine="20"/>
        <w:jc w:val="both"/>
      </w:pPr>
      <w:r>
        <w:rPr>
          <w:color w:val="000000"/>
          <w:spacing w:val="0"/>
          <w:w w:val="100"/>
          <w:position w:val="0"/>
          <w:shd w:val="clear" w:color="auto" w:fill="auto"/>
          <w:lang w:val="en-US" w:eastAsia="en-US" w:bidi="en-US"/>
        </w:rPr>
        <w:t>Ivan Dragni, director general interimar de la 14.08.2019 pana la 04.12.2019 Adrian Onceanu, director general interimar, de la 05.12.2019 - pana in prezent</w:t>
      </w:r>
    </w:p>
    <w:p>
      <w:pPr>
        <w:pStyle w:val="Style17"/>
        <w:keepNext w:val="0"/>
        <w:keepLines w:val="0"/>
        <w:widowControl w:val="0"/>
        <w:numPr>
          <w:ilvl w:val="0"/>
          <w:numId w:val="5"/>
        </w:numPr>
        <w:shd w:val="clear" w:color="auto" w:fill="auto"/>
        <w:tabs>
          <w:tab w:pos="1372" w:val="left"/>
        </w:tabs>
        <w:bidi w:val="0"/>
        <w:spacing w:before="0" w:after="0" w:line="240" w:lineRule="auto"/>
        <w:ind w:left="0" w:right="0" w:firstLine="860"/>
        <w:jc w:val="both"/>
      </w:pPr>
      <w:r>
        <w:rPr>
          <w:b/>
          <w:bCs/>
          <w:color w:val="000000"/>
          <w:spacing w:val="0"/>
          <w:w w:val="100"/>
          <w:position w:val="0"/>
          <w:shd w:val="clear" w:color="auto" w:fill="auto"/>
          <w:lang w:val="en-US" w:eastAsia="en-US" w:bidi="en-US"/>
        </w:rPr>
        <w:t>DESCRIERE GENERALA A SITUATIEI ECONOMICO- FINANCIARE A t.S. „CFM”</w:t>
      </w:r>
    </w:p>
    <w:p>
      <w:pPr>
        <w:pStyle w:val="Style17"/>
        <w:keepNext w:val="0"/>
        <w:keepLines w:val="0"/>
        <w:widowControl w:val="0"/>
        <w:numPr>
          <w:ilvl w:val="0"/>
          <w:numId w:val="9"/>
        </w:numPr>
        <w:shd w:val="clear" w:color="auto" w:fill="auto"/>
        <w:tabs>
          <w:tab w:pos="1265" w:val="left"/>
        </w:tabs>
        <w:bidi w:val="0"/>
        <w:spacing w:before="0" w:after="0" w:line="240" w:lineRule="auto"/>
        <w:ind w:left="0" w:right="0" w:firstLine="860"/>
        <w:jc w:val="both"/>
      </w:pPr>
      <w:r>
        <w:rPr>
          <w:b/>
          <w:bCs/>
          <w:color w:val="000000"/>
          <w:spacing w:val="0"/>
          <w:w w:val="100"/>
          <w:position w:val="0"/>
          <w:shd w:val="clear" w:color="auto" w:fill="auto"/>
          <w:lang w:val="en-US" w:eastAsia="en-US" w:bidi="en-US"/>
        </w:rPr>
        <w:t>Componenta de infrastructure</w:t>
      </w:r>
    </w:p>
    <w:p>
      <w:pPr>
        <w:pStyle w:val="Style15"/>
        <w:keepNext/>
        <w:keepLines/>
        <w:widowControl w:val="0"/>
        <w:numPr>
          <w:ilvl w:val="0"/>
          <w:numId w:val="11"/>
        </w:numPr>
        <w:shd w:val="clear" w:color="auto" w:fill="auto"/>
        <w:tabs>
          <w:tab w:pos="1141" w:val="left"/>
        </w:tabs>
        <w:bidi w:val="0"/>
        <w:spacing w:before="0" w:after="0" w:line="240" w:lineRule="auto"/>
        <w:ind w:left="0" w:right="0" w:firstLine="820"/>
        <w:jc w:val="both"/>
      </w:pPr>
      <w:bookmarkStart w:id="18" w:name="bookmark18"/>
      <w:bookmarkStart w:id="19" w:name="bookmark19"/>
      <w:r>
        <w:rPr>
          <w:color w:val="000000"/>
          <w:spacing w:val="0"/>
          <w:w w:val="100"/>
          <w:position w:val="0"/>
          <w:shd w:val="clear" w:color="auto" w:fill="auto"/>
          <w:lang w:val="en-US" w:eastAsia="en-US" w:bidi="en-US"/>
        </w:rPr>
        <w:t>Infrastructura feroviara</w:t>
      </w:r>
      <w:bookmarkEnd w:id="18"/>
      <w:bookmarkEnd w:id="19"/>
    </w:p>
    <w:p>
      <w:pPr>
        <w:pStyle w:val="Style1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en-US" w:eastAsia="en-US" w:bidi="en-US"/>
        </w:rPr>
        <w:t>Lungimea totala a retelei de cale ferata administrate de I.S. „CFM” este de 1749 km kilometri din care 1.080 km reprezinta cale principala si 669 km linii de statii si acces. Liniile de cale ferata mai pot fi clasificate in ecartament larg (1.520 mm) si ecartament normal (1435 mm). I.S. „CFM” dispune de 14 km de ecartament normal.</w:t>
      </w:r>
      <w:r>
        <w:rPr>
          <w:color w:val="000000"/>
          <w:spacing w:val="0"/>
          <w:w w:val="100"/>
          <w:position w:val="0"/>
          <w:shd w:val="clear" w:color="auto" w:fill="auto"/>
          <w:vertAlign w:val="superscript"/>
          <w:lang w:val="en-US" w:eastAsia="en-US" w:bidi="en-US"/>
        </w:rPr>
        <w:footnoteReference w:id="2"/>
      </w:r>
    </w:p>
    <w:p>
      <w:pPr>
        <w:pStyle w:val="Style1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en-US" w:eastAsia="en-US" w:bidi="en-US"/>
        </w:rPr>
        <w:t>Conform datelor prezentate de I.S. „CFM” Comisiei de Ancheta numarul de filiale ale intreprinderii si numarul de statii a fost in permanenta scadere (tab. 1)</w:t>
      </w:r>
    </w:p>
    <w:p>
      <w:pPr>
        <w:pStyle w:val="Style17"/>
        <w:keepNext w:val="0"/>
        <w:keepLines w:val="0"/>
        <w:widowControl w:val="0"/>
        <w:shd w:val="clear" w:color="auto" w:fill="auto"/>
        <w:bidi w:val="0"/>
        <w:spacing w:before="0" w:after="0" w:line="240" w:lineRule="auto"/>
        <w:ind w:left="0" w:right="0" w:firstLine="860"/>
        <w:jc w:val="both"/>
      </w:pPr>
      <w:r>
        <w:rPr>
          <w:color w:val="000000"/>
          <w:spacing w:val="0"/>
          <w:w w:val="100"/>
          <w:position w:val="0"/>
          <w:u w:val="single"/>
          <w:shd w:val="clear" w:color="auto" w:fill="auto"/>
          <w:lang w:val="en-US" w:eastAsia="en-US" w:bidi="en-US"/>
        </w:rPr>
        <w:t>Tab 1. Numarul de filiale si numarul de statii feroviare pentr</w:t>
      </w:r>
      <w:r>
        <w:rPr>
          <w:color w:val="000000"/>
          <w:spacing w:val="0"/>
          <w:w w:val="100"/>
          <w:position w:val="0"/>
          <w:shd w:val="clear" w:color="auto" w:fill="auto"/>
          <w:lang w:val="en-US" w:eastAsia="en-US" w:bidi="en-US"/>
        </w:rPr>
        <w:t>u perioada 2010-2020</w:t>
      </w:r>
    </w:p>
    <w:tbl>
      <w:tblPr>
        <w:tblOverlap w:val="never"/>
        <w:jc w:val="center"/>
        <w:tblLayout w:type="fixed"/>
      </w:tblPr>
      <w:tblGrid>
        <w:gridCol w:w="1493"/>
        <w:gridCol w:w="2126"/>
        <w:gridCol w:w="3125"/>
      </w:tblGrid>
      <w:tr>
        <w:trPr>
          <w:trHeight w:val="384" w:hRule="exact"/>
        </w:trPr>
        <w:tc>
          <w:tcPr>
            <w:tcBorders>
              <w:top w:val="single" w:sz="4"/>
              <w:left w:val="single" w:sz="4"/>
            </w:tcBorders>
            <w:shd w:val="clear" w:color="auto" w:fill="B3C6E6"/>
            <w:vAlign w:val="top"/>
          </w:tcPr>
          <w:p>
            <w:pPr>
              <w:pStyle w:val="Style9"/>
              <w:keepNext w:val="0"/>
              <w:keepLines w:val="0"/>
              <w:widowControl w:val="0"/>
              <w:shd w:val="clear" w:color="auto" w:fill="auto"/>
              <w:bidi w:val="0"/>
              <w:spacing w:before="0" w:after="0" w:line="240" w:lineRule="auto"/>
              <w:ind w:left="0" w:right="0" w:firstLine="0"/>
              <w:jc w:val="both"/>
              <w:rPr>
                <w:sz w:val="24"/>
                <w:szCs w:val="24"/>
              </w:rPr>
            </w:pPr>
            <w:r>
              <w:rPr>
                <w:b/>
                <w:bCs/>
                <w:color w:val="000000"/>
                <w:spacing w:val="0"/>
                <w:w w:val="100"/>
                <w:position w:val="0"/>
                <w:sz w:val="24"/>
                <w:szCs w:val="24"/>
                <w:shd w:val="clear" w:color="auto" w:fill="auto"/>
                <w:lang w:val="en-US" w:eastAsia="en-US" w:bidi="en-US"/>
              </w:rPr>
              <w:t>Perioada</w:t>
            </w:r>
          </w:p>
        </w:tc>
        <w:tc>
          <w:tcPr>
            <w:tcBorders>
              <w:top w:val="single" w:sz="4"/>
              <w:left w:val="single" w:sz="4"/>
            </w:tcBorders>
            <w:shd w:val="clear" w:color="auto" w:fill="B3C6E6"/>
            <w:vAlign w:val="top"/>
          </w:tcPr>
          <w:p>
            <w:pPr>
              <w:pStyle w:val="Style9"/>
              <w:keepNext w:val="0"/>
              <w:keepLines w:val="0"/>
              <w:widowControl w:val="0"/>
              <w:shd w:val="clear" w:color="auto" w:fill="auto"/>
              <w:bidi w:val="0"/>
              <w:spacing w:before="0" w:after="0" w:line="240" w:lineRule="auto"/>
              <w:ind w:left="0" w:right="0" w:firstLine="0"/>
              <w:jc w:val="center"/>
              <w:rPr>
                <w:sz w:val="24"/>
                <w:szCs w:val="24"/>
              </w:rPr>
            </w:pPr>
            <w:r>
              <w:rPr>
                <w:b/>
                <w:bCs/>
                <w:color w:val="000000"/>
                <w:spacing w:val="0"/>
                <w:w w:val="100"/>
                <w:position w:val="0"/>
                <w:sz w:val="24"/>
                <w:szCs w:val="24"/>
                <w:shd w:val="clear" w:color="auto" w:fill="auto"/>
                <w:lang w:val="en-US" w:eastAsia="en-US" w:bidi="en-US"/>
              </w:rPr>
              <w:t>Numarul de filiale</w:t>
            </w:r>
          </w:p>
        </w:tc>
        <w:tc>
          <w:tcPr>
            <w:tcBorders>
              <w:top w:val="single" w:sz="4"/>
              <w:left w:val="single" w:sz="4"/>
              <w:right w:val="single" w:sz="4"/>
            </w:tcBorders>
            <w:shd w:val="clear" w:color="auto" w:fill="B3C6E6"/>
            <w:vAlign w:val="top"/>
          </w:tcPr>
          <w:p>
            <w:pPr>
              <w:pStyle w:val="Style9"/>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en-US" w:eastAsia="en-US" w:bidi="en-US"/>
              </w:rPr>
              <w:t>Numarul de statii feroviare</w:t>
            </w:r>
          </w:p>
          <w:p>
            <w:pPr>
              <w:pStyle w:val="Style9"/>
              <w:keepNext w:val="0"/>
              <w:keepLines w:val="0"/>
              <w:widowControl w:val="0"/>
              <w:shd w:val="clear" w:color="auto" w:fill="auto"/>
              <w:bidi w:val="0"/>
              <w:spacing w:before="0" w:after="0" w:line="180" w:lineRule="auto"/>
              <w:ind w:left="0" w:right="0" w:firstLine="0"/>
              <w:jc w:val="center"/>
              <w:rPr>
                <w:sz w:val="8"/>
                <w:szCs w:val="8"/>
              </w:rPr>
            </w:pPr>
            <w:r>
              <w:rPr>
                <w:rFonts w:ascii="Calibri" w:eastAsia="Calibri" w:hAnsi="Calibri" w:cs="Calibri"/>
                <w:color w:val="000000"/>
                <w:spacing w:val="0"/>
                <w:w w:val="100"/>
                <w:position w:val="0"/>
                <w:sz w:val="8"/>
                <w:szCs w:val="8"/>
                <w:shd w:val="clear" w:color="auto" w:fill="auto"/>
                <w:lang w:val="en-US" w:eastAsia="en-US" w:bidi="en-US"/>
              </w:rPr>
              <w:t>9</w:t>
            </w:r>
          </w:p>
        </w:tc>
      </w:tr>
      <w:tr>
        <w:trPr>
          <w:trHeight w:val="288"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lang w:val="en-US" w:eastAsia="en-US" w:bidi="en-US"/>
              </w:rPr>
              <w:t>31.12.2010</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940"/>
              <w:jc w:val="both"/>
              <w:rPr>
                <w:sz w:val="24"/>
                <w:szCs w:val="24"/>
              </w:rPr>
            </w:pPr>
            <w:r>
              <w:rPr>
                <w:color w:val="000000"/>
                <w:spacing w:val="0"/>
                <w:w w:val="100"/>
                <w:position w:val="0"/>
                <w:sz w:val="24"/>
                <w:szCs w:val="24"/>
                <w:shd w:val="clear" w:color="auto" w:fill="auto"/>
                <w:lang w:val="en-US" w:eastAsia="en-US" w:bidi="en-US"/>
              </w:rPr>
              <w:t>48</w:t>
            </w:r>
          </w:p>
        </w:tc>
        <w:tc>
          <w:tcPr>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940"/>
              <w:jc w:val="left"/>
              <w:rPr>
                <w:sz w:val="24"/>
                <w:szCs w:val="24"/>
              </w:rPr>
            </w:pPr>
            <w:r>
              <w:rPr>
                <w:color w:val="000000"/>
                <w:spacing w:val="0"/>
                <w:w w:val="100"/>
                <w:position w:val="0"/>
                <w:sz w:val="24"/>
                <w:szCs w:val="24"/>
                <w:shd w:val="clear" w:color="auto" w:fill="auto"/>
                <w:lang w:val="en-US" w:eastAsia="en-US" w:bidi="en-US"/>
              </w:rPr>
              <w:t>89</w:t>
            </w:r>
          </w:p>
        </w:tc>
      </w:tr>
      <w:tr>
        <w:trPr>
          <w:trHeight w:val="283"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lang w:val="en-US" w:eastAsia="en-US" w:bidi="en-US"/>
              </w:rPr>
              <w:t>31.12.2011</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940"/>
              <w:jc w:val="both"/>
              <w:rPr>
                <w:sz w:val="24"/>
                <w:szCs w:val="24"/>
              </w:rPr>
            </w:pPr>
            <w:r>
              <w:rPr>
                <w:color w:val="000000"/>
                <w:spacing w:val="0"/>
                <w:w w:val="100"/>
                <w:position w:val="0"/>
                <w:sz w:val="24"/>
                <w:szCs w:val="24"/>
                <w:shd w:val="clear" w:color="auto" w:fill="auto"/>
                <w:lang w:val="en-US" w:eastAsia="en-US" w:bidi="en-US"/>
              </w:rPr>
              <w:t>47</w:t>
            </w:r>
          </w:p>
        </w:tc>
        <w:tc>
          <w:tcPr>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940"/>
              <w:jc w:val="left"/>
              <w:rPr>
                <w:sz w:val="24"/>
                <w:szCs w:val="24"/>
              </w:rPr>
            </w:pPr>
            <w:r>
              <w:rPr>
                <w:color w:val="000000"/>
                <w:spacing w:val="0"/>
                <w:w w:val="100"/>
                <w:position w:val="0"/>
                <w:sz w:val="24"/>
                <w:szCs w:val="24"/>
                <w:shd w:val="clear" w:color="auto" w:fill="auto"/>
                <w:lang w:val="en-US" w:eastAsia="en-US" w:bidi="en-US"/>
              </w:rPr>
              <w:t>89</w:t>
            </w:r>
          </w:p>
        </w:tc>
      </w:tr>
      <w:tr>
        <w:trPr>
          <w:trHeight w:val="288"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lang w:val="en-US" w:eastAsia="en-US" w:bidi="en-US"/>
              </w:rPr>
              <w:t>31.12.2012</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940"/>
              <w:jc w:val="both"/>
              <w:rPr>
                <w:sz w:val="24"/>
                <w:szCs w:val="24"/>
              </w:rPr>
            </w:pPr>
            <w:r>
              <w:rPr>
                <w:color w:val="000000"/>
                <w:spacing w:val="0"/>
                <w:w w:val="100"/>
                <w:position w:val="0"/>
                <w:sz w:val="24"/>
                <w:szCs w:val="24"/>
                <w:shd w:val="clear" w:color="auto" w:fill="auto"/>
                <w:lang w:val="en-US" w:eastAsia="en-US" w:bidi="en-US"/>
              </w:rPr>
              <w:t>47</w:t>
            </w:r>
          </w:p>
        </w:tc>
        <w:tc>
          <w:tcPr>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940"/>
              <w:jc w:val="left"/>
              <w:rPr>
                <w:sz w:val="24"/>
                <w:szCs w:val="24"/>
              </w:rPr>
            </w:pPr>
            <w:r>
              <w:rPr>
                <w:color w:val="000000"/>
                <w:spacing w:val="0"/>
                <w:w w:val="100"/>
                <w:position w:val="0"/>
                <w:sz w:val="24"/>
                <w:szCs w:val="24"/>
                <w:shd w:val="clear" w:color="auto" w:fill="auto"/>
                <w:lang w:val="en-US" w:eastAsia="en-US" w:bidi="en-US"/>
              </w:rPr>
              <w:t>88</w:t>
            </w:r>
          </w:p>
        </w:tc>
      </w:tr>
      <w:tr>
        <w:trPr>
          <w:trHeight w:val="283"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lang w:val="en-US" w:eastAsia="en-US" w:bidi="en-US"/>
              </w:rPr>
              <w:t>31.12.2013</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940"/>
              <w:jc w:val="both"/>
              <w:rPr>
                <w:sz w:val="24"/>
                <w:szCs w:val="24"/>
              </w:rPr>
            </w:pPr>
            <w:r>
              <w:rPr>
                <w:color w:val="000000"/>
                <w:spacing w:val="0"/>
                <w:w w:val="100"/>
                <w:position w:val="0"/>
                <w:sz w:val="24"/>
                <w:szCs w:val="24"/>
                <w:shd w:val="clear" w:color="auto" w:fill="auto"/>
                <w:lang w:val="en-US" w:eastAsia="en-US" w:bidi="en-US"/>
              </w:rPr>
              <w:t>47</w:t>
            </w:r>
          </w:p>
        </w:tc>
        <w:tc>
          <w:tcPr>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940"/>
              <w:jc w:val="left"/>
              <w:rPr>
                <w:sz w:val="24"/>
                <w:szCs w:val="24"/>
              </w:rPr>
            </w:pPr>
            <w:r>
              <w:rPr>
                <w:color w:val="000000"/>
                <w:spacing w:val="0"/>
                <w:w w:val="100"/>
                <w:position w:val="0"/>
                <w:sz w:val="24"/>
                <w:szCs w:val="24"/>
                <w:shd w:val="clear" w:color="auto" w:fill="auto"/>
                <w:lang w:val="en-US" w:eastAsia="en-US" w:bidi="en-US"/>
              </w:rPr>
              <w:t>87</w:t>
            </w:r>
          </w:p>
        </w:tc>
      </w:tr>
      <w:tr>
        <w:trPr>
          <w:trHeight w:val="288"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lang w:val="en-US" w:eastAsia="en-US" w:bidi="en-US"/>
              </w:rPr>
              <w:t>31.12.2014</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940"/>
              <w:jc w:val="both"/>
              <w:rPr>
                <w:sz w:val="24"/>
                <w:szCs w:val="24"/>
              </w:rPr>
            </w:pPr>
            <w:r>
              <w:rPr>
                <w:color w:val="000000"/>
                <w:spacing w:val="0"/>
                <w:w w:val="100"/>
                <w:position w:val="0"/>
                <w:sz w:val="24"/>
                <w:szCs w:val="24"/>
                <w:shd w:val="clear" w:color="auto" w:fill="auto"/>
                <w:lang w:val="en-US" w:eastAsia="en-US" w:bidi="en-US"/>
              </w:rPr>
              <w:t>47</w:t>
            </w:r>
          </w:p>
        </w:tc>
        <w:tc>
          <w:tcPr>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940"/>
              <w:jc w:val="left"/>
              <w:rPr>
                <w:sz w:val="24"/>
                <w:szCs w:val="24"/>
              </w:rPr>
            </w:pPr>
            <w:r>
              <w:rPr>
                <w:color w:val="000000"/>
                <w:spacing w:val="0"/>
                <w:w w:val="100"/>
                <w:position w:val="0"/>
                <w:sz w:val="24"/>
                <w:szCs w:val="24"/>
                <w:shd w:val="clear" w:color="auto" w:fill="auto"/>
                <w:lang w:val="en-US" w:eastAsia="en-US" w:bidi="en-US"/>
              </w:rPr>
              <w:t>87</w:t>
            </w:r>
          </w:p>
        </w:tc>
      </w:tr>
      <w:tr>
        <w:trPr>
          <w:trHeight w:val="288"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lang w:val="en-US" w:eastAsia="en-US" w:bidi="en-US"/>
              </w:rPr>
              <w:t>31.12.2015</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940"/>
              <w:jc w:val="both"/>
              <w:rPr>
                <w:sz w:val="24"/>
                <w:szCs w:val="24"/>
              </w:rPr>
            </w:pPr>
            <w:r>
              <w:rPr>
                <w:color w:val="000000"/>
                <w:spacing w:val="0"/>
                <w:w w:val="100"/>
                <w:position w:val="0"/>
                <w:sz w:val="24"/>
                <w:szCs w:val="24"/>
                <w:shd w:val="clear" w:color="auto" w:fill="auto"/>
                <w:lang w:val="en-US" w:eastAsia="en-US" w:bidi="en-US"/>
              </w:rPr>
              <w:t>47</w:t>
            </w:r>
          </w:p>
        </w:tc>
        <w:tc>
          <w:tcPr>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940"/>
              <w:jc w:val="left"/>
              <w:rPr>
                <w:sz w:val="24"/>
                <w:szCs w:val="24"/>
              </w:rPr>
            </w:pPr>
            <w:r>
              <w:rPr>
                <w:color w:val="000000"/>
                <w:spacing w:val="0"/>
                <w:w w:val="100"/>
                <w:position w:val="0"/>
                <w:sz w:val="24"/>
                <w:szCs w:val="24"/>
                <w:shd w:val="clear" w:color="auto" w:fill="auto"/>
                <w:lang w:val="en-US" w:eastAsia="en-US" w:bidi="en-US"/>
              </w:rPr>
              <w:t>87</w:t>
            </w:r>
          </w:p>
        </w:tc>
      </w:tr>
      <w:tr>
        <w:trPr>
          <w:trHeight w:val="283"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lang w:val="en-US" w:eastAsia="en-US" w:bidi="en-US"/>
              </w:rPr>
              <w:t>31.12.2016</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940"/>
              <w:jc w:val="both"/>
              <w:rPr>
                <w:sz w:val="24"/>
                <w:szCs w:val="24"/>
              </w:rPr>
            </w:pPr>
            <w:r>
              <w:rPr>
                <w:color w:val="000000"/>
                <w:spacing w:val="0"/>
                <w:w w:val="100"/>
                <w:position w:val="0"/>
                <w:sz w:val="24"/>
                <w:szCs w:val="24"/>
                <w:shd w:val="clear" w:color="auto" w:fill="auto"/>
                <w:lang w:val="en-US" w:eastAsia="en-US" w:bidi="en-US"/>
              </w:rPr>
              <w:t>47</w:t>
            </w:r>
          </w:p>
        </w:tc>
        <w:tc>
          <w:tcPr>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940"/>
              <w:jc w:val="left"/>
              <w:rPr>
                <w:sz w:val="24"/>
                <w:szCs w:val="24"/>
              </w:rPr>
            </w:pPr>
            <w:r>
              <w:rPr>
                <w:color w:val="000000"/>
                <w:spacing w:val="0"/>
                <w:w w:val="100"/>
                <w:position w:val="0"/>
                <w:sz w:val="24"/>
                <w:szCs w:val="24"/>
                <w:shd w:val="clear" w:color="auto" w:fill="auto"/>
                <w:lang w:val="en-US" w:eastAsia="en-US" w:bidi="en-US"/>
              </w:rPr>
              <w:t>87</w:t>
            </w:r>
          </w:p>
        </w:tc>
      </w:tr>
      <w:tr>
        <w:trPr>
          <w:trHeight w:val="288"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lang w:val="en-US" w:eastAsia="en-US" w:bidi="en-US"/>
              </w:rPr>
              <w:t>31.12.2017</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940"/>
              <w:jc w:val="both"/>
              <w:rPr>
                <w:sz w:val="24"/>
                <w:szCs w:val="24"/>
              </w:rPr>
            </w:pPr>
            <w:r>
              <w:rPr>
                <w:color w:val="000000"/>
                <w:spacing w:val="0"/>
                <w:w w:val="100"/>
                <w:position w:val="0"/>
                <w:sz w:val="24"/>
                <w:szCs w:val="24"/>
                <w:shd w:val="clear" w:color="auto" w:fill="auto"/>
                <w:lang w:val="en-US" w:eastAsia="en-US" w:bidi="en-US"/>
              </w:rPr>
              <w:t>45</w:t>
            </w:r>
          </w:p>
        </w:tc>
        <w:tc>
          <w:tcPr>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940"/>
              <w:jc w:val="left"/>
              <w:rPr>
                <w:sz w:val="24"/>
                <w:szCs w:val="24"/>
              </w:rPr>
            </w:pPr>
            <w:r>
              <w:rPr>
                <w:color w:val="000000"/>
                <w:spacing w:val="0"/>
                <w:w w:val="100"/>
                <w:position w:val="0"/>
                <w:sz w:val="24"/>
                <w:szCs w:val="24"/>
                <w:shd w:val="clear" w:color="auto" w:fill="auto"/>
                <w:lang w:val="en-US" w:eastAsia="en-US" w:bidi="en-US"/>
              </w:rPr>
              <w:t>86</w:t>
            </w:r>
          </w:p>
        </w:tc>
      </w:tr>
      <w:tr>
        <w:trPr>
          <w:trHeight w:val="283"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lang w:val="en-US" w:eastAsia="en-US" w:bidi="en-US"/>
              </w:rPr>
              <w:t>31.12.2018</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940"/>
              <w:jc w:val="both"/>
              <w:rPr>
                <w:sz w:val="24"/>
                <w:szCs w:val="24"/>
              </w:rPr>
            </w:pPr>
            <w:r>
              <w:rPr>
                <w:color w:val="000000"/>
                <w:spacing w:val="0"/>
                <w:w w:val="100"/>
                <w:position w:val="0"/>
                <w:sz w:val="24"/>
                <w:szCs w:val="24"/>
                <w:shd w:val="clear" w:color="auto" w:fill="auto"/>
                <w:lang w:val="en-US" w:eastAsia="en-US" w:bidi="en-US"/>
              </w:rPr>
              <w:t>39</w:t>
            </w:r>
          </w:p>
        </w:tc>
        <w:tc>
          <w:tcPr>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940"/>
              <w:jc w:val="left"/>
              <w:rPr>
                <w:sz w:val="24"/>
                <w:szCs w:val="24"/>
              </w:rPr>
            </w:pPr>
            <w:r>
              <w:rPr>
                <w:color w:val="000000"/>
                <w:spacing w:val="0"/>
                <w:w w:val="100"/>
                <w:position w:val="0"/>
                <w:sz w:val="24"/>
                <w:szCs w:val="24"/>
                <w:shd w:val="clear" w:color="auto" w:fill="auto"/>
                <w:lang w:val="en-US" w:eastAsia="en-US" w:bidi="en-US"/>
              </w:rPr>
              <w:t>86</w:t>
            </w:r>
          </w:p>
        </w:tc>
      </w:tr>
      <w:tr>
        <w:trPr>
          <w:trHeight w:val="288"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lang w:val="en-US" w:eastAsia="en-US" w:bidi="en-US"/>
              </w:rPr>
              <w:t>31.12.2019</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940"/>
              <w:jc w:val="both"/>
              <w:rPr>
                <w:sz w:val="24"/>
                <w:szCs w:val="24"/>
              </w:rPr>
            </w:pPr>
            <w:r>
              <w:rPr>
                <w:color w:val="000000"/>
                <w:spacing w:val="0"/>
                <w:w w:val="100"/>
                <w:position w:val="0"/>
                <w:sz w:val="24"/>
                <w:szCs w:val="24"/>
                <w:shd w:val="clear" w:color="auto" w:fill="auto"/>
                <w:lang w:val="en-US" w:eastAsia="en-US" w:bidi="en-US"/>
              </w:rPr>
              <w:t>38</w:t>
            </w:r>
          </w:p>
        </w:tc>
        <w:tc>
          <w:tcPr>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940"/>
              <w:jc w:val="left"/>
              <w:rPr>
                <w:sz w:val="24"/>
                <w:szCs w:val="24"/>
              </w:rPr>
            </w:pPr>
            <w:r>
              <w:rPr>
                <w:color w:val="000000"/>
                <w:spacing w:val="0"/>
                <w:w w:val="100"/>
                <w:position w:val="0"/>
                <w:sz w:val="24"/>
                <w:szCs w:val="24"/>
                <w:shd w:val="clear" w:color="auto" w:fill="auto"/>
                <w:lang w:val="en-US" w:eastAsia="en-US" w:bidi="en-US"/>
              </w:rPr>
              <w:t>86</w:t>
            </w:r>
          </w:p>
        </w:tc>
      </w:tr>
      <w:tr>
        <w:trPr>
          <w:trHeight w:val="298" w:hRule="exact"/>
        </w:trPr>
        <w:tc>
          <w:tcPr>
            <w:tcBorders>
              <w:top w:val="single" w:sz="4"/>
              <w:left w:val="single" w:sz="4"/>
              <w:bottom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lang w:val="en-US" w:eastAsia="en-US" w:bidi="en-US"/>
              </w:rPr>
              <w:t>31.12.2020</w:t>
            </w:r>
          </w:p>
        </w:tc>
        <w:tc>
          <w:tcPr>
            <w:tcBorders>
              <w:top w:val="single" w:sz="4"/>
              <w:left w:val="single" w:sz="4"/>
              <w:bottom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940"/>
              <w:jc w:val="both"/>
              <w:rPr>
                <w:sz w:val="24"/>
                <w:szCs w:val="24"/>
              </w:rPr>
            </w:pPr>
            <w:r>
              <w:rPr>
                <w:color w:val="000000"/>
                <w:spacing w:val="0"/>
                <w:w w:val="100"/>
                <w:position w:val="0"/>
                <w:sz w:val="24"/>
                <w:szCs w:val="24"/>
                <w:shd w:val="clear" w:color="auto" w:fill="auto"/>
                <w:lang w:val="en-US" w:eastAsia="en-US" w:bidi="en-US"/>
              </w:rPr>
              <w:t>38</w:t>
            </w:r>
          </w:p>
        </w:tc>
        <w:tc>
          <w:tcPr>
            <w:tcBorders>
              <w:top w:val="single" w:sz="4"/>
              <w:left w:val="single" w:sz="4"/>
              <w:bottom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940"/>
              <w:jc w:val="left"/>
              <w:rPr>
                <w:sz w:val="24"/>
                <w:szCs w:val="24"/>
              </w:rPr>
            </w:pPr>
            <w:r>
              <w:rPr>
                <w:color w:val="000000"/>
                <w:spacing w:val="0"/>
                <w:w w:val="100"/>
                <w:position w:val="0"/>
                <w:sz w:val="24"/>
                <w:szCs w:val="24"/>
                <w:shd w:val="clear" w:color="auto" w:fill="auto"/>
                <w:lang w:val="en-US" w:eastAsia="en-US" w:bidi="en-US"/>
              </w:rPr>
              <w:t>84</w:t>
            </w:r>
          </w:p>
        </w:tc>
      </w:tr>
    </w:tbl>
    <w:p>
      <w:pPr>
        <w:pStyle w:val="Style1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en-US" w:eastAsia="en-US" w:bidi="en-US"/>
        </w:rPr>
        <w:t>Pe caile ferate moldovene se circula cu o viteza de maxim pana la 90 de km/h, viteza medie fiind de 50 km/h, diferenta mare dintre viteza medie si cea maxima este generata de 174 segmente de restrictii de viteza, care au o distanta de 340,2 km, aceasta distanta s-a marit cu 49,8 km in anul 2020 comparativ cu anul 2019, astfel in unele locuri viteza circulatie fiind de 5-25 km/ora.</w:t>
      </w:r>
      <w:r>
        <w:rPr>
          <w:color w:val="000000"/>
          <w:spacing w:val="0"/>
          <w:w w:val="100"/>
          <w:position w:val="0"/>
          <w:shd w:val="clear" w:color="auto" w:fill="auto"/>
          <w:vertAlign w:val="superscript"/>
          <w:lang w:val="en-US" w:eastAsia="en-US" w:bidi="en-US"/>
        </w:rPr>
        <w:footnoteReference w:id="3"/>
      </w:r>
    </w:p>
    <w:p>
      <w:pPr>
        <w:pStyle w:val="Style1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en-US" w:eastAsia="en-US" w:bidi="en-US"/>
        </w:rPr>
        <w:t>In ultimi 3 ani a crescut numarul de restrictii de la 141 la 174 segmente, iar lungimea acestor segmente a crescut cu 93 km. Majorarea numarului de restrictii se datoreaza lipsei de investitii in reparatia curenta a infrastructurii care afecteaza negativ starea tehnica a materialului rulant si cresterea consumului de motorina.</w:t>
      </w:r>
    </w:p>
    <w:p>
      <w:pPr>
        <w:pStyle w:val="Style1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en-US" w:eastAsia="en-US" w:bidi="en-US"/>
        </w:rPr>
        <w:t>Lipsa materialului de suprastructura a liniilor si inlocuirea insuficienta a traverselor defecte continua sa fie cel mai slab punct in intretinerea si siguranta circulatiei trenurilor. La sfarsitul anului 2020 existau 836,1 mii traverse din lemn defecte (putrede), numarul acestora a crescut cu 10,5 mii fata de anul 2019, procentul lor a crescut cu 1,3%.</w:t>
      </w:r>
    </w:p>
    <w:p>
      <w:pPr>
        <w:pStyle w:val="Style1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en-US" w:eastAsia="en-US" w:bidi="en-US"/>
        </w:rPr>
        <w:t>La capitolul traverse de beton armat, la finele anului 2020 existau 157 mii traverse defecte de beton armat, inclusiv 148,4 mii pe calea principala. Numarul acestora a crescut, in comparatie cu anul trecut cu 13,2 mii, procentul de traverse defecte de beton armat a crescut cu 0,7%, iar pe calea principala cu 0,9%.</w:t>
      </w:r>
    </w:p>
    <w:p>
      <w:pPr>
        <w:pStyle w:val="Style1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en-US" w:eastAsia="en-US" w:bidi="en-US"/>
        </w:rPr>
        <w:t>Datorita traverselor si a barelor pentru schimbatoarele de cale defecte, sunt sistate 385 de linii de statie cu o lungime totala de 170,5 km si 232 de schimbatoare de cale sunt inchise pentru circulatia feroviara.</w:t>
      </w:r>
    </w:p>
    <w:p>
      <w:pPr>
        <w:pStyle w:val="Style1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en-US" w:eastAsia="en-US" w:bidi="en-US"/>
        </w:rPr>
        <w:t xml:space="preserve">Cu suportul Bancii Europene de Reconstructie si Dezvoltare si a Bancii Europeana de Investitii este planificat sa fie realizata reabilitarea sectoarelor de calea ferata Bender - </w:t>
      </w:r>
      <w:r>
        <w:rPr>
          <w:color w:val="000000"/>
          <w:spacing w:val="0"/>
          <w:w w:val="100"/>
          <w:position w:val="0"/>
          <w:shd w:val="clear" w:color="auto" w:fill="auto"/>
          <w:lang w:val="en-US" w:eastAsia="en-US" w:bidi="en-US"/>
        </w:rPr>
        <w:t>Basarabeasca, Basarabeasca - Etulia §i statiei Giurgiulesti.</w:t>
      </w:r>
      <w:r>
        <w:rPr>
          <w:color w:val="000000"/>
          <w:spacing w:val="0"/>
          <w:w w:val="100"/>
          <w:position w:val="0"/>
          <w:shd w:val="clear" w:color="auto" w:fill="auto"/>
          <w:vertAlign w:val="superscript"/>
          <w:lang w:val="en-US" w:eastAsia="en-US" w:bidi="en-US"/>
        </w:rPr>
        <w:footnoteReference w:id="4"/>
      </w:r>
      <w:r>
        <w:rPr>
          <w:color w:val="000000"/>
          <w:spacing w:val="0"/>
          <w:w w:val="100"/>
          <w:position w:val="0"/>
          <w:shd w:val="clear" w:color="auto" w:fill="auto"/>
          <w:lang w:val="en-US" w:eastAsia="en-US" w:bidi="en-US"/>
        </w:rPr>
        <w:t xml:space="preserve"> Acest proiect presupune efectuarea lucrarilor de reparatie capitala a 80,4 km de linie ferata, reparatie periodica a 152,2 km de linie ferata. Reparatii ce sunt vitale pentru infrastructura feroviara.</w:t>
      </w:r>
    </w:p>
    <w:p>
      <w:pPr>
        <w:pStyle w:val="Style17"/>
        <w:keepNext w:val="0"/>
        <w:keepLines w:val="0"/>
        <w:widowControl w:val="0"/>
        <w:shd w:val="clear" w:color="auto" w:fill="auto"/>
        <w:bidi w:val="0"/>
        <w:spacing w:before="0" w:after="0" w:line="240" w:lineRule="auto"/>
        <w:ind w:left="0" w:right="0" w:firstLine="900"/>
        <w:jc w:val="both"/>
      </w:pPr>
      <w:r>
        <w:rPr>
          <w:color w:val="000000"/>
          <w:spacing w:val="0"/>
          <w:w w:val="100"/>
          <w:position w:val="0"/>
          <w:shd w:val="clear" w:color="auto" w:fill="auto"/>
          <w:lang w:val="en-US" w:eastAsia="en-US" w:bidi="en-US"/>
        </w:rPr>
        <w:t>Serviciu intretinere linii din cadrul companiei detine in dotare doua masini de cale SVP 74 nr. 236 si 237 achizitionate in anul 2013 de catre I.S. „CFM”. Masinile sunt utilizate pentru taierea arbustilor din zona de protectie, efectuarea lucrarilor de excavare, incarcarea si descarcarea materialului nisipos.</w:t>
      </w:r>
      <w:r>
        <w:rPr>
          <w:color w:val="000000"/>
          <w:spacing w:val="0"/>
          <w:w w:val="100"/>
          <w:position w:val="0"/>
          <w:shd w:val="clear" w:color="auto" w:fill="auto"/>
          <w:vertAlign w:val="superscript"/>
          <w:lang w:val="en-US" w:eastAsia="en-US" w:bidi="en-US"/>
        </w:rPr>
        <w:footnoteReference w:id="5"/>
      </w:r>
      <w:r>
        <w:rPr>
          <w:color w:val="000000"/>
          <w:spacing w:val="0"/>
          <w:w w:val="100"/>
          <w:position w:val="0"/>
          <w:shd w:val="clear" w:color="auto" w:fill="auto"/>
          <w:lang w:val="en-US" w:eastAsia="en-US" w:bidi="en-US"/>
        </w:rPr>
        <w:t xml:space="preserve"> Astfel, conform opiniei Comisiei de Ancheta, cele doua masini de cale SVP 74 nu au fost folosite conform scopului pentru care au fost achizitionate si anume pentru instalarea traverselor.</w:t>
      </w:r>
    </w:p>
    <w:p>
      <w:pPr>
        <w:pStyle w:val="Style17"/>
        <w:keepNext w:val="0"/>
        <w:keepLines w:val="0"/>
        <w:widowControl w:val="0"/>
        <w:shd w:val="clear" w:color="auto" w:fill="auto"/>
        <w:bidi w:val="0"/>
        <w:spacing w:before="0" w:after="0" w:line="240" w:lineRule="auto"/>
        <w:ind w:left="0" w:right="0" w:firstLine="900"/>
        <w:jc w:val="both"/>
      </w:pPr>
      <w:r>
        <w:rPr>
          <w:color w:val="000000"/>
          <w:spacing w:val="0"/>
          <w:w w:val="100"/>
          <w:position w:val="0"/>
          <w:shd w:val="clear" w:color="auto" w:fill="auto"/>
          <w:lang w:val="en-US" w:eastAsia="en-US" w:bidi="en-US"/>
        </w:rPr>
        <w:t>Conform Programului de Dezvoltare al I.S. „CFM” pentru perioada 2018 - 2031, reiesind din calculele efectuate de catre serviciile tehnice ale I.S. „CFM”, pentru perioada 2018-2024 volumul total al investitiilor necesare pentru modernizarea infrastructurii si a materialului rulant al I.S. „CFM” este de 646,3 mil. dintre care:</w:t>
      </w:r>
    </w:p>
    <w:p>
      <w:pPr>
        <w:pStyle w:val="Style17"/>
        <w:keepNext w:val="0"/>
        <w:keepLines w:val="0"/>
        <w:widowControl w:val="0"/>
        <w:numPr>
          <w:ilvl w:val="0"/>
          <w:numId w:val="3"/>
        </w:numPr>
        <w:shd w:val="clear" w:color="auto" w:fill="auto"/>
        <w:tabs>
          <w:tab w:pos="1123" w:val="left"/>
        </w:tabs>
        <w:bidi w:val="0"/>
        <w:spacing w:before="0" w:after="0" w:line="240" w:lineRule="auto"/>
        <w:ind w:left="0" w:right="0" w:firstLine="900"/>
        <w:jc w:val="both"/>
      </w:pPr>
      <w:r>
        <w:rPr>
          <w:i/>
          <w:iCs/>
          <w:color w:val="000000"/>
          <w:spacing w:val="0"/>
          <w:w w:val="100"/>
          <w:position w:val="0"/>
          <w:shd w:val="clear" w:color="auto" w:fill="auto"/>
          <w:lang w:val="en-US" w:eastAsia="en-US" w:bidi="en-US"/>
        </w:rPr>
        <w:t>Reabilitarea infrastructurii feroviare</w:t>
      </w:r>
      <w:r>
        <w:rPr>
          <w:color w:val="000000"/>
          <w:spacing w:val="0"/>
          <w:w w:val="100"/>
          <w:position w:val="0"/>
          <w:shd w:val="clear" w:color="auto" w:fill="auto"/>
          <w:lang w:val="en-US" w:eastAsia="en-US" w:bidi="en-US"/>
        </w:rPr>
        <w:t xml:space="preserve"> - 305,9 mil.euro, inclusiv achizitionarea masinilor de cale in valoare de 9,4 mil. euro;</w:t>
      </w:r>
    </w:p>
    <w:p>
      <w:pPr>
        <w:pStyle w:val="Style17"/>
        <w:keepNext w:val="0"/>
        <w:keepLines w:val="0"/>
        <w:widowControl w:val="0"/>
        <w:numPr>
          <w:ilvl w:val="0"/>
          <w:numId w:val="3"/>
        </w:numPr>
        <w:shd w:val="clear" w:color="auto" w:fill="auto"/>
        <w:tabs>
          <w:tab w:pos="1123" w:val="left"/>
        </w:tabs>
        <w:bidi w:val="0"/>
        <w:spacing w:before="0" w:after="0" w:line="240" w:lineRule="auto"/>
        <w:ind w:left="0" w:right="0" w:firstLine="900"/>
        <w:jc w:val="both"/>
      </w:pPr>
      <w:r>
        <w:rPr>
          <w:i/>
          <w:iCs/>
          <w:color w:val="000000"/>
          <w:spacing w:val="0"/>
          <w:w w:val="100"/>
          <w:position w:val="0"/>
          <w:shd w:val="clear" w:color="auto" w:fill="auto"/>
          <w:lang w:val="en-US" w:eastAsia="en-US" w:bidi="en-US"/>
        </w:rPr>
        <w:t>Modernizarea materialului rulant de tractiune</w:t>
      </w:r>
      <w:r>
        <w:rPr>
          <w:color w:val="000000"/>
          <w:spacing w:val="0"/>
          <w:w w:val="100"/>
          <w:position w:val="0"/>
          <w:shd w:val="clear" w:color="auto" w:fill="auto"/>
          <w:lang w:val="en-US" w:eastAsia="en-US" w:bidi="en-US"/>
        </w:rPr>
        <w:t xml:space="preserve"> - 66,5 mil.euro, inclusiv achizitionarea noilor locomotive magistrale - 45,0 mil.euro si modernizarea locomotivelor de manevra - 21,5 mil.euro;</w:t>
      </w:r>
    </w:p>
    <w:p>
      <w:pPr>
        <w:pStyle w:val="Style17"/>
        <w:keepNext w:val="0"/>
        <w:keepLines w:val="0"/>
        <w:widowControl w:val="0"/>
        <w:numPr>
          <w:ilvl w:val="0"/>
          <w:numId w:val="3"/>
        </w:numPr>
        <w:shd w:val="clear" w:color="auto" w:fill="auto"/>
        <w:tabs>
          <w:tab w:pos="1123" w:val="left"/>
        </w:tabs>
        <w:bidi w:val="0"/>
        <w:spacing w:before="0" w:after="0" w:line="240" w:lineRule="auto"/>
        <w:ind w:left="0" w:right="0" w:firstLine="900"/>
        <w:jc w:val="both"/>
      </w:pPr>
      <w:r>
        <w:rPr>
          <w:i/>
          <w:iCs/>
          <w:color w:val="000000"/>
          <w:spacing w:val="0"/>
          <w:w w:val="100"/>
          <w:position w:val="0"/>
          <w:shd w:val="clear" w:color="auto" w:fill="auto"/>
          <w:lang w:val="en-US" w:eastAsia="en-US" w:bidi="en-US"/>
        </w:rPr>
        <w:t>Reinnoirea parcului vagoanelor de marfa</w:t>
      </w:r>
      <w:r>
        <w:rPr>
          <w:color w:val="000000"/>
          <w:spacing w:val="0"/>
          <w:w w:val="100"/>
          <w:position w:val="0"/>
          <w:shd w:val="clear" w:color="auto" w:fill="auto"/>
          <w:lang w:val="en-US" w:eastAsia="en-US" w:bidi="en-US"/>
        </w:rPr>
        <w:t xml:space="preserve"> - 202,9 mil.euro, dintre care 31,9 mil.euro pentru reparalia capitala si 171,0 mil. Euro pentru achizitionarea vagoanelor noi;</w:t>
      </w:r>
    </w:p>
    <w:p>
      <w:pPr>
        <w:pStyle w:val="Style17"/>
        <w:keepNext w:val="0"/>
        <w:keepLines w:val="0"/>
        <w:widowControl w:val="0"/>
        <w:numPr>
          <w:ilvl w:val="0"/>
          <w:numId w:val="3"/>
        </w:numPr>
        <w:shd w:val="clear" w:color="auto" w:fill="auto"/>
        <w:tabs>
          <w:tab w:pos="1123" w:val="left"/>
        </w:tabs>
        <w:bidi w:val="0"/>
        <w:spacing w:before="0" w:after="320" w:line="240" w:lineRule="auto"/>
        <w:ind w:left="0" w:right="0" w:firstLine="900"/>
        <w:jc w:val="both"/>
      </w:pPr>
      <w:r>
        <w:rPr>
          <w:i/>
          <w:iCs/>
          <w:color w:val="000000"/>
          <w:spacing w:val="0"/>
          <w:w w:val="100"/>
          <w:position w:val="0"/>
          <w:shd w:val="clear" w:color="auto" w:fill="auto"/>
          <w:lang w:val="en-US" w:eastAsia="en-US" w:bidi="en-US"/>
        </w:rPr>
        <w:t>Reinnoirea parcului de vagoane de calatori</w:t>
      </w:r>
      <w:r>
        <w:rPr>
          <w:color w:val="000000"/>
          <w:spacing w:val="0"/>
          <w:w w:val="100"/>
          <w:position w:val="0"/>
          <w:shd w:val="clear" w:color="auto" w:fill="auto"/>
          <w:lang w:val="en-US" w:eastAsia="en-US" w:bidi="en-US"/>
        </w:rPr>
        <w:t xml:space="preserve"> - 71,0 mil.euro, dintre care 30,0 mil.euro pentru achizitionarea de noi vagoane compartimentate si 41,0 mil.euro pentru achizitionarea de vagoanelor de tip deschis.</w:t>
      </w:r>
      <w:r>
        <w:rPr>
          <w:color w:val="000000"/>
          <w:spacing w:val="0"/>
          <w:w w:val="100"/>
          <w:position w:val="0"/>
          <w:shd w:val="clear" w:color="auto" w:fill="auto"/>
          <w:vertAlign w:val="superscript"/>
          <w:lang w:val="en-US" w:eastAsia="en-US" w:bidi="en-US"/>
        </w:rPr>
        <w:footnoteReference w:id="6"/>
      </w:r>
    </w:p>
    <w:p>
      <w:pPr>
        <w:pStyle w:val="Style15"/>
        <w:keepNext/>
        <w:keepLines/>
        <w:widowControl w:val="0"/>
        <w:numPr>
          <w:ilvl w:val="0"/>
          <w:numId w:val="11"/>
        </w:numPr>
        <w:shd w:val="clear" w:color="auto" w:fill="auto"/>
        <w:tabs>
          <w:tab w:pos="916" w:val="left"/>
        </w:tabs>
        <w:bidi w:val="0"/>
        <w:spacing w:before="0" w:after="0" w:line="240" w:lineRule="auto"/>
        <w:ind w:left="0" w:right="0" w:firstLine="560"/>
        <w:jc w:val="both"/>
      </w:pPr>
      <w:bookmarkStart w:id="20" w:name="bookmark20"/>
      <w:bookmarkStart w:id="21" w:name="bookmark21"/>
      <w:r>
        <w:rPr>
          <w:color w:val="000000"/>
          <w:spacing w:val="0"/>
          <w:w w:val="100"/>
          <w:position w:val="0"/>
          <w:shd w:val="clear" w:color="auto" w:fill="auto"/>
          <w:lang w:val="en-US" w:eastAsia="en-US" w:bidi="en-US"/>
        </w:rPr>
        <w:t>Tractiune</w:t>
      </w:r>
      <w:bookmarkEnd w:id="20"/>
      <w:bookmarkEnd w:id="21"/>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en-US" w:eastAsia="en-US" w:bidi="en-US"/>
        </w:rPr>
        <w:t>In prezent, parcul de inventar al locomotivelor pentru activitatea de baza a I.S. „CFM” numara 145 unitati, dintre care 132 sunt administrate de I.S. „CFM”, iar 13 sunt situate in regiunea transnistreana si nu sunt controlate de intreprindere. Dintre care 120 locomotivele din parcul de inventar au durata de exploatare expirata si 12 Locomotive au fost procurate recent din proiectul BERD.</w:t>
      </w:r>
    </w:p>
    <w:p>
      <w:pPr>
        <w:pStyle w:val="Style17"/>
        <w:keepNext w:val="0"/>
        <w:keepLines w:val="0"/>
        <w:widowControl w:val="0"/>
        <w:shd w:val="clear" w:color="auto" w:fill="auto"/>
        <w:bidi w:val="0"/>
        <w:spacing w:before="0" w:after="0" w:line="240" w:lineRule="auto"/>
        <w:ind w:left="0" w:right="0"/>
        <w:jc w:val="both"/>
      </w:pPr>
      <w:r>
        <w:rPr>
          <w:color w:val="000000"/>
          <w:spacing w:val="0"/>
          <w:w w:val="100"/>
          <w:position w:val="0"/>
          <w:shd w:val="clear" w:color="auto" w:fill="auto"/>
          <w:lang w:val="en-US" w:eastAsia="en-US" w:bidi="en-US"/>
        </w:rPr>
        <w:t>Structura parcului de locomotive al I.S. „CFM” :</w:t>
      </w:r>
    </w:p>
    <w:p>
      <w:pPr>
        <w:pStyle w:val="Style17"/>
        <w:keepNext w:val="0"/>
        <w:keepLines w:val="0"/>
        <w:widowControl w:val="0"/>
        <w:numPr>
          <w:ilvl w:val="0"/>
          <w:numId w:val="3"/>
        </w:numPr>
        <w:shd w:val="clear" w:color="auto" w:fill="auto"/>
        <w:tabs>
          <w:tab w:pos="916" w:val="left"/>
        </w:tabs>
        <w:bidi w:val="0"/>
        <w:spacing w:before="0" w:after="0" w:line="240" w:lineRule="auto"/>
        <w:ind w:left="0" w:right="0" w:firstLine="560"/>
        <w:jc w:val="both"/>
      </w:pPr>
      <w:r>
        <w:rPr>
          <w:color w:val="000000"/>
          <w:spacing w:val="0"/>
          <w:w w:val="100"/>
          <w:position w:val="0"/>
          <w:shd w:val="clear" w:color="auto" w:fill="auto"/>
          <w:lang w:val="en-US" w:eastAsia="en-US" w:bidi="en-US"/>
        </w:rPr>
        <w:t>Tren Diesel de tip D1 - 8 garnituri, toate cu termenul de exploatare expirat;</w:t>
      </w:r>
    </w:p>
    <w:p>
      <w:pPr>
        <w:pStyle w:val="Style17"/>
        <w:keepNext w:val="0"/>
        <w:keepLines w:val="0"/>
        <w:widowControl w:val="0"/>
        <w:numPr>
          <w:ilvl w:val="0"/>
          <w:numId w:val="3"/>
        </w:numPr>
        <w:shd w:val="clear" w:color="auto" w:fill="auto"/>
        <w:tabs>
          <w:tab w:pos="916" w:val="left"/>
        </w:tabs>
        <w:bidi w:val="0"/>
        <w:spacing w:before="0" w:after="0" w:line="240" w:lineRule="auto"/>
        <w:ind w:left="880" w:right="0" w:hanging="300"/>
        <w:jc w:val="both"/>
      </w:pPr>
      <w:r>
        <w:rPr>
          <w:color w:val="000000"/>
          <w:spacing w:val="0"/>
          <w:w w:val="100"/>
          <w:position w:val="0"/>
          <w:shd w:val="clear" w:color="auto" w:fill="auto"/>
          <w:lang w:val="en-US" w:eastAsia="en-US" w:bidi="en-US"/>
        </w:rPr>
        <w:t xml:space="preserve">Vagon motor de tip D1 </w:t>
      </w:r>
      <w:r>
        <w:rPr>
          <w:color w:val="000000"/>
          <w:spacing w:val="0"/>
          <w:w w:val="100"/>
          <w:position w:val="0"/>
          <w:shd w:val="clear" w:color="auto" w:fill="auto"/>
          <w:lang w:val="ru-RU" w:eastAsia="ru-RU" w:bidi="ru-RU"/>
        </w:rPr>
        <w:t xml:space="preserve">(„Матрица”) </w:t>
      </w:r>
      <w:r>
        <w:rPr>
          <w:color w:val="000000"/>
          <w:spacing w:val="0"/>
          <w:w w:val="100"/>
          <w:position w:val="0"/>
          <w:shd w:val="clear" w:color="auto" w:fill="auto"/>
          <w:lang w:val="en-US" w:eastAsia="en-US" w:bidi="en-US"/>
        </w:rPr>
        <w:t>- 7 unitati, toate cu termenul de exploatare expirat;</w:t>
      </w:r>
    </w:p>
    <w:p>
      <w:pPr>
        <w:pStyle w:val="Style17"/>
        <w:keepNext w:val="0"/>
        <w:keepLines w:val="0"/>
        <w:widowControl w:val="0"/>
        <w:numPr>
          <w:ilvl w:val="0"/>
          <w:numId w:val="3"/>
        </w:numPr>
        <w:shd w:val="clear" w:color="auto" w:fill="auto"/>
        <w:tabs>
          <w:tab w:pos="916" w:val="left"/>
        </w:tabs>
        <w:bidi w:val="0"/>
        <w:spacing w:before="0" w:after="0" w:line="240" w:lineRule="auto"/>
        <w:ind w:left="880" w:right="0" w:hanging="300"/>
        <w:jc w:val="both"/>
      </w:pPr>
      <w:r>
        <w:rPr>
          <w:color w:val="000000"/>
          <w:spacing w:val="0"/>
          <w:w w:val="100"/>
          <w:position w:val="0"/>
          <w:shd w:val="clear" w:color="auto" w:fill="auto"/>
          <w:lang w:val="en-US" w:eastAsia="en-US" w:bidi="en-US"/>
        </w:rPr>
        <w:t>Tren Diesel Modernizat de tip D1M - 5 garnituri (sau 10 sectii), functioneaza 4 garnituri cu termenul de exploatare prelungit pana in 2031;</w:t>
      </w:r>
    </w:p>
    <w:p>
      <w:pPr>
        <w:pStyle w:val="Style17"/>
        <w:keepNext w:val="0"/>
        <w:keepLines w:val="0"/>
        <w:widowControl w:val="0"/>
        <w:numPr>
          <w:ilvl w:val="0"/>
          <w:numId w:val="3"/>
        </w:numPr>
        <w:shd w:val="clear" w:color="auto" w:fill="auto"/>
        <w:tabs>
          <w:tab w:pos="916" w:val="left"/>
        </w:tabs>
        <w:bidi w:val="0"/>
        <w:spacing w:before="0" w:after="0" w:line="240" w:lineRule="auto"/>
        <w:ind w:left="880" w:right="0" w:hanging="300"/>
        <w:jc w:val="both"/>
      </w:pPr>
      <w:r>
        <w:rPr>
          <w:color w:val="000000"/>
          <w:spacing w:val="0"/>
          <w:w w:val="100"/>
          <w:position w:val="0"/>
          <w:shd w:val="clear" w:color="auto" w:fill="auto"/>
          <w:lang w:val="en-US" w:eastAsia="en-US" w:bidi="en-US"/>
        </w:rPr>
        <w:t xml:space="preserve">Locomotive de manevra tip </w:t>
      </w:r>
      <w:r>
        <w:rPr>
          <w:color w:val="000000"/>
          <w:spacing w:val="0"/>
          <w:w w:val="100"/>
          <w:position w:val="0"/>
          <w:shd w:val="clear" w:color="auto" w:fill="auto"/>
          <w:lang w:val="ru-RU" w:eastAsia="ru-RU" w:bidi="ru-RU"/>
        </w:rPr>
        <w:t xml:space="preserve">ЧМЗ-3 </w:t>
      </w:r>
      <w:r>
        <w:rPr>
          <w:color w:val="000000"/>
          <w:spacing w:val="0"/>
          <w:w w:val="100"/>
          <w:position w:val="0"/>
          <w:shd w:val="clear" w:color="auto" w:fill="auto"/>
          <w:lang w:val="en-US" w:eastAsia="en-US" w:bidi="en-US"/>
        </w:rPr>
        <w:t>- 65 de locomotive, toate cu termenul de exploatare expirat;</w:t>
      </w:r>
    </w:p>
    <w:p>
      <w:pPr>
        <w:pStyle w:val="Style17"/>
        <w:keepNext w:val="0"/>
        <w:keepLines w:val="0"/>
        <w:widowControl w:val="0"/>
        <w:numPr>
          <w:ilvl w:val="0"/>
          <w:numId w:val="3"/>
        </w:numPr>
        <w:shd w:val="clear" w:color="auto" w:fill="auto"/>
        <w:tabs>
          <w:tab w:pos="916" w:val="left"/>
        </w:tabs>
        <w:bidi w:val="0"/>
        <w:spacing w:before="0" w:after="0" w:line="240" w:lineRule="auto"/>
        <w:ind w:left="880" w:right="0" w:hanging="300"/>
        <w:jc w:val="both"/>
      </w:pPr>
      <w:r>
        <w:rPr>
          <w:color w:val="000000"/>
          <w:spacing w:val="0"/>
          <w:w w:val="100"/>
          <w:position w:val="0"/>
          <w:shd w:val="clear" w:color="auto" w:fill="auto"/>
          <w:lang w:val="en-US" w:eastAsia="en-US" w:bidi="en-US"/>
        </w:rPr>
        <w:t xml:space="preserve">Locomotive Magistrale de tip </w:t>
      </w:r>
      <w:r>
        <w:rPr>
          <w:color w:val="000000"/>
          <w:spacing w:val="0"/>
          <w:w w:val="100"/>
          <w:position w:val="0"/>
          <w:shd w:val="clear" w:color="auto" w:fill="auto"/>
          <w:lang w:val="ru-RU" w:eastAsia="ru-RU" w:bidi="ru-RU"/>
        </w:rPr>
        <w:t xml:space="preserve">ТЭ10 </w:t>
      </w:r>
      <w:r>
        <w:rPr>
          <w:color w:val="000000"/>
          <w:spacing w:val="0"/>
          <w:w w:val="100"/>
          <w:position w:val="0"/>
          <w:shd w:val="clear" w:color="auto" w:fill="auto"/>
          <w:lang w:val="en-US" w:eastAsia="en-US" w:bidi="en-US"/>
        </w:rPr>
        <w:t>- 156 de sectii de locomotive, toate cu termenul de exploatare expirat;</w:t>
      </w:r>
    </w:p>
    <w:p>
      <w:pPr>
        <w:pStyle w:val="Style17"/>
        <w:keepNext w:val="0"/>
        <w:keepLines w:val="0"/>
        <w:widowControl w:val="0"/>
        <w:numPr>
          <w:ilvl w:val="0"/>
          <w:numId w:val="3"/>
        </w:numPr>
        <w:shd w:val="clear" w:color="auto" w:fill="auto"/>
        <w:tabs>
          <w:tab w:pos="916" w:val="left"/>
        </w:tabs>
        <w:bidi w:val="0"/>
        <w:spacing w:before="0" w:after="0" w:line="240" w:lineRule="auto"/>
        <w:ind w:left="880" w:right="0" w:hanging="300"/>
        <w:jc w:val="both"/>
      </w:pPr>
      <w:r>
        <w:rPr>
          <w:color w:val="000000"/>
          <w:spacing w:val="0"/>
          <w:w w:val="100"/>
          <w:position w:val="0"/>
          <w:shd w:val="clear" w:color="auto" w:fill="auto"/>
          <w:lang w:val="en-US" w:eastAsia="en-US" w:bidi="en-US"/>
        </w:rPr>
        <w:t>Locomotive Magistrale de tip M62 - 4 locomotive, toate cu termenul de exploatare expirat;</w:t>
      </w:r>
      <w:r>
        <w:br w:type="page"/>
      </w:r>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 xml:space="preserve">Locomotive Magistrale de TE33AC </w:t>
      </w:r>
      <w:r>
        <w:rPr>
          <w:color w:val="000000"/>
          <w:spacing w:val="0"/>
          <w:w w:val="100"/>
          <w:position w:val="0"/>
          <w:shd w:val="clear" w:color="auto" w:fill="auto"/>
          <w:lang w:val="ru-RU" w:eastAsia="ru-RU" w:bidi="ru-RU"/>
        </w:rPr>
        <w:t xml:space="preserve">-12 </w:t>
      </w:r>
      <w:r>
        <w:rPr>
          <w:color w:val="000000"/>
          <w:spacing w:val="0"/>
          <w:w w:val="100"/>
          <w:position w:val="0"/>
          <w:shd w:val="clear" w:color="auto" w:fill="auto"/>
          <w:lang w:val="en-US" w:eastAsia="en-US" w:bidi="en-US"/>
        </w:rPr>
        <w:t>locomotive, recent au fost achizitionate.</w:t>
      </w:r>
      <w:r>
        <w:rPr>
          <w:color w:val="000000"/>
          <w:spacing w:val="0"/>
          <w:w w:val="100"/>
          <w:position w:val="0"/>
          <w:shd w:val="clear" w:color="auto" w:fill="auto"/>
          <w:vertAlign w:val="superscript"/>
          <w:lang w:val="en-US" w:eastAsia="en-US" w:bidi="en-US"/>
        </w:rPr>
        <w:footnoteReference w:id="7"/>
      </w:r>
      <w:r>
        <w:rPr>
          <w:color w:val="000000"/>
          <w:spacing w:val="0"/>
          <w:w w:val="100"/>
          <w:position w:val="0"/>
          <w:shd w:val="clear" w:color="auto" w:fill="auto"/>
          <w:vertAlign w:val="superscript"/>
          <w:lang w:val="en-US" w:eastAsia="en-US" w:bidi="en-US"/>
        </w:rPr>
        <w:t xml:space="preserve"> </w:t>
      </w:r>
      <w:r>
        <w:rPr>
          <w:color w:val="000000"/>
          <w:spacing w:val="0"/>
          <w:w w:val="100"/>
          <w:position w:val="0"/>
          <w:shd w:val="clear" w:color="auto" w:fill="auto"/>
          <w:vertAlign w:val="superscript"/>
          <w:lang w:val="en-US" w:eastAsia="en-US" w:bidi="en-US"/>
        </w:rPr>
        <w:footnoteReference w:id="8"/>
      </w:r>
    </w:p>
    <w:p>
      <w:pPr>
        <w:pStyle w:val="Style15"/>
        <w:keepNext/>
        <w:keepLines/>
        <w:widowControl w:val="0"/>
        <w:numPr>
          <w:ilvl w:val="0"/>
          <w:numId w:val="11"/>
        </w:numPr>
        <w:shd w:val="clear" w:color="auto" w:fill="auto"/>
        <w:bidi w:val="0"/>
        <w:spacing w:before="0" w:after="0" w:line="240" w:lineRule="auto"/>
        <w:ind w:left="0" w:right="0" w:firstLine="380"/>
        <w:jc w:val="both"/>
      </w:pPr>
      <w:bookmarkStart w:id="22" w:name="bookmark22"/>
      <w:bookmarkStart w:id="23" w:name="bookmark23"/>
      <w:r>
        <w:rPr>
          <w:color w:val="000000"/>
          <w:spacing w:val="0"/>
          <w:w w:val="100"/>
          <w:position w:val="0"/>
          <w:shd w:val="clear" w:color="auto" w:fill="auto"/>
          <w:lang w:val="en-US" w:eastAsia="en-US" w:bidi="en-US"/>
        </w:rPr>
        <w:t>Vagoanele de marfa</w:t>
      </w:r>
      <w:bookmarkEnd w:id="22"/>
      <w:bookmarkEnd w:id="23"/>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en-US" w:eastAsia="en-US" w:bidi="en-US"/>
        </w:rPr>
        <w:t xml:space="preserve">Conform datelor din programul de dezvoltare a I.S. „CFM” la </w:t>
      </w:r>
      <w:r>
        <w:rPr>
          <w:color w:val="000000"/>
          <w:spacing w:val="0"/>
          <w:w w:val="100"/>
          <w:position w:val="0"/>
          <w:shd w:val="clear" w:color="auto" w:fill="auto"/>
          <w:lang w:val="ru-RU" w:eastAsia="ru-RU" w:bidi="ru-RU"/>
        </w:rPr>
        <w:t xml:space="preserve">01.01.2018 </w:t>
      </w:r>
      <w:r>
        <w:rPr>
          <w:color w:val="000000"/>
          <w:spacing w:val="0"/>
          <w:w w:val="100"/>
          <w:position w:val="0"/>
          <w:shd w:val="clear" w:color="auto" w:fill="auto"/>
          <w:lang w:val="en-US" w:eastAsia="en-US" w:bidi="en-US"/>
        </w:rPr>
        <w:t xml:space="preserve">parcul de inventar al vagoanelor de marfa al I.S. „CFM” enumera </w:t>
      </w:r>
      <w:r>
        <w:rPr>
          <w:color w:val="000000"/>
          <w:spacing w:val="0"/>
          <w:w w:val="100"/>
          <w:position w:val="0"/>
          <w:shd w:val="clear" w:color="auto" w:fill="auto"/>
          <w:lang w:val="ru-RU" w:eastAsia="ru-RU" w:bidi="ru-RU"/>
        </w:rPr>
        <w:t xml:space="preserve">5582 </w:t>
      </w:r>
      <w:r>
        <w:rPr>
          <w:color w:val="000000"/>
          <w:spacing w:val="0"/>
          <w:w w:val="100"/>
          <w:position w:val="0"/>
          <w:shd w:val="clear" w:color="auto" w:fill="auto"/>
          <w:lang w:val="en-US" w:eastAsia="en-US" w:bidi="en-US"/>
        </w:rPr>
        <w:t xml:space="preserve">de unitati, dintre care </w:t>
      </w:r>
      <w:r>
        <w:rPr>
          <w:color w:val="000000"/>
          <w:spacing w:val="0"/>
          <w:w w:val="100"/>
          <w:position w:val="0"/>
          <w:shd w:val="clear" w:color="auto" w:fill="auto"/>
          <w:lang w:val="ru-RU" w:eastAsia="ru-RU" w:bidi="ru-RU"/>
        </w:rPr>
        <w:t xml:space="preserve">2623 </w:t>
      </w:r>
      <w:r>
        <w:rPr>
          <w:color w:val="000000"/>
          <w:spacing w:val="0"/>
          <w:w w:val="100"/>
          <w:position w:val="0"/>
          <w:shd w:val="clear" w:color="auto" w:fill="auto"/>
          <w:lang w:val="en-US" w:eastAsia="en-US" w:bidi="en-US"/>
        </w:rPr>
        <w:t>vagoane se aflau in parcul activ, iar 2959 vagoane se aflau in stare inoperabila §i nu erau antrenate in activitatea de transport a intreprinderii.</w:t>
      </w:r>
    </w:p>
    <w:tbl>
      <w:tblPr>
        <w:tblpPr w:leftFromText="0" w:rightFromText="0" w:topFromText="341" w:bottomFromText="0" w:horzAnchor="page" w:tblpX="1384" w:vertAnchor="text" w:tblpY="1941"/>
        <w:jc w:val="left"/>
        <w:tblLayout w:type="fixed"/>
      </w:tblPr>
      <w:tblGrid>
        <w:gridCol w:w="2299"/>
        <w:gridCol w:w="1277"/>
        <w:gridCol w:w="710"/>
        <w:gridCol w:w="706"/>
        <w:gridCol w:w="850"/>
        <w:gridCol w:w="854"/>
        <w:gridCol w:w="706"/>
        <w:gridCol w:w="710"/>
        <w:gridCol w:w="720"/>
      </w:tblGrid>
      <w:tr>
        <w:trPr>
          <w:tblHeader/>
          <w:trHeight w:val="350" w:hRule="exact"/>
        </w:trPr>
        <w:tc>
          <w:tcPr>
            <w:vMerge w:val="restart"/>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Tipul de vagoane (unitati)</w:t>
            </w:r>
          </w:p>
        </w:tc>
        <w:tc>
          <w:tcPr>
            <w:vMerge w:val="restart"/>
            <w:tcBorders>
              <w:top w:val="single" w:sz="4"/>
              <w:left w:val="single" w:sz="4"/>
            </w:tcBorders>
            <w:shd w:val="clear" w:color="auto" w:fill="B3C6E6"/>
            <w:vAlign w:val="bottom"/>
          </w:tcPr>
          <w:p>
            <w:pPr>
              <w:pStyle w:val="Style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Termen de exploatare valabil In 2018</w:t>
            </w:r>
          </w:p>
        </w:tc>
        <w:tc>
          <w:tcPr>
            <w:gridSpan w:val="7"/>
            <w:tcBorders>
              <w:top w:val="single" w:sz="4"/>
              <w:left w:val="single" w:sz="4"/>
              <w:right w:val="single" w:sz="4"/>
            </w:tcBorders>
            <w:shd w:val="clear" w:color="auto" w:fill="B3C6E6"/>
            <w:vAlign w:val="top"/>
          </w:tcPr>
          <w:p>
            <w:pPr>
              <w:pStyle w:val="Style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Anul expirarii termenului de exploatare</w:t>
            </w:r>
          </w:p>
        </w:tc>
      </w:tr>
      <w:tr>
        <w:trPr>
          <w:trHeight w:val="677" w:hRule="exact"/>
        </w:trPr>
        <w:tc>
          <w:tcPr>
            <w:vMerge/>
            <w:tcBorders>
              <w:left w:val="single" w:sz="4"/>
            </w:tcBorders>
            <w:shd w:val="clear" w:color="auto" w:fill="B3C6E6"/>
            <w:vAlign w:val="center"/>
          </w:tcPr>
          <w:p>
            <w:pPr/>
          </w:p>
        </w:tc>
        <w:tc>
          <w:tcPr>
            <w:vMerge/>
            <w:tcBorders>
              <w:left w:val="single" w:sz="4"/>
            </w:tcBorders>
            <w:shd w:val="clear" w:color="auto" w:fill="B3C6E6"/>
            <w:vAlign w:val="bottom"/>
          </w:tcPr>
          <w:p>
            <w:pPr/>
          </w:p>
        </w:tc>
        <w:tc>
          <w:tcPr>
            <w:tcBorders>
              <w:top w:val="single" w:sz="4"/>
              <w:left w:val="single" w:sz="4"/>
            </w:tcBorders>
            <w:shd w:val="clear" w:color="auto" w:fill="B3C6E6"/>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2018</w:t>
            </w:r>
          </w:p>
        </w:tc>
        <w:tc>
          <w:tcPr>
            <w:tcBorders>
              <w:top w:val="single" w:sz="4"/>
              <w:left w:val="single" w:sz="4"/>
            </w:tcBorders>
            <w:shd w:val="clear" w:color="auto" w:fill="B3C6E6"/>
            <w:vAlign w:val="top"/>
          </w:tcPr>
          <w:p>
            <w:pPr>
              <w:pStyle w:val="Style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2019</w:t>
            </w:r>
          </w:p>
        </w:tc>
        <w:tc>
          <w:tcPr>
            <w:tcBorders>
              <w:top w:val="single" w:sz="4"/>
              <w:left w:val="single" w:sz="4"/>
            </w:tcBorders>
            <w:shd w:val="clear" w:color="auto" w:fill="B3C6E6"/>
            <w:vAlign w:val="top"/>
          </w:tcPr>
          <w:p>
            <w:pPr>
              <w:pStyle w:val="Style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2020</w:t>
            </w:r>
          </w:p>
        </w:tc>
        <w:tc>
          <w:tcPr>
            <w:tcBorders>
              <w:top w:val="single" w:sz="4"/>
              <w:left w:val="single" w:sz="4"/>
            </w:tcBorders>
            <w:shd w:val="clear" w:color="auto" w:fill="B3C6E6"/>
            <w:vAlign w:val="top"/>
          </w:tcPr>
          <w:p>
            <w:pPr>
              <w:pStyle w:val="Style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2021</w:t>
            </w:r>
          </w:p>
        </w:tc>
        <w:tc>
          <w:tcPr>
            <w:tcBorders>
              <w:top w:val="single" w:sz="4"/>
              <w:left w:val="single" w:sz="4"/>
            </w:tcBorders>
            <w:shd w:val="clear" w:color="auto" w:fill="B3C6E6"/>
            <w:vAlign w:val="top"/>
          </w:tcPr>
          <w:p>
            <w:pPr>
              <w:pStyle w:val="Style9"/>
              <w:keepNext w:val="0"/>
              <w:keepLines w:val="0"/>
              <w:widowControl w:val="0"/>
              <w:shd w:val="clear" w:color="auto" w:fill="auto"/>
              <w:bidi w:val="0"/>
              <w:spacing w:before="0" w:after="0" w:line="240" w:lineRule="auto"/>
              <w:ind w:left="0" w:right="0" w:firstLine="0"/>
              <w:jc w:val="right"/>
              <w:rPr>
                <w:sz w:val="22"/>
                <w:szCs w:val="22"/>
              </w:rPr>
            </w:pPr>
            <w:r>
              <w:rPr>
                <w:b/>
                <w:bCs/>
                <w:color w:val="000000"/>
                <w:spacing w:val="0"/>
                <w:w w:val="100"/>
                <w:position w:val="0"/>
                <w:sz w:val="22"/>
                <w:szCs w:val="22"/>
                <w:shd w:val="clear" w:color="auto" w:fill="auto"/>
                <w:lang w:val="en-US" w:eastAsia="en-US" w:bidi="en-US"/>
              </w:rPr>
              <w:t>2022</w:t>
            </w:r>
          </w:p>
        </w:tc>
        <w:tc>
          <w:tcPr>
            <w:tcBorders>
              <w:top w:val="single" w:sz="4"/>
              <w:left w:val="single" w:sz="4"/>
            </w:tcBorders>
            <w:shd w:val="clear" w:color="auto" w:fill="B3C6E6"/>
            <w:vAlign w:val="top"/>
          </w:tcPr>
          <w:p>
            <w:pPr>
              <w:pStyle w:val="Style9"/>
              <w:keepNext w:val="0"/>
              <w:keepLines w:val="0"/>
              <w:widowControl w:val="0"/>
              <w:shd w:val="clear" w:color="auto" w:fill="auto"/>
              <w:bidi w:val="0"/>
              <w:spacing w:before="0" w:after="0" w:line="240" w:lineRule="auto"/>
              <w:ind w:left="0" w:right="0" w:firstLine="0"/>
              <w:jc w:val="right"/>
              <w:rPr>
                <w:sz w:val="22"/>
                <w:szCs w:val="22"/>
              </w:rPr>
            </w:pPr>
            <w:r>
              <w:rPr>
                <w:b/>
                <w:bCs/>
                <w:color w:val="000000"/>
                <w:spacing w:val="0"/>
                <w:w w:val="100"/>
                <w:position w:val="0"/>
                <w:sz w:val="22"/>
                <w:szCs w:val="22"/>
                <w:shd w:val="clear" w:color="auto" w:fill="auto"/>
                <w:lang w:val="en-US" w:eastAsia="en-US" w:bidi="en-US"/>
              </w:rPr>
              <w:t>2023</w:t>
            </w:r>
          </w:p>
        </w:tc>
        <w:tc>
          <w:tcPr>
            <w:tcBorders>
              <w:top w:val="single" w:sz="4"/>
              <w:left w:val="single" w:sz="4"/>
              <w:right w:val="single" w:sz="4"/>
            </w:tcBorders>
            <w:shd w:val="clear" w:color="auto" w:fill="B3C6E6"/>
            <w:vAlign w:val="top"/>
          </w:tcPr>
          <w:p>
            <w:pPr>
              <w:pStyle w:val="Style9"/>
              <w:keepNext w:val="0"/>
              <w:keepLines w:val="0"/>
              <w:widowControl w:val="0"/>
              <w:shd w:val="clear" w:color="auto" w:fill="auto"/>
              <w:bidi w:val="0"/>
              <w:spacing w:before="0" w:after="0" w:line="240" w:lineRule="auto"/>
              <w:ind w:left="0" w:right="0" w:firstLine="0"/>
              <w:jc w:val="right"/>
              <w:rPr>
                <w:sz w:val="22"/>
                <w:szCs w:val="22"/>
              </w:rPr>
            </w:pPr>
            <w:r>
              <w:rPr>
                <w:b/>
                <w:bCs/>
                <w:color w:val="000000"/>
                <w:spacing w:val="0"/>
                <w:w w:val="100"/>
                <w:position w:val="0"/>
                <w:sz w:val="22"/>
                <w:szCs w:val="22"/>
                <w:shd w:val="clear" w:color="auto" w:fill="auto"/>
                <w:lang w:val="en-US" w:eastAsia="en-US" w:bidi="en-US"/>
              </w:rPr>
              <w:t>2024</w:t>
            </w:r>
          </w:p>
        </w:tc>
      </w:tr>
      <w:tr>
        <w:trPr>
          <w:trHeight w:val="312"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Acoperite universale</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579</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360"/>
              <w:jc w:val="left"/>
              <w:rPr>
                <w:sz w:val="22"/>
                <w:szCs w:val="22"/>
              </w:rPr>
            </w:pPr>
            <w:r>
              <w:rPr>
                <w:color w:val="000000"/>
                <w:spacing w:val="0"/>
                <w:w w:val="100"/>
                <w:position w:val="0"/>
                <w:sz w:val="22"/>
                <w:szCs w:val="22"/>
                <w:shd w:val="clear" w:color="auto" w:fill="auto"/>
                <w:lang w:val="en-US" w:eastAsia="en-US" w:bidi="en-US"/>
              </w:rPr>
              <w:t>32</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97</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500"/>
              <w:jc w:val="left"/>
              <w:rPr>
                <w:sz w:val="22"/>
                <w:szCs w:val="22"/>
              </w:rPr>
            </w:pPr>
            <w:r>
              <w:rPr>
                <w:color w:val="000000"/>
                <w:spacing w:val="0"/>
                <w:w w:val="100"/>
                <w:position w:val="0"/>
                <w:sz w:val="22"/>
                <w:szCs w:val="22"/>
                <w:shd w:val="clear" w:color="auto" w:fill="auto"/>
                <w:lang w:val="en-US" w:eastAsia="en-US" w:bidi="en-US"/>
              </w:rPr>
              <w:t>96</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500"/>
              <w:jc w:val="both"/>
              <w:rPr>
                <w:sz w:val="22"/>
                <w:szCs w:val="22"/>
              </w:rPr>
            </w:pPr>
            <w:r>
              <w:rPr>
                <w:color w:val="000000"/>
                <w:spacing w:val="0"/>
                <w:w w:val="100"/>
                <w:position w:val="0"/>
                <w:sz w:val="22"/>
                <w:szCs w:val="22"/>
                <w:shd w:val="clear" w:color="auto" w:fill="auto"/>
                <w:lang w:val="en-US" w:eastAsia="en-US" w:bidi="en-US"/>
              </w:rPr>
              <w:t>84</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81</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52</w:t>
            </w:r>
          </w:p>
        </w:tc>
        <w:tc>
          <w:tcPr>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21</w:t>
            </w:r>
          </w:p>
        </w:tc>
      </w:tr>
      <w:tr>
        <w:trPr>
          <w:trHeight w:val="307"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Descoperite</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839</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184</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396</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368</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500"/>
              <w:jc w:val="both"/>
              <w:rPr>
                <w:sz w:val="22"/>
                <w:szCs w:val="22"/>
              </w:rPr>
            </w:pPr>
            <w:r>
              <w:rPr>
                <w:color w:val="000000"/>
                <w:spacing w:val="0"/>
                <w:w w:val="100"/>
                <w:position w:val="0"/>
                <w:sz w:val="22"/>
                <w:szCs w:val="22"/>
                <w:shd w:val="clear" w:color="auto" w:fill="auto"/>
                <w:lang w:val="en-US" w:eastAsia="en-US" w:bidi="en-US"/>
              </w:rPr>
              <w:t>44</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24</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w:t>
            </w:r>
          </w:p>
        </w:tc>
      </w:tr>
      <w:tr>
        <w:trPr>
          <w:trHeight w:val="312" w:hRule="exact"/>
        </w:trPr>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Platforme universale</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124</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360"/>
              <w:jc w:val="left"/>
              <w:rPr>
                <w:sz w:val="22"/>
                <w:szCs w:val="22"/>
              </w:rPr>
            </w:pPr>
            <w:r>
              <w:rPr>
                <w:color w:val="000000"/>
                <w:spacing w:val="0"/>
                <w:w w:val="100"/>
                <w:position w:val="0"/>
                <w:sz w:val="22"/>
                <w:szCs w:val="22"/>
                <w:shd w:val="clear" w:color="auto" w:fill="auto"/>
                <w:lang w:val="en-US" w:eastAsia="en-US" w:bidi="en-US"/>
              </w:rPr>
              <w:t>16</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31</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500"/>
              <w:jc w:val="left"/>
              <w:rPr>
                <w:sz w:val="22"/>
                <w:szCs w:val="22"/>
              </w:rPr>
            </w:pPr>
            <w:r>
              <w:rPr>
                <w:color w:val="000000"/>
                <w:spacing w:val="0"/>
                <w:w w:val="100"/>
                <w:position w:val="0"/>
                <w:sz w:val="22"/>
                <w:szCs w:val="22"/>
                <w:shd w:val="clear" w:color="auto" w:fill="auto"/>
                <w:lang w:val="en-US" w:eastAsia="en-US" w:bidi="en-US"/>
              </w:rPr>
              <w:t>20</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500"/>
              <w:jc w:val="both"/>
              <w:rPr>
                <w:sz w:val="22"/>
                <w:szCs w:val="22"/>
              </w:rPr>
            </w:pPr>
            <w:r>
              <w:rPr>
                <w:color w:val="000000"/>
                <w:spacing w:val="0"/>
                <w:w w:val="100"/>
                <w:position w:val="0"/>
                <w:sz w:val="22"/>
                <w:szCs w:val="22"/>
                <w:shd w:val="clear" w:color="auto" w:fill="auto"/>
                <w:lang w:val="en-US" w:eastAsia="en-US" w:bidi="en-US"/>
              </w:rPr>
              <w:t>23</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360"/>
              <w:jc w:val="both"/>
              <w:rPr>
                <w:sz w:val="22"/>
                <w:szCs w:val="22"/>
              </w:rPr>
            </w:pPr>
            <w:r>
              <w:rPr>
                <w:color w:val="000000"/>
                <w:spacing w:val="0"/>
                <w:w w:val="100"/>
                <w:position w:val="0"/>
                <w:sz w:val="22"/>
                <w:szCs w:val="22"/>
                <w:shd w:val="clear" w:color="auto" w:fill="auto"/>
                <w:lang w:val="en-US" w:eastAsia="en-US" w:bidi="en-US"/>
              </w:rPr>
              <w:t>21</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12</w:t>
            </w:r>
          </w:p>
        </w:tc>
        <w:tc>
          <w:tcPr>
            <w:tcBorders>
              <w:top w:val="single" w:sz="4"/>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3</w:t>
            </w:r>
          </w:p>
        </w:tc>
      </w:tr>
      <w:tr>
        <w:trPr>
          <w:trHeight w:val="307"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Platforme fiting</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820"/>
              <w:jc w:val="both"/>
              <w:rPr>
                <w:sz w:val="22"/>
                <w:szCs w:val="22"/>
              </w:rPr>
            </w:pPr>
            <w:r>
              <w:rPr>
                <w:color w:val="000000"/>
                <w:spacing w:val="0"/>
                <w:w w:val="100"/>
                <w:position w:val="0"/>
                <w:sz w:val="22"/>
                <w:szCs w:val="22"/>
                <w:shd w:val="clear" w:color="auto" w:fill="auto"/>
                <w:lang w:val="en-US" w:eastAsia="en-US" w:bidi="en-US"/>
              </w:rPr>
              <w:t>261</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360"/>
              <w:jc w:val="left"/>
              <w:rPr>
                <w:sz w:val="22"/>
                <w:szCs w:val="22"/>
              </w:rPr>
            </w:pPr>
            <w:r>
              <w:rPr>
                <w:color w:val="000000"/>
                <w:spacing w:val="0"/>
                <w:w w:val="100"/>
                <w:position w:val="0"/>
                <w:sz w:val="22"/>
                <w:szCs w:val="22"/>
                <w:shd w:val="clear" w:color="auto" w:fill="auto"/>
                <w:lang w:val="en-US" w:eastAsia="en-US" w:bidi="en-US"/>
              </w:rPr>
              <w:t>23</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46</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500"/>
              <w:jc w:val="left"/>
              <w:rPr>
                <w:sz w:val="22"/>
                <w:szCs w:val="22"/>
              </w:rPr>
            </w:pPr>
            <w:r>
              <w:rPr>
                <w:color w:val="000000"/>
                <w:spacing w:val="0"/>
                <w:w w:val="100"/>
                <w:position w:val="0"/>
                <w:sz w:val="22"/>
                <w:szCs w:val="22"/>
                <w:shd w:val="clear" w:color="auto" w:fill="auto"/>
                <w:lang w:val="en-US" w:eastAsia="en-US" w:bidi="en-US"/>
              </w:rPr>
              <w:t>29</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500"/>
              <w:jc w:val="both"/>
              <w:rPr>
                <w:sz w:val="22"/>
                <w:szCs w:val="22"/>
              </w:rPr>
            </w:pPr>
            <w:r>
              <w:rPr>
                <w:color w:val="000000"/>
                <w:spacing w:val="0"/>
                <w:w w:val="100"/>
                <w:position w:val="0"/>
                <w:sz w:val="22"/>
                <w:szCs w:val="22"/>
                <w:shd w:val="clear" w:color="auto" w:fill="auto"/>
                <w:lang w:val="en-US" w:eastAsia="en-US" w:bidi="en-US"/>
              </w:rPr>
              <w:t>51</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49</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37</w:t>
            </w:r>
          </w:p>
        </w:tc>
        <w:tc>
          <w:tcPr>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26</w:t>
            </w:r>
          </w:p>
        </w:tc>
      </w:tr>
      <w:tr>
        <w:trPr>
          <w:trHeight w:val="312" w:hRule="exact"/>
        </w:trPr>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Cisterne</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820"/>
              <w:jc w:val="both"/>
              <w:rPr>
                <w:sz w:val="22"/>
                <w:szCs w:val="22"/>
              </w:rPr>
            </w:pPr>
            <w:r>
              <w:rPr>
                <w:color w:val="000000"/>
                <w:spacing w:val="0"/>
                <w:w w:val="100"/>
                <w:position w:val="0"/>
                <w:sz w:val="22"/>
                <w:szCs w:val="22"/>
                <w:shd w:val="clear" w:color="auto" w:fill="auto"/>
                <w:lang w:val="en-US" w:eastAsia="en-US" w:bidi="en-US"/>
              </w:rPr>
              <w:t>421</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360"/>
              <w:jc w:val="left"/>
              <w:rPr>
                <w:sz w:val="22"/>
                <w:szCs w:val="22"/>
              </w:rPr>
            </w:pPr>
            <w:r>
              <w:rPr>
                <w:color w:val="000000"/>
                <w:spacing w:val="0"/>
                <w:w w:val="100"/>
                <w:position w:val="0"/>
                <w:sz w:val="22"/>
                <w:szCs w:val="22"/>
                <w:shd w:val="clear" w:color="auto" w:fill="auto"/>
                <w:lang w:val="en-US" w:eastAsia="en-US" w:bidi="en-US"/>
              </w:rPr>
              <w:t>20</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42</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500"/>
              <w:jc w:val="left"/>
              <w:rPr>
                <w:sz w:val="22"/>
                <w:szCs w:val="22"/>
              </w:rPr>
            </w:pPr>
            <w:r>
              <w:rPr>
                <w:color w:val="000000"/>
                <w:spacing w:val="0"/>
                <w:w w:val="100"/>
                <w:position w:val="0"/>
                <w:sz w:val="22"/>
                <w:szCs w:val="22"/>
                <w:shd w:val="clear" w:color="auto" w:fill="auto"/>
                <w:lang w:val="en-US" w:eastAsia="en-US" w:bidi="en-US"/>
              </w:rPr>
              <w:t>70</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500"/>
              <w:jc w:val="both"/>
              <w:rPr>
                <w:sz w:val="22"/>
                <w:szCs w:val="22"/>
              </w:rPr>
            </w:pPr>
            <w:r>
              <w:rPr>
                <w:color w:val="000000"/>
                <w:spacing w:val="0"/>
                <w:w w:val="100"/>
                <w:position w:val="0"/>
                <w:sz w:val="22"/>
                <w:szCs w:val="22"/>
                <w:shd w:val="clear" w:color="auto" w:fill="auto"/>
                <w:lang w:val="en-US" w:eastAsia="en-US" w:bidi="en-US"/>
              </w:rPr>
              <w:t>98</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100</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12</w:t>
            </w:r>
          </w:p>
        </w:tc>
        <w:tc>
          <w:tcPr>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16</w:t>
            </w:r>
          </w:p>
        </w:tc>
      </w:tr>
      <w:tr>
        <w:trPr>
          <w:trHeight w:val="312"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Transport ciment</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116</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520"/>
              <w:jc w:val="both"/>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12</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500"/>
              <w:jc w:val="left"/>
              <w:rPr>
                <w:sz w:val="22"/>
                <w:szCs w:val="22"/>
              </w:rPr>
            </w:pPr>
            <w:r>
              <w:rPr>
                <w:color w:val="000000"/>
                <w:spacing w:val="0"/>
                <w:w w:val="100"/>
                <w:position w:val="0"/>
                <w:sz w:val="22"/>
                <w:szCs w:val="22"/>
                <w:shd w:val="clear" w:color="auto" w:fill="auto"/>
                <w:lang w:val="en-US" w:eastAsia="en-US" w:bidi="en-US"/>
              </w:rPr>
              <w:t>94</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500"/>
              <w:jc w:val="both"/>
              <w:rPr>
                <w:sz w:val="22"/>
                <w:szCs w:val="22"/>
              </w:rPr>
            </w:pPr>
            <w:r>
              <w:rPr>
                <w:color w:val="000000"/>
                <w:spacing w:val="0"/>
                <w:w w:val="100"/>
                <w:position w:val="0"/>
                <w:sz w:val="22"/>
                <w:szCs w:val="22"/>
                <w:shd w:val="clear" w:color="auto" w:fill="auto"/>
                <w:lang w:val="en-US" w:eastAsia="en-US" w:bidi="en-US"/>
              </w:rPr>
              <w:t>10</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w:t>
            </w:r>
          </w:p>
        </w:tc>
      </w:tr>
      <w:tr>
        <w:trPr>
          <w:trHeight w:val="307" w:hRule="exact"/>
        </w:trPr>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Cerealiere</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716</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360"/>
              <w:jc w:val="left"/>
              <w:rPr>
                <w:sz w:val="22"/>
                <w:szCs w:val="22"/>
              </w:rPr>
            </w:pPr>
            <w:r>
              <w:rPr>
                <w:color w:val="000000"/>
                <w:spacing w:val="0"/>
                <w:w w:val="100"/>
                <w:position w:val="0"/>
                <w:sz w:val="22"/>
                <w:szCs w:val="22"/>
                <w:shd w:val="clear" w:color="auto" w:fill="auto"/>
                <w:lang w:val="en-US" w:eastAsia="en-US" w:bidi="en-US"/>
              </w:rPr>
              <w:t>26</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240"/>
              <w:jc w:val="both"/>
              <w:rPr>
                <w:sz w:val="22"/>
                <w:szCs w:val="22"/>
              </w:rPr>
            </w:pPr>
            <w:r>
              <w:rPr>
                <w:color w:val="000000"/>
                <w:spacing w:val="0"/>
                <w:w w:val="100"/>
                <w:position w:val="0"/>
                <w:sz w:val="22"/>
                <w:szCs w:val="22"/>
                <w:shd w:val="clear" w:color="auto" w:fill="auto"/>
                <w:lang w:val="en-US" w:eastAsia="en-US" w:bidi="en-US"/>
              </w:rPr>
              <w:t>161</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173</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240</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77</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39</w:t>
            </w:r>
          </w:p>
        </w:tc>
        <w:tc>
          <w:tcPr>
            <w:tcBorders>
              <w:top w:val="single" w:sz="4"/>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w:t>
            </w:r>
          </w:p>
        </w:tc>
      </w:tr>
      <w:tr>
        <w:trPr>
          <w:trHeight w:val="312" w:hRule="exact"/>
        </w:trPr>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Acoperite tip 918</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397</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360"/>
              <w:jc w:val="left"/>
              <w:rPr>
                <w:sz w:val="22"/>
                <w:szCs w:val="22"/>
              </w:rPr>
            </w:pPr>
            <w:r>
              <w:rPr>
                <w:color w:val="000000"/>
                <w:spacing w:val="0"/>
                <w:w w:val="100"/>
                <w:position w:val="0"/>
                <w:sz w:val="22"/>
                <w:szCs w:val="22"/>
                <w:shd w:val="clear" w:color="auto" w:fill="auto"/>
                <w:lang w:val="en-US" w:eastAsia="en-US" w:bidi="en-US"/>
              </w:rPr>
              <w:t>10</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237</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119</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500"/>
              <w:jc w:val="left"/>
              <w:rPr>
                <w:sz w:val="22"/>
                <w:szCs w:val="22"/>
              </w:rPr>
            </w:pPr>
            <w:r>
              <w:rPr>
                <w:color w:val="000000"/>
                <w:spacing w:val="0"/>
                <w:w w:val="100"/>
                <w:position w:val="0"/>
                <w:sz w:val="22"/>
                <w:szCs w:val="22"/>
                <w:shd w:val="clear" w:color="auto" w:fill="auto"/>
                <w:lang w:val="en-US" w:eastAsia="en-US" w:bidi="en-US"/>
              </w:rPr>
              <w:t>31</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w:t>
            </w:r>
          </w:p>
        </w:tc>
      </w:tr>
      <w:tr>
        <w:trPr>
          <w:trHeight w:val="307"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Refrigeratoare</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520"/>
              <w:jc w:val="both"/>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w:t>
            </w:r>
          </w:p>
        </w:tc>
      </w:tr>
      <w:tr>
        <w:trPr>
          <w:trHeight w:val="312" w:hRule="exact"/>
        </w:trPr>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Alte</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100</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520"/>
              <w:jc w:val="both"/>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2</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500"/>
              <w:jc w:val="left"/>
              <w:rPr>
                <w:sz w:val="22"/>
                <w:szCs w:val="22"/>
              </w:rPr>
            </w:pPr>
            <w:r>
              <w:rPr>
                <w:color w:val="000000"/>
                <w:spacing w:val="0"/>
                <w:w w:val="100"/>
                <w:position w:val="0"/>
                <w:sz w:val="22"/>
                <w:szCs w:val="22"/>
                <w:shd w:val="clear" w:color="auto" w:fill="auto"/>
                <w:lang w:val="en-US" w:eastAsia="en-US" w:bidi="en-US"/>
              </w:rPr>
              <w:t>24</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500"/>
              <w:jc w:val="left"/>
              <w:rPr>
                <w:sz w:val="22"/>
                <w:szCs w:val="22"/>
              </w:rPr>
            </w:pPr>
            <w:r>
              <w:rPr>
                <w:color w:val="000000"/>
                <w:spacing w:val="0"/>
                <w:w w:val="100"/>
                <w:position w:val="0"/>
                <w:sz w:val="22"/>
                <w:szCs w:val="22"/>
                <w:shd w:val="clear" w:color="auto" w:fill="auto"/>
                <w:lang w:val="en-US" w:eastAsia="en-US" w:bidi="en-US"/>
              </w:rPr>
              <w:t>61</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13</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w:t>
            </w:r>
          </w:p>
        </w:tc>
        <w:tc>
          <w:tcPr>
            <w:tcBorders>
              <w:top w:val="single" w:sz="4"/>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w:t>
            </w:r>
          </w:p>
        </w:tc>
      </w:tr>
      <w:tr>
        <w:trPr>
          <w:trHeight w:val="322" w:hRule="exact"/>
        </w:trPr>
        <w:tc>
          <w:tcPr>
            <w:tcBorders>
              <w:top w:val="single" w:sz="4"/>
              <w:left w:val="single" w:sz="4"/>
              <w:bottom w:val="single" w:sz="4"/>
            </w:tcBorders>
            <w:shd w:val="clear" w:color="auto" w:fill="B3C6E6"/>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TOTAL</w:t>
            </w:r>
          </w:p>
        </w:tc>
        <w:tc>
          <w:tcPr>
            <w:tcBorders>
              <w:top w:val="single" w:sz="4"/>
              <w:left w:val="single" w:sz="4"/>
              <w:bottom w:val="single" w:sz="4"/>
            </w:tcBorders>
            <w:shd w:val="clear" w:color="auto" w:fill="B3C6E6"/>
            <w:vAlign w:val="top"/>
          </w:tcPr>
          <w:p>
            <w:pPr>
              <w:pStyle w:val="Style9"/>
              <w:keepNext w:val="0"/>
              <w:keepLines w:val="0"/>
              <w:widowControl w:val="0"/>
              <w:shd w:val="clear" w:color="auto" w:fill="auto"/>
              <w:bidi w:val="0"/>
              <w:spacing w:before="0" w:after="0" w:line="240" w:lineRule="auto"/>
              <w:ind w:left="0" w:right="0" w:firstLine="0"/>
              <w:jc w:val="right"/>
              <w:rPr>
                <w:sz w:val="22"/>
                <w:szCs w:val="22"/>
              </w:rPr>
            </w:pPr>
            <w:r>
              <w:rPr>
                <w:b/>
                <w:bCs/>
                <w:color w:val="000000"/>
                <w:spacing w:val="0"/>
                <w:w w:val="100"/>
                <w:position w:val="0"/>
                <w:sz w:val="22"/>
                <w:szCs w:val="22"/>
                <w:shd w:val="clear" w:color="auto" w:fill="auto"/>
                <w:lang w:val="en-US" w:eastAsia="en-US" w:bidi="en-US"/>
              </w:rPr>
              <w:t>3553</w:t>
            </w:r>
          </w:p>
        </w:tc>
        <w:tc>
          <w:tcPr>
            <w:tcBorders>
              <w:top w:val="single" w:sz="4"/>
              <w:left w:val="single" w:sz="4"/>
              <w:bottom w:val="single" w:sz="4"/>
            </w:tcBorders>
            <w:shd w:val="clear" w:color="auto" w:fill="B3C6E6"/>
            <w:vAlign w:val="top"/>
          </w:tcPr>
          <w:p>
            <w:pPr>
              <w:pStyle w:val="Style9"/>
              <w:keepNext w:val="0"/>
              <w:keepLines w:val="0"/>
              <w:widowControl w:val="0"/>
              <w:shd w:val="clear" w:color="auto" w:fill="auto"/>
              <w:bidi w:val="0"/>
              <w:spacing w:before="0" w:after="0" w:line="240" w:lineRule="auto"/>
              <w:ind w:left="0" w:right="0" w:firstLine="240"/>
              <w:jc w:val="left"/>
              <w:rPr>
                <w:sz w:val="22"/>
                <w:szCs w:val="22"/>
              </w:rPr>
            </w:pPr>
            <w:r>
              <w:rPr>
                <w:b/>
                <w:bCs/>
                <w:color w:val="000000"/>
                <w:spacing w:val="0"/>
                <w:w w:val="100"/>
                <w:position w:val="0"/>
                <w:sz w:val="22"/>
                <w:szCs w:val="22"/>
                <w:shd w:val="clear" w:color="auto" w:fill="auto"/>
                <w:lang w:val="en-US" w:eastAsia="en-US" w:bidi="en-US"/>
              </w:rPr>
              <w:t>311</w:t>
            </w:r>
          </w:p>
        </w:tc>
        <w:tc>
          <w:tcPr>
            <w:tcBorders>
              <w:top w:val="single" w:sz="4"/>
              <w:left w:val="single" w:sz="4"/>
              <w:bottom w:val="single" w:sz="4"/>
            </w:tcBorders>
            <w:shd w:val="clear" w:color="auto" w:fill="B3C6E6"/>
            <w:vAlign w:val="top"/>
          </w:tcPr>
          <w:p>
            <w:pPr>
              <w:pStyle w:val="Style9"/>
              <w:keepNext w:val="0"/>
              <w:keepLines w:val="0"/>
              <w:widowControl w:val="0"/>
              <w:shd w:val="clear" w:color="auto" w:fill="auto"/>
              <w:bidi w:val="0"/>
              <w:spacing w:before="0" w:after="0" w:line="240" w:lineRule="auto"/>
              <w:ind w:left="0" w:right="0" w:firstLine="0"/>
              <w:jc w:val="right"/>
              <w:rPr>
                <w:sz w:val="22"/>
                <w:szCs w:val="22"/>
              </w:rPr>
            </w:pPr>
            <w:r>
              <w:rPr>
                <w:b/>
                <w:bCs/>
                <w:color w:val="000000"/>
                <w:spacing w:val="0"/>
                <w:w w:val="100"/>
                <w:position w:val="0"/>
                <w:sz w:val="22"/>
                <w:szCs w:val="22"/>
                <w:shd w:val="clear" w:color="auto" w:fill="auto"/>
                <w:lang w:val="en-US" w:eastAsia="en-US" w:bidi="en-US"/>
              </w:rPr>
              <w:t>1024</w:t>
            </w:r>
          </w:p>
        </w:tc>
        <w:tc>
          <w:tcPr>
            <w:tcBorders>
              <w:top w:val="single" w:sz="4"/>
              <w:left w:val="single" w:sz="4"/>
              <w:bottom w:val="single" w:sz="4"/>
            </w:tcBorders>
            <w:shd w:val="clear" w:color="auto" w:fill="B3C6E6"/>
            <w:vAlign w:val="top"/>
          </w:tcPr>
          <w:p>
            <w:pPr>
              <w:pStyle w:val="Style9"/>
              <w:keepNext w:val="0"/>
              <w:keepLines w:val="0"/>
              <w:widowControl w:val="0"/>
              <w:shd w:val="clear" w:color="auto" w:fill="auto"/>
              <w:bidi w:val="0"/>
              <w:spacing w:before="0" w:after="0" w:line="240" w:lineRule="auto"/>
              <w:ind w:left="0" w:right="0" w:firstLine="0"/>
              <w:jc w:val="right"/>
              <w:rPr>
                <w:sz w:val="22"/>
                <w:szCs w:val="22"/>
              </w:rPr>
            </w:pPr>
            <w:r>
              <w:rPr>
                <w:b/>
                <w:bCs/>
                <w:color w:val="000000"/>
                <w:spacing w:val="0"/>
                <w:w w:val="100"/>
                <w:position w:val="0"/>
                <w:sz w:val="22"/>
                <w:szCs w:val="22"/>
                <w:shd w:val="clear" w:color="auto" w:fill="auto"/>
                <w:lang w:val="en-US" w:eastAsia="en-US" w:bidi="en-US"/>
              </w:rPr>
              <w:t>993</w:t>
            </w:r>
          </w:p>
        </w:tc>
        <w:tc>
          <w:tcPr>
            <w:tcBorders>
              <w:top w:val="single" w:sz="4"/>
              <w:left w:val="single" w:sz="4"/>
              <w:bottom w:val="single" w:sz="4"/>
            </w:tcBorders>
            <w:shd w:val="clear" w:color="auto" w:fill="B3C6E6"/>
            <w:vAlign w:val="top"/>
          </w:tcPr>
          <w:p>
            <w:pPr>
              <w:pStyle w:val="Style9"/>
              <w:keepNext w:val="0"/>
              <w:keepLines w:val="0"/>
              <w:widowControl w:val="0"/>
              <w:shd w:val="clear" w:color="auto" w:fill="auto"/>
              <w:bidi w:val="0"/>
              <w:spacing w:before="0" w:after="0" w:line="240" w:lineRule="auto"/>
              <w:ind w:left="0" w:right="0" w:firstLine="0"/>
              <w:jc w:val="right"/>
              <w:rPr>
                <w:sz w:val="22"/>
                <w:szCs w:val="22"/>
              </w:rPr>
            </w:pPr>
            <w:r>
              <w:rPr>
                <w:b/>
                <w:bCs/>
                <w:color w:val="000000"/>
                <w:spacing w:val="0"/>
                <w:w w:val="100"/>
                <w:position w:val="0"/>
                <w:sz w:val="22"/>
                <w:szCs w:val="22"/>
                <w:shd w:val="clear" w:color="auto" w:fill="auto"/>
                <w:lang w:val="en-US" w:eastAsia="en-US" w:bidi="en-US"/>
              </w:rPr>
              <w:t>642</w:t>
            </w:r>
          </w:p>
        </w:tc>
        <w:tc>
          <w:tcPr>
            <w:tcBorders>
              <w:top w:val="single" w:sz="4"/>
              <w:left w:val="single" w:sz="4"/>
              <w:bottom w:val="single" w:sz="4"/>
            </w:tcBorders>
            <w:shd w:val="clear" w:color="auto" w:fill="B3C6E6"/>
            <w:vAlign w:val="top"/>
          </w:tcPr>
          <w:p>
            <w:pPr>
              <w:pStyle w:val="Style9"/>
              <w:keepNext w:val="0"/>
              <w:keepLines w:val="0"/>
              <w:widowControl w:val="0"/>
              <w:shd w:val="clear" w:color="auto" w:fill="auto"/>
              <w:bidi w:val="0"/>
              <w:spacing w:before="0" w:after="0" w:line="240" w:lineRule="auto"/>
              <w:ind w:left="0" w:right="0" w:firstLine="0"/>
              <w:jc w:val="right"/>
              <w:rPr>
                <w:sz w:val="22"/>
                <w:szCs w:val="22"/>
              </w:rPr>
            </w:pPr>
            <w:r>
              <w:rPr>
                <w:b/>
                <w:bCs/>
                <w:color w:val="000000"/>
                <w:spacing w:val="0"/>
                <w:w w:val="100"/>
                <w:position w:val="0"/>
                <w:sz w:val="22"/>
                <w:szCs w:val="22"/>
                <w:shd w:val="clear" w:color="auto" w:fill="auto"/>
                <w:lang w:val="en-US" w:eastAsia="en-US" w:bidi="en-US"/>
              </w:rPr>
              <w:t>365</w:t>
            </w:r>
          </w:p>
        </w:tc>
        <w:tc>
          <w:tcPr>
            <w:tcBorders>
              <w:top w:val="single" w:sz="4"/>
              <w:left w:val="single" w:sz="4"/>
              <w:bottom w:val="single" w:sz="4"/>
            </w:tcBorders>
            <w:shd w:val="clear" w:color="auto" w:fill="B3C6E6"/>
            <w:vAlign w:val="top"/>
          </w:tcPr>
          <w:p>
            <w:pPr>
              <w:pStyle w:val="Style9"/>
              <w:keepNext w:val="0"/>
              <w:keepLines w:val="0"/>
              <w:widowControl w:val="0"/>
              <w:shd w:val="clear" w:color="auto" w:fill="auto"/>
              <w:bidi w:val="0"/>
              <w:spacing w:before="0" w:after="0" w:line="240" w:lineRule="auto"/>
              <w:ind w:left="0" w:right="0" w:firstLine="0"/>
              <w:jc w:val="right"/>
              <w:rPr>
                <w:sz w:val="22"/>
                <w:szCs w:val="22"/>
              </w:rPr>
            </w:pPr>
            <w:r>
              <w:rPr>
                <w:b/>
                <w:bCs/>
                <w:color w:val="000000"/>
                <w:spacing w:val="0"/>
                <w:w w:val="100"/>
                <w:position w:val="0"/>
                <w:sz w:val="22"/>
                <w:szCs w:val="22"/>
                <w:shd w:val="clear" w:color="auto" w:fill="auto"/>
                <w:lang w:val="en-US" w:eastAsia="en-US" w:bidi="en-US"/>
              </w:rPr>
              <w:t>152</w:t>
            </w:r>
          </w:p>
        </w:tc>
        <w:tc>
          <w:tcPr>
            <w:tcBorders>
              <w:top w:val="single" w:sz="4"/>
              <w:left w:val="single" w:sz="4"/>
              <w:bottom w:val="single" w:sz="4"/>
              <w:right w:val="single" w:sz="4"/>
            </w:tcBorders>
            <w:shd w:val="clear" w:color="auto" w:fill="B3C6E6"/>
            <w:vAlign w:val="bottom"/>
          </w:tcPr>
          <w:p>
            <w:pPr>
              <w:pStyle w:val="Style9"/>
              <w:keepNext w:val="0"/>
              <w:keepLines w:val="0"/>
              <w:widowControl w:val="0"/>
              <w:shd w:val="clear" w:color="auto" w:fill="auto"/>
              <w:bidi w:val="0"/>
              <w:spacing w:before="0" w:after="0" w:line="240" w:lineRule="auto"/>
              <w:ind w:left="0" w:right="0" w:firstLine="0"/>
              <w:jc w:val="right"/>
              <w:rPr>
                <w:sz w:val="22"/>
                <w:szCs w:val="22"/>
              </w:rPr>
            </w:pPr>
            <w:r>
              <w:rPr>
                <w:b/>
                <w:bCs/>
                <w:color w:val="000000"/>
                <w:spacing w:val="0"/>
                <w:w w:val="100"/>
                <w:position w:val="0"/>
                <w:sz w:val="22"/>
                <w:szCs w:val="22"/>
                <w:shd w:val="clear" w:color="auto" w:fill="auto"/>
                <w:lang w:val="en-US" w:eastAsia="en-US" w:bidi="en-US"/>
              </w:rPr>
              <w:t>66</w:t>
            </w:r>
          </w:p>
        </w:tc>
      </w:tr>
    </w:tbl>
    <w:p>
      <w:pPr>
        <w:pStyle w:val="Style17"/>
        <w:keepNext w:val="0"/>
        <w:keepLines w:val="0"/>
        <w:widowControl w:val="0"/>
        <w:shd w:val="clear" w:color="auto" w:fill="auto"/>
        <w:bidi w:val="0"/>
        <w:spacing w:before="0" w:after="4760" w:line="240" w:lineRule="auto"/>
        <w:ind w:left="0" w:right="0" w:firstLine="560"/>
        <w:jc w:val="both"/>
      </w:pPr>
      <w:r>
        <mc:AlternateContent>
          <mc:Choice Requires="wps">
            <w:drawing>
              <wp:anchor distT="0" distB="0" distL="0" distR="0" simplePos="0" relativeHeight="503316482" behindDoc="0" locked="0" layoutInCell="1" allowOverlap="1">
                <wp:simplePos x="0" y="0"/>
                <wp:positionH relativeFrom="page">
                  <wp:posOffset>1637665</wp:posOffset>
                </wp:positionH>
                <wp:positionV relativeFrom="paragraph">
                  <wp:posOffset>1016000</wp:posOffset>
                </wp:positionV>
                <wp:extent cx="4736465" cy="231775"/>
                <wp:wrapNone/>
                <wp:docPr id="13" name="Shape 13"/>
                <a:graphic xmlns:a="http://schemas.openxmlformats.org/drawingml/2006/main">
                  <a:graphicData uri="http://schemas.microsoft.com/office/word/2010/wordprocessingShape">
                    <wps:wsp>
                      <wps:cNvSpPr txBox="1"/>
                      <wps:spPr>
                        <a:xfrm>
                          <a:ext cx="4736465" cy="231775"/>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u w:val="none"/>
                                <w:shd w:val="clear" w:color="auto" w:fill="auto"/>
                                <w:lang w:val="en-US" w:eastAsia="en-US" w:bidi="en-US"/>
                              </w:rPr>
                              <w:t>Tab. 2 Expirarea termenului de exploatare a vagoanelor de marfa</w:t>
                            </w:r>
                            <w:r>
                              <w:rPr>
                                <w:color w:val="000000"/>
                                <w:spacing w:val="0"/>
                                <w:w w:val="100"/>
                                <w:position w:val="0"/>
                                <w:sz w:val="28"/>
                                <w:szCs w:val="28"/>
                                <w:u w:val="none"/>
                                <w:shd w:val="clear" w:color="auto" w:fill="auto"/>
                                <w:vertAlign w:val="superscript"/>
                                <w:lang w:val="en-US" w:eastAsia="en-US" w:bidi="en-US"/>
                              </w:rPr>
                              <w:t>7</w:t>
                            </w:r>
                          </w:p>
                        </w:txbxContent>
                      </wps:txbx>
                      <wps:bodyPr lIns="0" tIns="0" rIns="0" bIns="0">
                        <a:noAutoFit/>
                      </wps:bodyPr>
                    </wps:wsp>
                  </a:graphicData>
                </a:graphic>
              </wp:anchor>
            </w:drawing>
          </mc:Choice>
          <mc:Fallback>
            <w:pict>
              <v:shape id="_x0000_s1039" type="#_x0000_t202" style="position:absolute;margin-left:128.94999999999999pt;margin-top:80.pt;width:372.94999999999999pt;height:18.25pt;z-index:251657729;mso-wrap-distance-left:0;mso-wrap-distance-right:0;mso-position-horizontal-relative:page" filled="f" stroked="f">
                <v:textbox inset="0,0,0,0">
                  <w:txbxContent>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u w:val="none"/>
                          <w:shd w:val="clear" w:color="auto" w:fill="auto"/>
                          <w:lang w:val="en-US" w:eastAsia="en-US" w:bidi="en-US"/>
                        </w:rPr>
                        <w:t>Tab. 2 Expirarea termenului de exploatare a vagoanelor de marfa</w:t>
                      </w:r>
                      <w:r>
                        <w:rPr>
                          <w:color w:val="000000"/>
                          <w:spacing w:val="0"/>
                          <w:w w:val="100"/>
                          <w:position w:val="0"/>
                          <w:sz w:val="28"/>
                          <w:szCs w:val="28"/>
                          <w:u w:val="none"/>
                          <w:shd w:val="clear" w:color="auto" w:fill="auto"/>
                          <w:vertAlign w:val="superscript"/>
                          <w:lang w:val="en-US" w:eastAsia="en-US" w:bidi="en-US"/>
                        </w:rPr>
                        <w:t>7</w:t>
                      </w:r>
                    </w:p>
                  </w:txbxContent>
                </v:textbox>
                <w10:wrap anchorx="page"/>
              </v:shape>
            </w:pict>
          </mc:Fallback>
        </mc:AlternateContent>
      </w:r>
      <w:r>
        <w:rPr>
          <w:color w:val="000000"/>
          <w:spacing w:val="0"/>
          <w:w w:val="100"/>
          <w:position w:val="0"/>
          <w:shd w:val="clear" w:color="auto" w:fill="auto"/>
          <w:lang w:val="en-US" w:eastAsia="en-US" w:bidi="en-US"/>
        </w:rPr>
        <w:t>La inceputul anului 2018, dintr-un total de 5582 de vagoane, termenul de exploatare era expirat la 2029 de vagoane, ceea ce reprezinta 36% din parcul de inventar. In perioada anilor 2018-2024 va expira termenul de exploatare pentru celelalte 3487 vagoane. Astfel, numarul de vagoane cu termenul de exploatare valabil in anul 2025 va fi redus pana la 0 unitati (Tab. 2).</w:t>
      </w:r>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en-US" w:eastAsia="en-US" w:bidi="en-US"/>
        </w:rPr>
        <w:t>Pentru a prelungi termenul de exploatare a parcului de vagoane marfare, I.S. „CFM” urmeaza sa efectueze reparatii capitale cu prelungirea termenului de exploatare a vagoanelor marfare, suplimentar la reparatii curente §i capitale care sunt efectuate la depouri. Fara reinnoirea parcului de vagoane de marfa, transportul de marfuri este amenintat din cauza reducerii numarului de material rulant ce poate fi utilizat in procesul tehnologic.</w:t>
      </w:r>
    </w:p>
    <w:p>
      <w:pPr>
        <w:pStyle w:val="Style15"/>
        <w:keepNext/>
        <w:keepLines/>
        <w:widowControl w:val="0"/>
        <w:numPr>
          <w:ilvl w:val="0"/>
          <w:numId w:val="11"/>
        </w:numPr>
        <w:shd w:val="clear" w:color="auto" w:fill="auto"/>
        <w:tabs>
          <w:tab w:pos="911" w:val="left"/>
        </w:tabs>
        <w:bidi w:val="0"/>
        <w:spacing w:before="0" w:after="0" w:line="240" w:lineRule="auto"/>
        <w:ind w:left="0" w:right="0" w:firstLine="560"/>
        <w:jc w:val="both"/>
      </w:pPr>
      <w:bookmarkStart w:id="24" w:name="bookmark24"/>
      <w:bookmarkStart w:id="25" w:name="bookmark25"/>
      <w:r>
        <w:rPr>
          <w:color w:val="000000"/>
          <w:spacing w:val="0"/>
          <w:w w:val="100"/>
          <w:position w:val="0"/>
          <w:shd w:val="clear" w:color="auto" w:fill="auto"/>
          <w:lang w:val="en-US" w:eastAsia="en-US" w:bidi="en-US"/>
        </w:rPr>
        <w:t>Vagoane pasageri</w:t>
      </w:r>
      <w:bookmarkEnd w:id="24"/>
      <w:bookmarkEnd w:id="25"/>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en-US" w:eastAsia="en-US" w:bidi="en-US"/>
        </w:rPr>
        <w:t>In prezent I.S. „CFM” a sistat circulatia trenurilor de pasageri de pe rutele internationale in legatura cu pandemia COVID-19, insa acesta nu este unicul motiv care a determinat administratia I.S. „CFM” sa recurga la aceasta masura. Conform datelor privind termenul de exploatare a vagoanelor de pasageri, in prezent sunt in total 92 de vagoane de pasageri care pot fi exploatate (Tabel nr. 3)</w:t>
      </w:r>
      <w:r>
        <w:rPr>
          <w:color w:val="000000"/>
          <w:spacing w:val="0"/>
          <w:w w:val="100"/>
          <w:position w:val="0"/>
          <w:shd w:val="clear" w:color="auto" w:fill="auto"/>
          <w:vertAlign w:val="superscript"/>
          <w:lang w:val="en-US" w:eastAsia="en-US" w:bidi="en-US"/>
        </w:rPr>
        <w:footnoteReference w:id="9"/>
      </w:r>
      <w:r>
        <w:rPr>
          <w:color w:val="000000"/>
          <w:spacing w:val="0"/>
          <w:w w:val="100"/>
          <w:position w:val="0"/>
          <w:shd w:val="clear" w:color="auto" w:fill="auto"/>
          <w:lang w:val="en-US" w:eastAsia="en-US" w:bidi="en-US"/>
        </w:rPr>
        <w:t>.</w:t>
      </w:r>
    </w:p>
    <w:p>
      <w:pPr>
        <w:pStyle w:val="Style17"/>
        <w:keepNext w:val="0"/>
        <w:keepLines w:val="0"/>
        <w:widowControl w:val="0"/>
        <w:shd w:val="clear" w:color="auto" w:fill="auto"/>
        <w:bidi w:val="0"/>
        <w:spacing w:before="0" w:after="0" w:line="240" w:lineRule="auto"/>
        <w:ind w:left="0" w:right="0" w:firstLine="560"/>
        <w:jc w:val="both"/>
        <w:sectPr>
          <w:headerReference w:type="default" r:id="rId12"/>
          <w:footerReference w:type="default" r:id="rId13"/>
          <w:footnotePr>
            <w:pos w:val="pageBottom"/>
            <w:numFmt w:val="decimal"/>
            <w:numStart w:val="1"/>
            <w:numRestart w:val="continuous"/>
            <w15:footnoteColumns w:val="1"/>
          </w:footnotePr>
          <w:pgSz w:w="11900" w:h="16840"/>
          <w:pgMar w:top="540" w:left="1225" w:right="513" w:bottom="812" w:header="112" w:footer="3" w:gutter="0"/>
          <w:pgNumType w:start="2"/>
          <w:cols w:space="720"/>
          <w:noEndnote/>
          <w:rtlGutter w:val="0"/>
          <w:docGrid w:linePitch="360"/>
        </w:sectPr>
      </w:pPr>
      <w:r>
        <w:rPr>
          <w:color w:val="000000"/>
          <w:spacing w:val="0"/>
          <w:w w:val="100"/>
          <w:position w:val="0"/>
          <w:shd w:val="clear" w:color="auto" w:fill="auto"/>
          <w:lang w:val="en-US" w:eastAsia="en-US" w:bidi="en-US"/>
        </w:rPr>
        <w:t>Astfel, reiesind din datele prezentate I.S. „CFM” incepand cu anul acesta intreprinderea intra treptat in incapacitate tehnica de a deservi rutele internationale.</w:t>
      </w:r>
    </w:p>
    <w:tbl>
      <w:tblPr>
        <w:tblOverlap w:val="never"/>
        <w:jc w:val="left"/>
        <w:tblLayout w:type="fixed"/>
      </w:tblPr>
      <w:tblGrid>
        <w:gridCol w:w="2280"/>
        <w:gridCol w:w="691"/>
        <w:gridCol w:w="701"/>
        <w:gridCol w:w="696"/>
        <w:gridCol w:w="739"/>
        <w:gridCol w:w="706"/>
        <w:gridCol w:w="696"/>
        <w:gridCol w:w="691"/>
        <w:gridCol w:w="701"/>
        <w:gridCol w:w="696"/>
        <w:gridCol w:w="706"/>
      </w:tblGrid>
      <w:tr>
        <w:trPr>
          <w:trHeight w:val="293" w:hRule="exact"/>
        </w:trPr>
        <w:tc>
          <w:tcPr>
            <w:tcBorders/>
            <w:shd w:val="clear" w:color="auto" w:fill="FFFFFF"/>
            <w:vAlign w:val="top"/>
          </w:tcPr>
          <w:p>
            <w:pPr>
              <w:pStyle w:val="Style9"/>
              <w:keepNext w:val="0"/>
              <w:keepLines w:val="0"/>
              <w:widowControl w:val="0"/>
              <w:shd w:val="clear" w:color="auto" w:fill="auto"/>
              <w:bidi w:val="0"/>
              <w:spacing w:before="0" w:after="0" w:line="240" w:lineRule="auto"/>
              <w:ind w:left="0" w:right="0" w:firstLine="520"/>
              <w:jc w:val="left"/>
            </w:pPr>
            <w:r>
              <w:rPr>
                <w:color w:val="000000"/>
                <w:spacing w:val="0"/>
                <w:w w:val="100"/>
                <w:position w:val="0"/>
                <w:shd w:val="clear" w:color="auto" w:fill="auto"/>
                <w:lang w:val="en-US" w:eastAsia="en-US" w:bidi="en-US"/>
              </w:rPr>
              <w:t>Tab. 3 Numaru</w:t>
            </w:r>
          </w:p>
        </w:tc>
        <w:tc>
          <w:tcPr>
            <w:gridSpan w:val="7"/>
            <w:tcBorders>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de vagoane cu termen de exploatare valabil</w:t>
            </w:r>
          </w:p>
        </w:tc>
        <w:tc>
          <w:tcPr>
            <w:gridSpan w:val="3"/>
            <w:tcBorders>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pe ani.</w:t>
            </w:r>
          </w:p>
        </w:tc>
      </w:tr>
      <w:tr>
        <w:trPr>
          <w:trHeight w:val="264" w:hRule="exact"/>
        </w:trPr>
        <w:tc>
          <w:tcPr>
            <w:tcBorders>
              <w:top w:val="single" w:sz="4"/>
              <w:left w:val="single" w:sz="4"/>
            </w:tcBorders>
            <w:shd w:val="clear" w:color="auto" w:fill="B3C6E6"/>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Tip Vagon Pasageri</w:t>
            </w:r>
          </w:p>
        </w:tc>
        <w:tc>
          <w:tcPr>
            <w:tcBorders>
              <w:top w:val="single" w:sz="4"/>
              <w:left w:val="single" w:sz="4"/>
            </w:tcBorders>
            <w:shd w:val="clear" w:color="auto" w:fill="B3C6E6"/>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2021</w:t>
            </w:r>
          </w:p>
        </w:tc>
        <w:tc>
          <w:tcPr>
            <w:tcBorders>
              <w:top w:val="single" w:sz="4"/>
              <w:left w:val="single" w:sz="4"/>
            </w:tcBorders>
            <w:shd w:val="clear" w:color="auto" w:fill="B3C6E6"/>
            <w:vAlign w:val="bottom"/>
          </w:tcPr>
          <w:p>
            <w:pPr>
              <w:pStyle w:val="Style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2022</w:t>
            </w:r>
          </w:p>
        </w:tc>
        <w:tc>
          <w:tcPr>
            <w:tcBorders>
              <w:top w:val="single" w:sz="4"/>
              <w:left w:val="single" w:sz="4"/>
            </w:tcBorders>
            <w:shd w:val="clear" w:color="auto" w:fill="B3C6E6"/>
            <w:vAlign w:val="bottom"/>
          </w:tcPr>
          <w:p>
            <w:pPr>
              <w:pStyle w:val="Style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2023</w:t>
            </w:r>
          </w:p>
        </w:tc>
        <w:tc>
          <w:tcPr>
            <w:tcBorders>
              <w:top w:val="single" w:sz="4"/>
              <w:left w:val="single" w:sz="4"/>
            </w:tcBorders>
            <w:shd w:val="clear" w:color="auto" w:fill="B3C6E6"/>
            <w:vAlign w:val="bottom"/>
          </w:tcPr>
          <w:p>
            <w:pPr>
              <w:pStyle w:val="Style9"/>
              <w:keepNext w:val="0"/>
              <w:keepLines w:val="0"/>
              <w:widowControl w:val="0"/>
              <w:shd w:val="clear" w:color="auto" w:fill="auto"/>
              <w:bidi w:val="0"/>
              <w:spacing w:before="0" w:after="0" w:line="240" w:lineRule="auto"/>
              <w:ind w:left="0" w:right="0" w:firstLine="0"/>
              <w:jc w:val="right"/>
              <w:rPr>
                <w:sz w:val="22"/>
                <w:szCs w:val="22"/>
              </w:rPr>
            </w:pPr>
            <w:r>
              <w:rPr>
                <w:b/>
                <w:bCs/>
                <w:color w:val="000000"/>
                <w:spacing w:val="0"/>
                <w:w w:val="100"/>
                <w:position w:val="0"/>
                <w:sz w:val="22"/>
                <w:szCs w:val="22"/>
                <w:shd w:val="clear" w:color="auto" w:fill="auto"/>
                <w:lang w:val="en-US" w:eastAsia="en-US" w:bidi="en-US"/>
              </w:rPr>
              <w:t>2024</w:t>
            </w:r>
          </w:p>
        </w:tc>
        <w:tc>
          <w:tcPr>
            <w:tcBorders>
              <w:top w:val="single" w:sz="4"/>
              <w:left w:val="single" w:sz="4"/>
            </w:tcBorders>
            <w:shd w:val="clear" w:color="auto" w:fill="B3C6E6"/>
            <w:vAlign w:val="bottom"/>
          </w:tcPr>
          <w:p>
            <w:pPr>
              <w:pStyle w:val="Style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2025</w:t>
            </w:r>
          </w:p>
        </w:tc>
        <w:tc>
          <w:tcPr>
            <w:tcBorders>
              <w:top w:val="single" w:sz="4"/>
              <w:left w:val="single" w:sz="4"/>
            </w:tcBorders>
            <w:shd w:val="clear" w:color="auto" w:fill="B3C6E6"/>
            <w:vAlign w:val="bottom"/>
          </w:tcPr>
          <w:p>
            <w:pPr>
              <w:pStyle w:val="Style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2026</w:t>
            </w:r>
          </w:p>
        </w:tc>
        <w:tc>
          <w:tcPr>
            <w:tcBorders>
              <w:top w:val="single" w:sz="4"/>
              <w:left w:val="single" w:sz="4"/>
            </w:tcBorders>
            <w:shd w:val="clear" w:color="auto" w:fill="B3C6E6"/>
            <w:vAlign w:val="bottom"/>
          </w:tcPr>
          <w:p>
            <w:pPr>
              <w:pStyle w:val="Style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2027</w:t>
            </w:r>
          </w:p>
        </w:tc>
        <w:tc>
          <w:tcPr>
            <w:tcBorders>
              <w:top w:val="single" w:sz="4"/>
              <w:left w:val="single" w:sz="4"/>
            </w:tcBorders>
            <w:shd w:val="clear" w:color="auto" w:fill="B3C6E6"/>
            <w:vAlign w:val="bottom"/>
          </w:tcPr>
          <w:p>
            <w:pPr>
              <w:pStyle w:val="Style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2028</w:t>
            </w:r>
          </w:p>
        </w:tc>
        <w:tc>
          <w:tcPr>
            <w:tcBorders>
              <w:top w:val="single" w:sz="4"/>
              <w:left w:val="single" w:sz="4"/>
            </w:tcBorders>
            <w:shd w:val="clear" w:color="auto" w:fill="B3C6E6"/>
            <w:vAlign w:val="bottom"/>
          </w:tcPr>
          <w:p>
            <w:pPr>
              <w:pStyle w:val="Style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2029</w:t>
            </w:r>
          </w:p>
        </w:tc>
        <w:tc>
          <w:tcPr>
            <w:tcBorders>
              <w:top w:val="single" w:sz="4"/>
              <w:left w:val="single" w:sz="4"/>
              <w:right w:val="single" w:sz="4"/>
            </w:tcBorders>
            <w:shd w:val="clear" w:color="auto" w:fill="B3C6E6"/>
            <w:vAlign w:val="bottom"/>
          </w:tcPr>
          <w:p>
            <w:pPr>
              <w:pStyle w:val="Style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2030</w:t>
            </w:r>
          </w:p>
        </w:tc>
      </w:tr>
      <w:tr>
        <w:trPr>
          <w:trHeight w:val="264" w:hRule="exact"/>
        </w:trPr>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Restaurant</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500"/>
              <w:jc w:val="left"/>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64"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 xml:space="preserve">Compartimentat </w:t>
            </w:r>
            <w:r>
              <w:rPr>
                <w:color w:val="000000"/>
                <w:spacing w:val="0"/>
                <w:w w:val="100"/>
                <w:position w:val="0"/>
                <w:sz w:val="22"/>
                <w:szCs w:val="22"/>
                <w:shd w:val="clear" w:color="auto" w:fill="auto"/>
                <w:lang w:val="ru-RU" w:eastAsia="ru-RU" w:bidi="ru-RU"/>
              </w:rPr>
              <w:t>(купэ)</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21</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340"/>
              <w:jc w:val="left"/>
              <w:rPr>
                <w:sz w:val="22"/>
                <w:szCs w:val="22"/>
              </w:rPr>
            </w:pPr>
            <w:r>
              <w:rPr>
                <w:color w:val="000000"/>
                <w:spacing w:val="0"/>
                <w:w w:val="100"/>
                <w:position w:val="0"/>
                <w:sz w:val="22"/>
                <w:szCs w:val="22"/>
                <w:shd w:val="clear" w:color="auto" w:fill="auto"/>
                <w:lang w:val="en-US" w:eastAsia="en-US" w:bidi="en-US"/>
              </w:rPr>
              <w:t>21</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20</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4</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3</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514"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 xml:space="preserve">Clasa Econom </w:t>
            </w:r>
            <w:r>
              <w:rPr>
                <w:color w:val="000000"/>
                <w:spacing w:val="0"/>
                <w:w w:val="100"/>
                <w:position w:val="0"/>
                <w:sz w:val="22"/>
                <w:szCs w:val="22"/>
                <w:shd w:val="clear" w:color="auto" w:fill="auto"/>
                <w:lang w:val="ru-RU" w:eastAsia="ru-RU" w:bidi="ru-RU"/>
              </w:rPr>
              <w:t>(Плацкартный)</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70</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340"/>
              <w:jc w:val="left"/>
              <w:rPr>
                <w:sz w:val="22"/>
                <w:szCs w:val="22"/>
              </w:rPr>
            </w:pPr>
            <w:r>
              <w:rPr>
                <w:color w:val="000000"/>
                <w:spacing w:val="0"/>
                <w:w w:val="100"/>
                <w:position w:val="0"/>
                <w:sz w:val="22"/>
                <w:szCs w:val="22"/>
                <w:shd w:val="clear" w:color="auto" w:fill="auto"/>
                <w:lang w:val="en-US" w:eastAsia="en-US" w:bidi="en-US"/>
              </w:rPr>
              <w:t>60</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en-US" w:eastAsia="en-US" w:bidi="en-US"/>
              </w:rPr>
              <w:t>45</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jc w:val="left"/>
              <w:rPr>
                <w:sz w:val="22"/>
                <w:szCs w:val="22"/>
              </w:rPr>
            </w:pPr>
            <w:r>
              <w:rPr>
                <w:color w:val="000000"/>
                <w:spacing w:val="0"/>
                <w:w w:val="100"/>
                <w:position w:val="0"/>
                <w:sz w:val="22"/>
                <w:szCs w:val="22"/>
                <w:shd w:val="clear" w:color="auto" w:fill="auto"/>
                <w:lang w:val="en-US" w:eastAsia="en-US" w:bidi="en-US"/>
              </w:rPr>
              <w:t>35</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23</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19</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19</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18</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18</w:t>
            </w:r>
          </w:p>
        </w:tc>
        <w:tc>
          <w:tcPr>
            <w:tcBorders>
              <w:top w:val="single" w:sz="4"/>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en-US" w:eastAsia="en-US" w:bidi="en-US"/>
              </w:rPr>
              <w:t>18</w:t>
            </w:r>
          </w:p>
        </w:tc>
      </w:tr>
      <w:tr>
        <w:trPr>
          <w:trHeight w:val="274" w:hRule="exact"/>
        </w:trPr>
        <w:tc>
          <w:tcPr>
            <w:tcBorders>
              <w:top w:val="single" w:sz="4"/>
              <w:left w:val="single" w:sz="4"/>
              <w:bottom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Total</w:t>
            </w:r>
          </w:p>
        </w:tc>
        <w:tc>
          <w:tcPr>
            <w:tcBorders>
              <w:top w:val="single" w:sz="4"/>
              <w:left w:val="single" w:sz="4"/>
              <w:bottom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340"/>
              <w:jc w:val="left"/>
              <w:rPr>
                <w:sz w:val="22"/>
                <w:szCs w:val="22"/>
              </w:rPr>
            </w:pPr>
            <w:r>
              <w:rPr>
                <w:b/>
                <w:bCs/>
                <w:color w:val="000000"/>
                <w:spacing w:val="0"/>
                <w:w w:val="100"/>
                <w:position w:val="0"/>
                <w:sz w:val="22"/>
                <w:szCs w:val="22"/>
                <w:shd w:val="clear" w:color="auto" w:fill="auto"/>
                <w:lang w:val="en-US" w:eastAsia="en-US" w:bidi="en-US"/>
              </w:rPr>
              <w:t>92</w:t>
            </w:r>
          </w:p>
        </w:tc>
        <w:tc>
          <w:tcPr>
            <w:tcBorders>
              <w:top w:val="single" w:sz="4"/>
              <w:left w:val="single" w:sz="4"/>
              <w:bottom w:val="single" w:sz="4"/>
            </w:tcBorders>
            <w:shd w:val="clear" w:color="auto" w:fill="B3C6E6"/>
            <w:vAlign w:val="bottom"/>
          </w:tcPr>
          <w:p>
            <w:pPr>
              <w:pStyle w:val="Style9"/>
              <w:keepNext w:val="0"/>
              <w:keepLines w:val="0"/>
              <w:widowControl w:val="0"/>
              <w:shd w:val="clear" w:color="auto" w:fill="auto"/>
              <w:bidi w:val="0"/>
              <w:spacing w:before="0" w:after="0" w:line="240" w:lineRule="auto"/>
              <w:ind w:left="0" w:right="0" w:firstLine="340"/>
              <w:jc w:val="left"/>
              <w:rPr>
                <w:sz w:val="22"/>
                <w:szCs w:val="22"/>
              </w:rPr>
            </w:pPr>
            <w:r>
              <w:rPr>
                <w:b/>
                <w:bCs/>
                <w:color w:val="000000"/>
                <w:spacing w:val="0"/>
                <w:w w:val="100"/>
                <w:position w:val="0"/>
                <w:sz w:val="22"/>
                <w:szCs w:val="22"/>
                <w:shd w:val="clear" w:color="auto" w:fill="auto"/>
                <w:lang w:val="en-US" w:eastAsia="en-US" w:bidi="en-US"/>
              </w:rPr>
              <w:t>82</w:t>
            </w:r>
          </w:p>
        </w:tc>
        <w:tc>
          <w:tcPr>
            <w:tcBorders>
              <w:top w:val="single" w:sz="4"/>
              <w:left w:val="single" w:sz="4"/>
              <w:bottom w:val="single" w:sz="4"/>
            </w:tcBorders>
            <w:shd w:val="clear" w:color="auto" w:fill="B3C6E6"/>
            <w:vAlign w:val="bottom"/>
          </w:tcPr>
          <w:p>
            <w:pPr>
              <w:pStyle w:val="Style9"/>
              <w:keepNext w:val="0"/>
              <w:keepLines w:val="0"/>
              <w:widowControl w:val="0"/>
              <w:shd w:val="clear" w:color="auto" w:fill="auto"/>
              <w:bidi w:val="0"/>
              <w:spacing w:before="0" w:after="0" w:line="240" w:lineRule="auto"/>
              <w:ind w:left="0" w:right="0" w:firstLine="0"/>
              <w:jc w:val="right"/>
              <w:rPr>
                <w:sz w:val="22"/>
                <w:szCs w:val="22"/>
              </w:rPr>
            </w:pPr>
            <w:r>
              <w:rPr>
                <w:b/>
                <w:bCs/>
                <w:color w:val="000000"/>
                <w:spacing w:val="0"/>
                <w:w w:val="100"/>
                <w:position w:val="0"/>
                <w:sz w:val="22"/>
                <w:szCs w:val="22"/>
                <w:shd w:val="clear" w:color="auto" w:fill="auto"/>
                <w:lang w:val="en-US" w:eastAsia="en-US" w:bidi="en-US"/>
              </w:rPr>
              <w:t>66</w:t>
            </w:r>
          </w:p>
        </w:tc>
        <w:tc>
          <w:tcPr>
            <w:tcBorders>
              <w:top w:val="single" w:sz="4"/>
              <w:left w:val="single" w:sz="4"/>
              <w:bottom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right"/>
              <w:rPr>
                <w:sz w:val="22"/>
                <w:szCs w:val="22"/>
              </w:rPr>
            </w:pPr>
            <w:r>
              <w:rPr>
                <w:b/>
                <w:bCs/>
                <w:color w:val="000000"/>
                <w:spacing w:val="0"/>
                <w:w w:val="100"/>
                <w:position w:val="0"/>
                <w:sz w:val="22"/>
                <w:szCs w:val="22"/>
                <w:shd w:val="clear" w:color="auto" w:fill="auto"/>
                <w:lang w:val="en-US" w:eastAsia="en-US" w:bidi="en-US"/>
              </w:rPr>
              <w:t>40</w:t>
            </w:r>
          </w:p>
        </w:tc>
        <w:tc>
          <w:tcPr>
            <w:tcBorders>
              <w:top w:val="single" w:sz="4"/>
              <w:left w:val="single" w:sz="4"/>
              <w:bottom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right"/>
              <w:rPr>
                <w:sz w:val="22"/>
                <w:szCs w:val="22"/>
              </w:rPr>
            </w:pPr>
            <w:r>
              <w:rPr>
                <w:b/>
                <w:bCs/>
                <w:color w:val="000000"/>
                <w:spacing w:val="0"/>
                <w:w w:val="100"/>
                <w:position w:val="0"/>
                <w:sz w:val="22"/>
                <w:szCs w:val="22"/>
                <w:shd w:val="clear" w:color="auto" w:fill="auto"/>
                <w:lang w:val="en-US" w:eastAsia="en-US" w:bidi="en-US"/>
              </w:rPr>
              <w:t>27</w:t>
            </w:r>
          </w:p>
        </w:tc>
        <w:tc>
          <w:tcPr>
            <w:tcBorders>
              <w:top w:val="single" w:sz="4"/>
              <w:left w:val="single" w:sz="4"/>
              <w:bottom w:val="single" w:sz="4"/>
            </w:tcBorders>
            <w:shd w:val="clear" w:color="auto" w:fill="B3C6E6"/>
            <w:vAlign w:val="bottom"/>
          </w:tcPr>
          <w:p>
            <w:pPr>
              <w:pStyle w:val="Style9"/>
              <w:keepNext w:val="0"/>
              <w:keepLines w:val="0"/>
              <w:widowControl w:val="0"/>
              <w:shd w:val="clear" w:color="auto" w:fill="auto"/>
              <w:bidi w:val="0"/>
              <w:spacing w:before="0" w:after="0" w:line="240" w:lineRule="auto"/>
              <w:ind w:left="0" w:right="0" w:firstLine="0"/>
              <w:jc w:val="right"/>
              <w:rPr>
                <w:sz w:val="22"/>
                <w:szCs w:val="22"/>
              </w:rPr>
            </w:pPr>
            <w:r>
              <w:rPr>
                <w:b/>
                <w:bCs/>
                <w:color w:val="000000"/>
                <w:spacing w:val="0"/>
                <w:w w:val="100"/>
                <w:position w:val="0"/>
                <w:sz w:val="22"/>
                <w:szCs w:val="22"/>
                <w:shd w:val="clear" w:color="auto" w:fill="auto"/>
                <w:lang w:val="en-US" w:eastAsia="en-US" w:bidi="en-US"/>
              </w:rPr>
              <w:t>20</w:t>
            </w:r>
          </w:p>
        </w:tc>
        <w:tc>
          <w:tcPr>
            <w:tcBorders>
              <w:top w:val="single" w:sz="4"/>
              <w:left w:val="single" w:sz="4"/>
              <w:bottom w:val="single" w:sz="4"/>
            </w:tcBorders>
            <w:shd w:val="clear" w:color="auto" w:fill="B3C6E6"/>
            <w:vAlign w:val="bottom"/>
          </w:tcPr>
          <w:p>
            <w:pPr>
              <w:pStyle w:val="Style9"/>
              <w:keepNext w:val="0"/>
              <w:keepLines w:val="0"/>
              <w:widowControl w:val="0"/>
              <w:shd w:val="clear" w:color="auto" w:fill="auto"/>
              <w:bidi w:val="0"/>
              <w:spacing w:before="0" w:after="0" w:line="240" w:lineRule="auto"/>
              <w:ind w:left="0" w:right="0" w:firstLine="0"/>
              <w:jc w:val="right"/>
              <w:rPr>
                <w:sz w:val="22"/>
                <w:szCs w:val="22"/>
              </w:rPr>
            </w:pPr>
            <w:r>
              <w:rPr>
                <w:b/>
                <w:bCs/>
                <w:color w:val="000000"/>
                <w:spacing w:val="0"/>
                <w:w w:val="100"/>
                <w:position w:val="0"/>
                <w:sz w:val="22"/>
                <w:szCs w:val="22"/>
                <w:shd w:val="clear" w:color="auto" w:fill="auto"/>
                <w:lang w:val="en-US" w:eastAsia="en-US" w:bidi="en-US"/>
              </w:rPr>
              <w:t>20</w:t>
            </w:r>
          </w:p>
        </w:tc>
        <w:tc>
          <w:tcPr>
            <w:tcBorders>
              <w:top w:val="single" w:sz="4"/>
              <w:left w:val="single" w:sz="4"/>
              <w:bottom w:val="single" w:sz="4"/>
            </w:tcBorders>
            <w:shd w:val="clear" w:color="auto" w:fill="B3C6E6"/>
            <w:vAlign w:val="bottom"/>
          </w:tcPr>
          <w:p>
            <w:pPr>
              <w:pStyle w:val="Style9"/>
              <w:keepNext w:val="0"/>
              <w:keepLines w:val="0"/>
              <w:widowControl w:val="0"/>
              <w:shd w:val="clear" w:color="auto" w:fill="auto"/>
              <w:bidi w:val="0"/>
              <w:spacing w:before="0" w:after="0" w:line="240" w:lineRule="auto"/>
              <w:ind w:left="0" w:right="0" w:firstLine="0"/>
              <w:jc w:val="right"/>
              <w:rPr>
                <w:sz w:val="22"/>
                <w:szCs w:val="22"/>
              </w:rPr>
            </w:pPr>
            <w:r>
              <w:rPr>
                <w:b/>
                <w:bCs/>
                <w:color w:val="000000"/>
                <w:spacing w:val="0"/>
                <w:w w:val="100"/>
                <w:position w:val="0"/>
                <w:sz w:val="22"/>
                <w:szCs w:val="22"/>
                <w:shd w:val="clear" w:color="auto" w:fill="auto"/>
                <w:lang w:val="en-US" w:eastAsia="en-US" w:bidi="en-US"/>
              </w:rPr>
              <w:t>18</w:t>
            </w:r>
          </w:p>
        </w:tc>
        <w:tc>
          <w:tcPr>
            <w:tcBorders>
              <w:top w:val="single" w:sz="4"/>
              <w:left w:val="single" w:sz="4"/>
              <w:bottom w:val="single" w:sz="4"/>
            </w:tcBorders>
            <w:shd w:val="clear" w:color="auto" w:fill="B3C6E6"/>
            <w:vAlign w:val="bottom"/>
          </w:tcPr>
          <w:p>
            <w:pPr>
              <w:pStyle w:val="Style9"/>
              <w:keepNext w:val="0"/>
              <w:keepLines w:val="0"/>
              <w:widowControl w:val="0"/>
              <w:shd w:val="clear" w:color="auto" w:fill="auto"/>
              <w:bidi w:val="0"/>
              <w:spacing w:before="0" w:after="0" w:line="240" w:lineRule="auto"/>
              <w:ind w:left="0" w:right="0" w:firstLine="0"/>
              <w:jc w:val="right"/>
              <w:rPr>
                <w:sz w:val="22"/>
                <w:szCs w:val="22"/>
              </w:rPr>
            </w:pPr>
            <w:r>
              <w:rPr>
                <w:b/>
                <w:bCs/>
                <w:color w:val="000000"/>
                <w:spacing w:val="0"/>
                <w:w w:val="100"/>
                <w:position w:val="0"/>
                <w:sz w:val="22"/>
                <w:szCs w:val="22"/>
                <w:shd w:val="clear" w:color="auto" w:fill="auto"/>
                <w:lang w:val="en-US" w:eastAsia="en-US" w:bidi="en-US"/>
              </w:rPr>
              <w:t>18</w:t>
            </w:r>
          </w:p>
        </w:tc>
        <w:tc>
          <w:tcPr>
            <w:tcBorders>
              <w:top w:val="single" w:sz="4"/>
              <w:left w:val="single" w:sz="4"/>
              <w:bottom w:val="single" w:sz="4"/>
              <w:right w:val="single" w:sz="4"/>
            </w:tcBorders>
            <w:shd w:val="clear" w:color="auto" w:fill="B3C6E6"/>
            <w:vAlign w:val="bottom"/>
          </w:tcPr>
          <w:p>
            <w:pPr>
              <w:pStyle w:val="Style9"/>
              <w:keepNext w:val="0"/>
              <w:keepLines w:val="0"/>
              <w:widowControl w:val="0"/>
              <w:shd w:val="clear" w:color="auto" w:fill="auto"/>
              <w:bidi w:val="0"/>
              <w:spacing w:before="0" w:after="0" w:line="240" w:lineRule="auto"/>
              <w:ind w:left="0" w:right="0" w:firstLine="0"/>
              <w:jc w:val="right"/>
              <w:rPr>
                <w:sz w:val="22"/>
                <w:szCs w:val="22"/>
              </w:rPr>
            </w:pPr>
            <w:r>
              <w:rPr>
                <w:b/>
                <w:bCs/>
                <w:color w:val="000000"/>
                <w:spacing w:val="0"/>
                <w:w w:val="100"/>
                <w:position w:val="0"/>
                <w:sz w:val="22"/>
                <w:szCs w:val="22"/>
                <w:shd w:val="clear" w:color="auto" w:fill="auto"/>
                <w:lang w:val="en-US" w:eastAsia="en-US" w:bidi="en-US"/>
              </w:rPr>
              <w:t>18</w:t>
            </w:r>
          </w:p>
        </w:tc>
      </w:tr>
    </w:tbl>
    <w:p>
      <w:pPr>
        <w:pStyle w:val="Style15"/>
        <w:keepNext/>
        <w:keepLines/>
        <w:widowControl w:val="0"/>
        <w:numPr>
          <w:ilvl w:val="0"/>
          <w:numId w:val="9"/>
        </w:numPr>
        <w:shd w:val="clear" w:color="auto" w:fill="auto"/>
        <w:tabs>
          <w:tab w:pos="1163" w:val="left"/>
        </w:tabs>
        <w:bidi w:val="0"/>
        <w:spacing w:before="0" w:after="0" w:line="240" w:lineRule="auto"/>
        <w:ind w:left="0" w:right="0" w:firstLine="740"/>
        <w:jc w:val="both"/>
      </w:pPr>
      <w:bookmarkStart w:id="26" w:name="bookmark26"/>
      <w:bookmarkStart w:id="27" w:name="bookmark27"/>
      <w:r>
        <w:rPr>
          <w:color w:val="000000"/>
          <w:spacing w:val="0"/>
          <w:w w:val="100"/>
          <w:position w:val="0"/>
          <w:shd w:val="clear" w:color="auto" w:fill="auto"/>
          <w:lang w:val="en-US" w:eastAsia="en-US" w:bidi="en-US"/>
        </w:rPr>
        <w:t>Componenta economico-financiara</w:t>
      </w:r>
      <w:bookmarkEnd w:id="26"/>
      <w:bookmarkEnd w:id="27"/>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en-US" w:eastAsia="en-US" w:bidi="en-US"/>
        </w:rPr>
        <w:t>Intreprinderea de Stat „Calea Ferata din Moldova” este o companie unica, care ocupa o pozitie strategica in sectorul transporturilor din Republica Moldova, cu impact asupra mai multor aspecte ale dezvoltarii socio-economice a tarii.</w:t>
      </w:r>
    </w:p>
    <w:p>
      <w:pPr>
        <w:pStyle w:val="Style17"/>
        <w:keepNext w:val="0"/>
        <w:keepLines w:val="0"/>
        <w:widowControl w:val="0"/>
        <w:shd w:val="clear" w:color="auto" w:fill="auto"/>
        <w:tabs>
          <w:tab w:pos="1186" w:val="left"/>
        </w:tabs>
        <w:bidi w:val="0"/>
        <w:spacing w:before="0" w:after="0" w:line="240" w:lineRule="auto"/>
        <w:ind w:left="0" w:right="0" w:firstLine="660"/>
        <w:jc w:val="both"/>
      </w:pPr>
      <w:r>
        <w:rPr>
          <w:color w:val="000000"/>
          <w:spacing w:val="0"/>
          <w:w w:val="100"/>
          <w:position w:val="0"/>
          <w:shd w:val="clear" w:color="auto" w:fill="auto"/>
          <w:lang w:val="en-US" w:eastAsia="en-US" w:bidi="en-US"/>
        </w:rPr>
        <w:t>I.S.</w:t>
        <w:tab/>
        <w:t>„CFM” fiind unica intreprindere care formeaza sectorul de transport feroviar, pe tot parcursul functionarii sale a concentrat realizarea urmatoarelor tipuri de activitati:</w:t>
      </w:r>
    </w:p>
    <w:p>
      <w:pPr>
        <w:pStyle w:val="Style17"/>
        <w:keepNext w:val="0"/>
        <w:keepLines w:val="0"/>
        <w:widowControl w:val="0"/>
        <w:numPr>
          <w:ilvl w:val="0"/>
          <w:numId w:val="13"/>
        </w:numPr>
        <w:shd w:val="clear" w:color="auto" w:fill="auto"/>
        <w:tabs>
          <w:tab w:pos="1011" w:val="left"/>
        </w:tabs>
        <w:bidi w:val="0"/>
        <w:spacing w:before="0" w:after="0" w:line="240" w:lineRule="auto"/>
        <w:ind w:left="0" w:right="0" w:firstLine="660"/>
        <w:jc w:val="both"/>
      </w:pPr>
      <w:r>
        <w:rPr>
          <w:color w:val="000000"/>
          <w:spacing w:val="0"/>
          <w:w w:val="100"/>
          <w:position w:val="0"/>
          <w:shd w:val="clear" w:color="auto" w:fill="auto"/>
          <w:lang w:val="en-US" w:eastAsia="en-US" w:bidi="en-US"/>
        </w:rPr>
        <w:t>activitati de productie, inclusiv:</w:t>
      </w:r>
    </w:p>
    <w:p>
      <w:pPr>
        <w:pStyle w:val="Style17"/>
        <w:keepNext w:val="0"/>
        <w:keepLines w:val="0"/>
        <w:widowControl w:val="0"/>
        <w:numPr>
          <w:ilvl w:val="0"/>
          <w:numId w:val="3"/>
        </w:numPr>
        <w:shd w:val="clear" w:color="auto" w:fill="auto"/>
        <w:tabs>
          <w:tab w:pos="974" w:val="left"/>
        </w:tabs>
        <w:bidi w:val="0"/>
        <w:spacing w:before="0" w:after="0" w:line="240" w:lineRule="auto"/>
        <w:ind w:left="0" w:right="0" w:firstLine="660"/>
        <w:jc w:val="both"/>
      </w:pPr>
      <w:r>
        <w:rPr>
          <w:color w:val="000000"/>
          <w:spacing w:val="0"/>
          <w:w w:val="100"/>
          <w:position w:val="0"/>
          <w:shd w:val="clear" w:color="auto" w:fill="auto"/>
          <w:lang w:val="en-US" w:eastAsia="en-US" w:bidi="en-US"/>
        </w:rPr>
        <w:t>activitatile de gestionare a infrastructurii;</w:t>
      </w:r>
    </w:p>
    <w:p>
      <w:pPr>
        <w:pStyle w:val="Style17"/>
        <w:keepNext w:val="0"/>
        <w:keepLines w:val="0"/>
        <w:widowControl w:val="0"/>
        <w:numPr>
          <w:ilvl w:val="0"/>
          <w:numId w:val="3"/>
        </w:numPr>
        <w:shd w:val="clear" w:color="auto" w:fill="auto"/>
        <w:tabs>
          <w:tab w:pos="974" w:val="left"/>
        </w:tabs>
        <w:bidi w:val="0"/>
        <w:spacing w:before="0" w:after="0" w:line="240" w:lineRule="auto"/>
        <w:ind w:left="0" w:right="0" w:firstLine="660"/>
        <w:jc w:val="both"/>
      </w:pPr>
      <w:r>
        <w:rPr>
          <w:color w:val="000000"/>
          <w:spacing w:val="0"/>
          <w:w w:val="100"/>
          <w:position w:val="0"/>
          <w:shd w:val="clear" w:color="auto" w:fill="auto"/>
          <w:lang w:val="en-US" w:eastAsia="en-US" w:bidi="en-US"/>
        </w:rPr>
        <w:t>operatiuni de transport de marfa;</w:t>
      </w:r>
    </w:p>
    <w:p>
      <w:pPr>
        <w:pStyle w:val="Style17"/>
        <w:keepNext w:val="0"/>
        <w:keepLines w:val="0"/>
        <w:widowControl w:val="0"/>
        <w:numPr>
          <w:ilvl w:val="0"/>
          <w:numId w:val="3"/>
        </w:numPr>
        <w:shd w:val="clear" w:color="auto" w:fill="auto"/>
        <w:tabs>
          <w:tab w:pos="974" w:val="left"/>
        </w:tabs>
        <w:bidi w:val="0"/>
        <w:spacing w:before="0" w:after="0" w:line="240" w:lineRule="auto"/>
        <w:ind w:left="0" w:right="0" w:firstLine="660"/>
        <w:jc w:val="both"/>
      </w:pPr>
      <w:r>
        <w:rPr>
          <w:color w:val="000000"/>
          <w:spacing w:val="0"/>
          <w:w w:val="100"/>
          <w:position w:val="0"/>
          <w:shd w:val="clear" w:color="auto" w:fill="auto"/>
          <w:lang w:val="en-US" w:eastAsia="en-US" w:bidi="en-US"/>
        </w:rPr>
        <w:t>operatiuni de transport de calatori;</w:t>
      </w:r>
    </w:p>
    <w:p>
      <w:pPr>
        <w:pStyle w:val="Style17"/>
        <w:keepNext w:val="0"/>
        <w:keepLines w:val="0"/>
        <w:widowControl w:val="0"/>
        <w:numPr>
          <w:ilvl w:val="0"/>
          <w:numId w:val="13"/>
        </w:numPr>
        <w:shd w:val="clear" w:color="auto" w:fill="auto"/>
        <w:tabs>
          <w:tab w:pos="1035" w:val="left"/>
        </w:tabs>
        <w:bidi w:val="0"/>
        <w:spacing w:before="0" w:after="0" w:line="240" w:lineRule="auto"/>
        <w:ind w:left="0" w:right="0" w:firstLine="660"/>
        <w:jc w:val="both"/>
      </w:pPr>
      <w:r>
        <w:rPr>
          <w:color w:val="000000"/>
          <w:spacing w:val="0"/>
          <w:w w:val="100"/>
          <w:position w:val="0"/>
          <w:shd w:val="clear" w:color="auto" w:fill="auto"/>
          <w:lang w:val="en-US" w:eastAsia="en-US" w:bidi="en-US"/>
        </w:rPr>
        <w:t>activitati de reglementare: functii de control, inregistrare de stat si reglementare;</w:t>
      </w:r>
    </w:p>
    <w:p>
      <w:pPr>
        <w:pStyle w:val="Style17"/>
        <w:keepNext w:val="0"/>
        <w:keepLines w:val="0"/>
        <w:widowControl w:val="0"/>
        <w:numPr>
          <w:ilvl w:val="0"/>
          <w:numId w:val="13"/>
        </w:numPr>
        <w:shd w:val="clear" w:color="auto" w:fill="auto"/>
        <w:tabs>
          <w:tab w:pos="1014" w:val="left"/>
        </w:tabs>
        <w:bidi w:val="0"/>
        <w:spacing w:before="0" w:after="0" w:line="240" w:lineRule="auto"/>
        <w:ind w:left="0" w:right="0" w:firstLine="660"/>
        <w:jc w:val="both"/>
      </w:pPr>
      <w:r>
        <w:rPr>
          <w:color w:val="000000"/>
          <w:spacing w:val="0"/>
          <w:w w:val="100"/>
          <w:position w:val="0"/>
          <w:shd w:val="clear" w:color="auto" w:fill="auto"/>
          <w:lang w:val="en-US" w:eastAsia="en-US" w:bidi="en-US"/>
        </w:rPr>
        <w:t>activitati de ordin neproductiv cu caracter social: administrarea si intretinerea blocurilor locative, institutiilor sanitare, sociale si culturale.</w:t>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Insuficienta fondurilor proprii si bugetare pentru investitii in dezvoltarea intreprinderii au condus la faptul ca in perioada 2010-2020, veniturile I.S. „CFM” din transporturi au scazut considerabil, fapt care a generat o reducere semnificativa a cotei de piata in favoarea transportului rutier.</w:t>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Conform datelor prezentate in Programul de dezvoltare pentru perioada 2018-2031 (in continuare Program de dezvoltare), in perioada analizata s-a modificat structura transportului de marfuri pe tipuri de transport. Ca urmare a insuficientei de fonduri pentru reabilitarea infrastructurii si reinnoirea materialului rulant, traficul feroviar de marfuri in Moldova a devenit lent si costisitor. In acest sens, a scazut cota de piata a transportului feroviar in favoarea celui rutier, care este mai rapid si mai competitiv.</w:t>
      </w:r>
    </w:p>
    <w:p>
      <w:pPr>
        <w:pStyle w:val="Style32"/>
        <w:keepNext w:val="0"/>
        <w:keepLines w:val="0"/>
        <w:widowControl w:val="0"/>
        <w:shd w:val="clear" w:color="auto" w:fill="auto"/>
        <w:bidi w:val="0"/>
        <w:spacing w:before="0" w:after="0" w:line="240" w:lineRule="auto"/>
        <w:ind w:left="595" w:right="0" w:firstLine="0"/>
        <w:jc w:val="left"/>
        <w:rPr>
          <w:sz w:val="28"/>
          <w:szCs w:val="28"/>
        </w:rPr>
      </w:pPr>
      <w:r>
        <w:rPr>
          <w:color w:val="000000"/>
          <w:spacing w:val="0"/>
          <w:w w:val="100"/>
          <w:position w:val="0"/>
          <w:sz w:val="28"/>
          <w:szCs w:val="28"/>
          <w:u w:val="none"/>
          <w:shd w:val="clear" w:color="auto" w:fill="auto"/>
          <w:lang w:val="en-US" w:eastAsia="en-US" w:bidi="en-US"/>
        </w:rPr>
        <w:t>Tab. 4 Marfuri transportate pe moduri de transport</w:t>
      </w:r>
    </w:p>
    <w:tbl>
      <w:tblPr>
        <w:tblOverlap w:val="never"/>
        <w:jc w:val="center"/>
        <w:tblLayout w:type="fixed"/>
      </w:tblPr>
      <w:tblGrid>
        <w:gridCol w:w="1051"/>
        <w:gridCol w:w="552"/>
        <w:gridCol w:w="557"/>
        <w:gridCol w:w="552"/>
        <w:gridCol w:w="586"/>
        <w:gridCol w:w="557"/>
        <w:gridCol w:w="552"/>
        <w:gridCol w:w="552"/>
        <w:gridCol w:w="557"/>
        <w:gridCol w:w="552"/>
        <w:gridCol w:w="557"/>
        <w:gridCol w:w="552"/>
        <w:gridCol w:w="552"/>
        <w:gridCol w:w="557"/>
        <w:gridCol w:w="552"/>
        <w:gridCol w:w="787"/>
      </w:tblGrid>
      <w:tr>
        <w:trPr>
          <w:trHeight w:val="274" w:hRule="exact"/>
        </w:trPr>
        <w:tc>
          <w:tcPr>
            <w:gridSpan w:val="16"/>
            <w:tcBorders>
              <w:top w:val="single" w:sz="4"/>
              <w:left w:val="single" w:sz="4"/>
              <w:right w:val="single" w:sz="4"/>
            </w:tcBorders>
            <w:shd w:val="clear" w:color="auto" w:fill="B3C6E6"/>
            <w:vAlign w:val="bottom"/>
          </w:tcPr>
          <w:p>
            <w:pPr>
              <w:pStyle w:val="Style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Marfuri transportate - total, mil. tone</w:t>
            </w:r>
            <w:r>
              <w:rPr>
                <w:b/>
                <w:bCs/>
                <w:color w:val="000000"/>
                <w:spacing w:val="0"/>
                <w:w w:val="100"/>
                <w:position w:val="0"/>
                <w:sz w:val="22"/>
                <w:szCs w:val="22"/>
                <w:shd w:val="clear" w:color="auto" w:fill="auto"/>
                <w:vertAlign w:val="superscript"/>
                <w:lang w:val="en-US" w:eastAsia="en-US" w:bidi="en-US"/>
              </w:rPr>
              <w:t>9</w:t>
            </w:r>
          </w:p>
        </w:tc>
      </w:tr>
      <w:tr>
        <w:trPr>
          <w:trHeight w:val="264" w:hRule="exact"/>
        </w:trPr>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Perioada</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2000</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2007</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2008</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2009</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2010</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2011</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2012</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2013</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2014</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2015</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2016</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2017</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2018</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2019</w:t>
            </w:r>
          </w:p>
        </w:tc>
        <w:tc>
          <w:tcPr>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2020</w:t>
            </w:r>
          </w:p>
        </w:tc>
      </w:tr>
      <w:tr>
        <w:trPr>
          <w:trHeight w:val="523"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Transport feroviar</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8,21</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11,70</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11,01</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4,41</w:t>
            </w:r>
            <w:r>
              <w:rPr>
                <w:color w:val="000000"/>
                <w:spacing w:val="0"/>
                <w:w w:val="100"/>
                <w:position w:val="0"/>
                <w:sz w:val="20"/>
                <w:szCs w:val="20"/>
                <w:shd w:val="clear" w:color="auto" w:fill="auto"/>
                <w:vertAlign w:val="superscript"/>
                <w:lang w:val="en-US" w:eastAsia="en-US" w:bidi="en-US"/>
              </w:rPr>
              <w:t>10</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3,85</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4,55</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4,16</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5,43</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5,01</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4,16</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3,49</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4,79</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4,93</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4,27</w:t>
            </w:r>
          </w:p>
        </w:tc>
        <w:tc>
          <w:tcPr>
            <w:tcBorders>
              <w:top w:val="single" w:sz="4"/>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2,82</w:t>
            </w:r>
            <w:r>
              <w:rPr>
                <w:color w:val="000000"/>
                <w:spacing w:val="0"/>
                <w:w w:val="100"/>
                <w:position w:val="0"/>
                <w:sz w:val="20"/>
                <w:szCs w:val="20"/>
                <w:shd w:val="clear" w:color="auto" w:fill="auto"/>
                <w:vertAlign w:val="superscript"/>
                <w:lang w:val="en-US" w:eastAsia="en-US" w:bidi="en-US"/>
              </w:rPr>
              <w:t>11</w:t>
            </w:r>
          </w:p>
        </w:tc>
      </w:tr>
      <w:tr>
        <w:trPr>
          <w:trHeight w:val="528" w:hRule="exact"/>
        </w:trPr>
        <w:tc>
          <w:tcPr>
            <w:tcBorders>
              <w:top w:val="single" w:sz="4"/>
              <w:left w:val="single" w:sz="4"/>
              <w:bottom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Transport rutier</w:t>
            </w:r>
          </w:p>
        </w:tc>
        <w:tc>
          <w:tcPr>
            <w:tcBorders>
              <w:top w:val="single" w:sz="4"/>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20,67</w:t>
            </w:r>
          </w:p>
        </w:tc>
        <w:tc>
          <w:tcPr>
            <w:tcBorders>
              <w:top w:val="single" w:sz="4"/>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24,59</w:t>
            </w:r>
          </w:p>
        </w:tc>
        <w:tc>
          <w:tcPr>
            <w:tcBorders>
              <w:top w:val="single" w:sz="4"/>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28,78</w:t>
            </w:r>
          </w:p>
        </w:tc>
        <w:tc>
          <w:tcPr>
            <w:tcBorders>
              <w:top w:val="single" w:sz="4"/>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21,39</w:t>
            </w:r>
          </w:p>
        </w:tc>
        <w:tc>
          <w:tcPr>
            <w:tcBorders>
              <w:top w:val="single" w:sz="4"/>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23,83</w:t>
            </w:r>
          </w:p>
        </w:tc>
        <w:tc>
          <w:tcPr>
            <w:tcBorders>
              <w:top w:val="single" w:sz="4"/>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26,01</w:t>
            </w:r>
          </w:p>
        </w:tc>
        <w:tc>
          <w:tcPr>
            <w:tcBorders>
              <w:top w:val="single" w:sz="4"/>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25,71</w:t>
            </w:r>
          </w:p>
        </w:tc>
        <w:tc>
          <w:tcPr>
            <w:tcBorders>
              <w:top w:val="single" w:sz="4"/>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30,08</w:t>
            </w:r>
          </w:p>
        </w:tc>
        <w:tc>
          <w:tcPr>
            <w:tcBorders>
              <w:top w:val="single" w:sz="4"/>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31,91</w:t>
            </w:r>
          </w:p>
        </w:tc>
        <w:tc>
          <w:tcPr>
            <w:tcBorders>
              <w:top w:val="single" w:sz="4"/>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32,40</w:t>
            </w:r>
          </w:p>
        </w:tc>
        <w:tc>
          <w:tcPr>
            <w:tcBorders>
              <w:top w:val="single" w:sz="4"/>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33,36</w:t>
            </w:r>
          </w:p>
        </w:tc>
        <w:tc>
          <w:tcPr>
            <w:tcBorders>
              <w:top w:val="single" w:sz="4"/>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38,00</w:t>
            </w:r>
          </w:p>
        </w:tc>
        <w:tc>
          <w:tcPr>
            <w:tcBorders>
              <w:top w:val="single" w:sz="4"/>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43,30</w:t>
            </w:r>
          </w:p>
        </w:tc>
        <w:tc>
          <w:tcPr>
            <w:tcBorders>
              <w:top w:val="single" w:sz="4"/>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44,55</w:t>
            </w:r>
          </w:p>
        </w:tc>
        <w:tc>
          <w:tcPr>
            <w:tcBorders>
              <w:top w:val="single" w:sz="4"/>
              <w:left w:val="single" w:sz="4"/>
              <w:bottom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w:t>
            </w:r>
          </w:p>
        </w:tc>
      </w:tr>
    </w:tbl>
    <w:p>
      <w:pPr>
        <w:widowControl w:val="0"/>
        <w:spacing w:line="1" w:lineRule="exact"/>
      </w:pPr>
    </w:p>
    <w:p>
      <w:pPr>
        <w:pStyle w:val="Style32"/>
        <w:keepNext w:val="0"/>
        <w:keepLines w:val="0"/>
        <w:widowControl w:val="0"/>
        <w:shd w:val="clear" w:color="auto" w:fill="auto"/>
        <w:bidi w:val="0"/>
        <w:spacing w:before="0" w:after="0" w:line="240" w:lineRule="auto"/>
        <w:ind w:left="595" w:right="0" w:firstLine="0"/>
        <w:jc w:val="left"/>
        <w:rPr>
          <w:sz w:val="28"/>
          <w:szCs w:val="28"/>
        </w:rPr>
      </w:pPr>
      <w:r>
        <w:rPr>
          <w:color w:val="000000"/>
          <w:spacing w:val="0"/>
          <w:w w:val="100"/>
          <w:position w:val="0"/>
          <w:sz w:val="28"/>
          <w:szCs w:val="28"/>
          <w:u w:val="none"/>
          <w:shd w:val="clear" w:color="auto" w:fill="auto"/>
          <w:lang w:val="en-US" w:eastAsia="en-US" w:bidi="en-US"/>
        </w:rPr>
        <w:t>Tab. 5 Parcursul marfurilor transportate pe moduri de transport</w:t>
      </w:r>
    </w:p>
    <w:tbl>
      <w:tblPr>
        <w:tblOverlap w:val="never"/>
        <w:jc w:val="center"/>
        <w:tblLayout w:type="fixed"/>
      </w:tblPr>
      <w:tblGrid>
        <w:gridCol w:w="1066"/>
        <w:gridCol w:w="557"/>
        <w:gridCol w:w="538"/>
        <w:gridCol w:w="590"/>
        <w:gridCol w:w="581"/>
        <w:gridCol w:w="538"/>
        <w:gridCol w:w="595"/>
        <w:gridCol w:w="586"/>
        <w:gridCol w:w="590"/>
        <w:gridCol w:w="605"/>
        <w:gridCol w:w="605"/>
        <w:gridCol w:w="605"/>
        <w:gridCol w:w="605"/>
        <w:gridCol w:w="605"/>
        <w:gridCol w:w="701"/>
        <w:gridCol w:w="725"/>
      </w:tblGrid>
      <w:tr>
        <w:trPr>
          <w:trHeight w:val="274" w:hRule="exact"/>
        </w:trPr>
        <w:tc>
          <w:tcPr>
            <w:gridSpan w:val="7"/>
            <w:tcBorders>
              <w:top w:val="single" w:sz="4"/>
              <w:left w:val="single" w:sz="4"/>
            </w:tcBorders>
            <w:shd w:val="clear" w:color="auto" w:fill="B3C6E6"/>
            <w:vAlign w:val="bottom"/>
          </w:tcPr>
          <w:p>
            <w:pPr>
              <w:pStyle w:val="Style9"/>
              <w:keepNext w:val="0"/>
              <w:keepLines w:val="0"/>
              <w:widowControl w:val="0"/>
              <w:shd w:val="clear" w:color="auto" w:fill="auto"/>
              <w:bidi w:val="0"/>
              <w:spacing w:before="0" w:after="0" w:line="240" w:lineRule="auto"/>
              <w:ind w:left="3040" w:right="0" w:firstLine="0"/>
              <w:jc w:val="left"/>
              <w:rPr>
                <w:sz w:val="22"/>
                <w:szCs w:val="22"/>
              </w:rPr>
            </w:pPr>
            <w:r>
              <w:rPr>
                <w:b/>
                <w:bCs/>
                <w:color w:val="000000"/>
                <w:spacing w:val="0"/>
                <w:w w:val="100"/>
                <w:position w:val="0"/>
                <w:sz w:val="22"/>
                <w:szCs w:val="22"/>
                <w:shd w:val="clear" w:color="auto" w:fill="auto"/>
                <w:lang w:val="en-US" w:eastAsia="en-US" w:bidi="en-US"/>
              </w:rPr>
              <w:t>Parcursul mar</w:t>
            </w:r>
          </w:p>
        </w:tc>
        <w:tc>
          <w:tcPr>
            <w:gridSpan w:val="9"/>
            <w:tcBorders>
              <w:top w:val="single" w:sz="4"/>
              <w:left w:val="single" w:sz="4"/>
              <w:right w:val="single" w:sz="4"/>
            </w:tcBorders>
            <w:shd w:val="clear" w:color="auto" w:fill="B3C6E6"/>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urilor - miliarde tone km</w:t>
            </w:r>
            <w:r>
              <w:rPr>
                <w:b/>
                <w:bCs/>
                <w:color w:val="000000"/>
                <w:spacing w:val="0"/>
                <w:w w:val="100"/>
                <w:position w:val="0"/>
                <w:sz w:val="22"/>
                <w:szCs w:val="22"/>
                <w:shd w:val="clear" w:color="auto" w:fill="auto"/>
                <w:vertAlign w:val="superscript"/>
                <w:lang w:val="en-US" w:eastAsia="en-US" w:bidi="en-US"/>
              </w:rPr>
              <w:t>12</w:t>
            </w:r>
          </w:p>
        </w:tc>
      </w:tr>
      <w:tr>
        <w:trPr>
          <w:trHeight w:val="269" w:hRule="exact"/>
        </w:trPr>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Perioada</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2000</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2007</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2008</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2009</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2010</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2011</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2012</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2013</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2014</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2015</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2016</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2017</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2018</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2019</w:t>
            </w:r>
          </w:p>
        </w:tc>
        <w:tc>
          <w:tcPr>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right"/>
              <w:rPr>
                <w:sz w:val="20"/>
                <w:szCs w:val="20"/>
              </w:rPr>
            </w:pPr>
            <w:r>
              <w:rPr>
                <w:color w:val="000000"/>
                <w:spacing w:val="0"/>
                <w:w w:val="100"/>
                <w:position w:val="0"/>
                <w:sz w:val="20"/>
                <w:szCs w:val="20"/>
                <w:shd w:val="clear" w:color="auto" w:fill="auto"/>
                <w:lang w:val="en-US" w:eastAsia="en-US" w:bidi="en-US"/>
              </w:rPr>
              <w:t>2020</w:t>
            </w:r>
          </w:p>
        </w:tc>
      </w:tr>
      <w:tr>
        <w:trPr>
          <w:trHeight w:val="528" w:hRule="exact"/>
        </w:trPr>
        <w:tc>
          <w:tcPr>
            <w:tcBorders>
              <w:top w:val="single" w:sz="4"/>
              <w:left w:val="single" w:sz="4"/>
              <w:bottom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Transport feroviar</w:t>
            </w:r>
          </w:p>
        </w:tc>
        <w:tc>
          <w:tcPr>
            <w:tcBorders>
              <w:top w:val="single" w:sz="4"/>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1,51</w:t>
            </w:r>
          </w:p>
        </w:tc>
        <w:tc>
          <w:tcPr>
            <w:tcBorders>
              <w:top w:val="single" w:sz="4"/>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3,12</w:t>
            </w:r>
          </w:p>
        </w:tc>
        <w:tc>
          <w:tcPr>
            <w:tcBorders>
              <w:top w:val="single" w:sz="4"/>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2,87</w:t>
            </w:r>
          </w:p>
        </w:tc>
        <w:tc>
          <w:tcPr>
            <w:tcBorders>
              <w:top w:val="single" w:sz="4"/>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1,06</w:t>
            </w:r>
            <w:r>
              <w:rPr>
                <w:color w:val="000000"/>
                <w:spacing w:val="0"/>
                <w:w w:val="100"/>
                <w:position w:val="0"/>
                <w:sz w:val="20"/>
                <w:szCs w:val="20"/>
                <w:shd w:val="clear" w:color="auto" w:fill="auto"/>
                <w:vertAlign w:val="superscript"/>
                <w:lang w:val="en-US" w:eastAsia="en-US" w:bidi="en-US"/>
              </w:rPr>
              <w:t>13</w:t>
            </w:r>
          </w:p>
        </w:tc>
        <w:tc>
          <w:tcPr>
            <w:tcBorders>
              <w:top w:val="single" w:sz="4"/>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0,96</w:t>
            </w:r>
          </w:p>
        </w:tc>
        <w:tc>
          <w:tcPr>
            <w:tcBorders>
              <w:top w:val="single" w:sz="4"/>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1,20</w:t>
            </w:r>
          </w:p>
        </w:tc>
        <w:tc>
          <w:tcPr>
            <w:tcBorders>
              <w:top w:val="single" w:sz="4"/>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0,96</w:t>
            </w:r>
          </w:p>
        </w:tc>
        <w:tc>
          <w:tcPr>
            <w:tcBorders>
              <w:top w:val="single" w:sz="4"/>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1,22</w:t>
            </w:r>
          </w:p>
        </w:tc>
        <w:tc>
          <w:tcPr>
            <w:tcBorders>
              <w:top w:val="single" w:sz="4"/>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1,18</w:t>
            </w:r>
          </w:p>
        </w:tc>
        <w:tc>
          <w:tcPr>
            <w:tcBorders>
              <w:top w:val="single" w:sz="4"/>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0,96</w:t>
            </w:r>
          </w:p>
        </w:tc>
        <w:tc>
          <w:tcPr>
            <w:tcBorders>
              <w:top w:val="single" w:sz="4"/>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0,79</w:t>
            </w:r>
          </w:p>
        </w:tc>
        <w:tc>
          <w:tcPr>
            <w:tcBorders>
              <w:top w:val="single" w:sz="4"/>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0,99</w:t>
            </w:r>
          </w:p>
        </w:tc>
        <w:tc>
          <w:tcPr>
            <w:tcBorders>
              <w:top w:val="single" w:sz="4"/>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1,01</w:t>
            </w:r>
          </w:p>
        </w:tc>
        <w:tc>
          <w:tcPr>
            <w:tcBorders>
              <w:top w:val="single" w:sz="4"/>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0,94</w:t>
            </w:r>
          </w:p>
        </w:tc>
        <w:tc>
          <w:tcPr>
            <w:tcBorders>
              <w:top w:val="single" w:sz="4"/>
              <w:left w:val="single" w:sz="4"/>
              <w:bottom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0,60</w:t>
            </w:r>
            <w:r>
              <w:rPr>
                <w:color w:val="000000"/>
                <w:spacing w:val="0"/>
                <w:w w:val="100"/>
                <w:position w:val="0"/>
                <w:sz w:val="20"/>
                <w:szCs w:val="20"/>
                <w:shd w:val="clear" w:color="auto" w:fill="auto"/>
                <w:vertAlign w:val="superscript"/>
                <w:lang w:val="en-US" w:eastAsia="en-US" w:bidi="en-US"/>
              </w:rPr>
              <w:t>14</w:t>
            </w:r>
          </w:p>
        </w:tc>
      </w:tr>
    </w:tbl>
    <w:p>
      <w:pPr>
        <w:pStyle w:val="Style32"/>
        <w:keepNext w:val="0"/>
        <w:keepLines w:val="0"/>
        <w:widowControl w:val="0"/>
        <w:numPr>
          <w:ilvl w:val="0"/>
          <w:numId w:val="15"/>
        </w:numPr>
        <w:shd w:val="clear" w:color="auto" w:fill="auto"/>
        <w:tabs>
          <w:tab w:pos="120" w:val="left"/>
        </w:tabs>
        <w:bidi w:val="0"/>
        <w:spacing w:before="0" w:after="0" w:line="240" w:lineRule="auto"/>
        <w:ind w:left="0" w:right="0" w:firstLine="0"/>
        <w:jc w:val="left"/>
      </w:pPr>
      <w:r>
        <w:rPr>
          <w:color w:val="000000"/>
          <w:spacing w:val="0"/>
          <w:w w:val="100"/>
          <w:position w:val="0"/>
          <w:u w:val="none"/>
          <w:shd w:val="clear" w:color="auto" w:fill="auto"/>
          <w:lang w:val="en-US" w:eastAsia="en-US" w:bidi="en-US"/>
        </w:rPr>
        <w:t>Anuar statistic 2020 Transporturi</w:t>
      </w:r>
    </w:p>
    <w:p>
      <w:pPr>
        <w:pStyle w:val="Style32"/>
        <w:keepNext w:val="0"/>
        <w:keepLines w:val="0"/>
        <w:widowControl w:val="0"/>
        <w:shd w:val="clear" w:color="auto" w:fill="auto"/>
        <w:bidi w:val="0"/>
        <w:spacing w:before="0" w:after="0" w:line="230" w:lineRule="auto"/>
        <w:ind w:left="0" w:right="0" w:firstLine="0"/>
        <w:jc w:val="left"/>
      </w:pPr>
      <w:r>
        <w:fldChar w:fldCharType="begin"/>
      </w:r>
      <w:r>
        <w:rPr/>
        <w:instrText> HYPERLINK "https://statistica.gov.md/public/files/publicatii_electronice/Anuar_Statistic/2020/18_AS.pdf" </w:instrText>
      </w:r>
      <w:r>
        <w:fldChar w:fldCharType="separate"/>
      </w:r>
      <w:r>
        <w:rPr>
          <w:color w:val="000000"/>
          <w:spacing w:val="0"/>
          <w:w w:val="100"/>
          <w:position w:val="0"/>
          <w:shd w:val="clear" w:color="auto" w:fill="auto"/>
          <w:lang w:val="en-US" w:eastAsia="en-US" w:bidi="en-US"/>
        </w:rPr>
        <w:t>(</w:t>
      </w:r>
      <w:r>
        <w:rPr>
          <w:spacing w:val="0"/>
          <w:w w:val="100"/>
          <w:position w:val="0"/>
          <w:shd w:val="clear" w:color="auto" w:fill="auto"/>
          <w:lang w:val="en-US" w:eastAsia="en-US" w:bidi="en-US"/>
        </w:rPr>
        <w:t>https://statistica.gov.md/public/files/publicatii electronice/Anuar Statistic/2020/18 AS.pdf</w:t>
      </w:r>
      <w:r>
        <w:rPr>
          <w:color w:val="000000"/>
          <w:spacing w:val="0"/>
          <w:w w:val="100"/>
          <w:position w:val="0"/>
          <w:shd w:val="clear" w:color="auto" w:fill="auto"/>
          <w:lang w:val="en-US" w:eastAsia="en-US" w:bidi="en-US"/>
        </w:rPr>
        <w:t>)</w:t>
      </w:r>
      <w:r>
        <w:fldChar w:fldCharType="end"/>
      </w:r>
    </w:p>
    <w:p>
      <w:pPr>
        <w:pStyle w:val="Style32"/>
        <w:keepNext w:val="0"/>
        <w:keepLines w:val="0"/>
        <w:widowControl w:val="0"/>
        <w:numPr>
          <w:ilvl w:val="0"/>
          <w:numId w:val="15"/>
        </w:numPr>
        <w:shd w:val="clear" w:color="auto" w:fill="auto"/>
        <w:tabs>
          <w:tab w:pos="182" w:val="left"/>
        </w:tabs>
        <w:bidi w:val="0"/>
        <w:spacing w:before="0" w:after="0" w:line="240" w:lineRule="auto"/>
        <w:ind w:left="0" w:right="0" w:firstLine="0"/>
        <w:jc w:val="left"/>
      </w:pPr>
      <w:r>
        <w:rPr>
          <w:color w:val="000000"/>
          <w:spacing w:val="0"/>
          <w:w w:val="100"/>
          <w:position w:val="0"/>
          <w:u w:val="none"/>
          <w:shd w:val="clear" w:color="auto" w:fill="auto"/>
          <w:lang w:val="en-US" w:eastAsia="en-US" w:bidi="en-US"/>
        </w:rPr>
        <w:t xml:space="preserve">Anuar statistic 2010 Transported </w:t>
      </w:r>
      <w:r>
        <w:fldChar w:fldCharType="begin"/>
      </w:r>
      <w:r>
        <w:rPr/>
        <w:instrText> HYPERLINK "https://statistica.gov.md/pageview.php?l=ro&amp;id=2193&amp;idc=263" </w:instrText>
      </w:r>
      <w:r>
        <w:fldChar w:fldCharType="separate"/>
      </w:r>
      <w:r>
        <w:rPr>
          <w:color w:val="000000"/>
          <w:spacing w:val="0"/>
          <w:w w:val="100"/>
          <w:position w:val="0"/>
          <w:shd w:val="clear" w:color="auto" w:fill="auto"/>
          <w:lang w:val="en-US" w:eastAsia="en-US" w:bidi="en-US"/>
        </w:rPr>
        <w:t>(</w:t>
      </w:r>
      <w:r>
        <w:rPr>
          <w:spacing w:val="0"/>
          <w:w w:val="100"/>
          <w:position w:val="0"/>
          <w:shd w:val="clear" w:color="auto" w:fill="auto"/>
          <w:lang w:val="en-US" w:eastAsia="en-US" w:bidi="en-US"/>
        </w:rPr>
        <w:t>https://statistica.gov.md/pageview.php?l=ro&amp;id=2193&amp;idc=263</w:t>
      </w:r>
      <w:r>
        <w:rPr>
          <w:color w:val="000000"/>
          <w:spacing w:val="0"/>
          <w:w w:val="100"/>
          <w:position w:val="0"/>
          <w:shd w:val="clear" w:color="auto" w:fill="auto"/>
          <w:lang w:val="en-US" w:eastAsia="en-US" w:bidi="en-US"/>
        </w:rPr>
        <w:t>)</w:t>
      </w:r>
      <w:r>
        <w:fldChar w:fldCharType="end"/>
      </w:r>
    </w:p>
    <w:p>
      <w:pPr>
        <w:pStyle w:val="Style32"/>
        <w:keepNext w:val="0"/>
        <w:keepLines w:val="0"/>
        <w:widowControl w:val="0"/>
        <w:numPr>
          <w:ilvl w:val="0"/>
          <w:numId w:val="15"/>
        </w:numPr>
        <w:shd w:val="clear" w:color="auto" w:fill="auto"/>
        <w:tabs>
          <w:tab w:pos="130" w:val="left"/>
        </w:tabs>
        <w:bidi w:val="0"/>
        <w:spacing w:before="0" w:after="0" w:line="240" w:lineRule="auto"/>
        <w:ind w:left="0" w:right="0" w:firstLine="0"/>
        <w:jc w:val="left"/>
      </w:pPr>
      <w:r>
        <w:fldChar w:fldCharType="begin"/>
      </w:r>
      <w:r>
        <w:rPr/>
        <w:instrText> HYPERLINK "https://statbank.statistica.md/PxWeb/pxweb/ro/40%20Statistica%20economica/40%20Statistica%20economica__19%20TRA__TRA030/TRA030100.px/table/tableViewLayout1/?rxid=9a62a0d7-86c4-45da-b7e4-fecc26003802" </w:instrText>
      </w:r>
      <w:r>
        <w:fldChar w:fldCharType="separate"/>
      </w:r>
      <w:r>
        <w:rPr>
          <w:spacing w:val="0"/>
          <w:w w:val="100"/>
          <w:position w:val="0"/>
          <w:shd w:val="clear" w:color="auto" w:fill="auto"/>
          <w:lang w:val="en-US" w:eastAsia="en-US" w:bidi="en-US"/>
        </w:rPr>
        <w:t>https ://statbank. statistica. md/PxWeb/pxweb/ro/40%20Statistica%20economica/40%20Statistica%20economica 19%</w:t>
      </w:r>
      <w:r>
        <w:fldChar w:fldCharType="end"/>
      </w:r>
    </w:p>
    <w:p>
      <w:pPr>
        <w:pStyle w:val="Style32"/>
        <w:keepNext w:val="0"/>
        <w:keepLines w:val="0"/>
        <w:widowControl w:val="0"/>
        <w:shd w:val="clear" w:color="auto" w:fill="auto"/>
        <w:bidi w:val="0"/>
        <w:spacing w:before="0" w:after="0" w:line="240" w:lineRule="auto"/>
        <w:ind w:left="0" w:right="0" w:firstLine="0"/>
        <w:jc w:val="left"/>
      </w:pPr>
      <w:r>
        <w:fldChar w:fldCharType="begin"/>
      </w:r>
      <w:r>
        <w:rPr/>
        <w:instrText> HYPERLINK "https://statbank.statistica.md/PxWeb/pxweb/ro/40%20Statistica%20economica/40%20Statistica%20economica__19%20TRA__TRA030/TRA030100.px/table/tableViewLayout1/?rxid=9a62a0d7-86c4-45da-b7e4-fecc26003802" </w:instrText>
      </w:r>
      <w:r>
        <w:fldChar w:fldCharType="separate"/>
      </w:r>
      <w:r>
        <w:rPr>
          <w:spacing w:val="0"/>
          <w:w w:val="100"/>
          <w:position w:val="0"/>
          <w:shd w:val="clear" w:color="auto" w:fill="auto"/>
          <w:lang w:val="en-US" w:eastAsia="en-US" w:bidi="en-US"/>
        </w:rPr>
        <w:t>20TRA TRA030/TRA030100.px/table/tableViewLayout1/?rxid=9a62a0d7-86c4-45da-b7e4-fecc26003802</w:t>
      </w:r>
      <w:r>
        <w:fldChar w:fldCharType="end"/>
      </w:r>
    </w:p>
    <w:p>
      <w:pPr>
        <w:pStyle w:val="Style32"/>
        <w:keepNext w:val="0"/>
        <w:keepLines w:val="0"/>
        <w:widowControl w:val="0"/>
        <w:numPr>
          <w:ilvl w:val="0"/>
          <w:numId w:val="15"/>
        </w:numPr>
        <w:shd w:val="clear" w:color="auto" w:fill="auto"/>
        <w:tabs>
          <w:tab w:pos="192" w:val="left"/>
        </w:tabs>
        <w:bidi w:val="0"/>
        <w:spacing w:before="0" w:after="0" w:line="240" w:lineRule="auto"/>
        <w:ind w:left="0" w:right="0" w:firstLine="0"/>
        <w:jc w:val="left"/>
      </w:pPr>
      <w:r>
        <w:rPr>
          <w:color w:val="000000"/>
          <w:spacing w:val="0"/>
          <w:w w:val="100"/>
          <w:position w:val="0"/>
          <w:u w:val="none"/>
          <w:shd w:val="clear" w:color="auto" w:fill="auto"/>
          <w:lang w:val="en-US" w:eastAsia="en-US" w:bidi="en-US"/>
        </w:rPr>
        <w:t>Anuar statistic 2020 Transporturi</w:t>
      </w:r>
    </w:p>
    <w:p>
      <w:pPr>
        <w:pStyle w:val="Style32"/>
        <w:keepNext w:val="0"/>
        <w:keepLines w:val="0"/>
        <w:widowControl w:val="0"/>
        <w:numPr>
          <w:ilvl w:val="0"/>
          <w:numId w:val="15"/>
        </w:numPr>
        <w:shd w:val="clear" w:color="auto" w:fill="auto"/>
        <w:tabs>
          <w:tab w:pos="192" w:val="left"/>
        </w:tabs>
        <w:bidi w:val="0"/>
        <w:spacing w:before="0" w:after="0" w:line="240" w:lineRule="auto"/>
        <w:ind w:left="0" w:right="0" w:firstLine="0"/>
        <w:jc w:val="left"/>
      </w:pPr>
      <w:r>
        <w:rPr>
          <w:color w:val="000000"/>
          <w:spacing w:val="0"/>
          <w:w w:val="100"/>
          <w:position w:val="0"/>
          <w:u w:val="none"/>
          <w:shd w:val="clear" w:color="auto" w:fill="auto"/>
          <w:lang w:val="en-US" w:eastAsia="en-US" w:bidi="en-US"/>
        </w:rPr>
        <w:t>Anuar statistic 2010 Transporturi</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u w:val="none"/>
          <w:shd w:val="clear" w:color="auto" w:fill="auto"/>
          <w:vertAlign w:val="superscript"/>
          <w:lang w:val="en-US" w:eastAsia="en-US" w:bidi="en-US"/>
        </w:rPr>
        <w:t>1</w:t>
      </w:r>
      <w:r>
        <w:fldChar w:fldCharType="begin"/>
      </w:r>
      <w:r>
        <w:rPr/>
        <w:instrText> HYPERLINK "https://statbank.statistica.md/PxWeb/pxweb/ro/40%20Statistica%20economica/40%20Statistica%20economica__19%20TRA__TRA030/TRA030100.px/table/tableViewLayout1/?rxid=9a62a0d7-86c4-45da-b7e4-fecc26003802" </w:instrText>
      </w:r>
      <w:r>
        <w:fldChar w:fldCharType="separate"/>
      </w:r>
      <w:r>
        <w:rPr>
          <w:color w:val="000000"/>
          <w:spacing w:val="0"/>
          <w:w w:val="100"/>
          <w:position w:val="0"/>
          <w:u w:val="none"/>
          <w:shd w:val="clear" w:color="auto" w:fill="auto"/>
          <w:vertAlign w:val="superscript"/>
          <w:lang w:val="en-US" w:eastAsia="en-US" w:bidi="en-US"/>
        </w:rPr>
        <w:t>4</w:t>
      </w:r>
      <w:r>
        <w:rPr>
          <w:spacing w:val="0"/>
          <w:w w:val="100"/>
          <w:position w:val="0"/>
          <w:shd w:val="clear" w:color="auto" w:fill="auto"/>
          <w:lang w:val="en-US" w:eastAsia="en-US" w:bidi="en-US"/>
        </w:rPr>
        <w:t>https://statbankstatistica.md/PxWeb/pxweb/ro/40%20Statistica%20economica/40%20Statistica%20economica 19%20</w:t>
      </w:r>
      <w:r>
        <w:fldChar w:fldCharType="end"/>
      </w:r>
    </w:p>
    <w:p>
      <w:pPr>
        <w:widowControl w:val="0"/>
        <w:spacing w:line="1" w:lineRule="exact"/>
      </w:pPr>
      <w:r>
        <w:br w:type="page"/>
      </w:r>
    </w:p>
    <w:tbl>
      <w:tblPr>
        <w:tblOverlap w:val="never"/>
        <w:jc w:val="center"/>
        <w:tblLayout w:type="fixed"/>
      </w:tblPr>
      <w:tblGrid>
        <w:gridCol w:w="1066"/>
        <w:gridCol w:w="557"/>
        <w:gridCol w:w="538"/>
        <w:gridCol w:w="590"/>
        <w:gridCol w:w="581"/>
        <w:gridCol w:w="538"/>
        <w:gridCol w:w="590"/>
        <w:gridCol w:w="590"/>
        <w:gridCol w:w="590"/>
        <w:gridCol w:w="605"/>
        <w:gridCol w:w="605"/>
        <w:gridCol w:w="605"/>
        <w:gridCol w:w="605"/>
        <w:gridCol w:w="605"/>
        <w:gridCol w:w="701"/>
        <w:gridCol w:w="725"/>
      </w:tblGrid>
      <w:tr>
        <w:trPr>
          <w:trHeight w:val="538" w:hRule="exact"/>
        </w:trPr>
        <w:tc>
          <w:tcPr>
            <w:tcBorders>
              <w:top w:val="single" w:sz="4"/>
              <w:left w:val="single" w:sz="4"/>
              <w:bottom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Transport rutier</w:t>
            </w:r>
          </w:p>
        </w:tc>
        <w:tc>
          <w:tcPr>
            <w:tcBorders>
              <w:top w:val="single" w:sz="4"/>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1,09</w:t>
            </w:r>
          </w:p>
        </w:tc>
        <w:tc>
          <w:tcPr>
            <w:tcBorders>
              <w:top w:val="single" w:sz="4"/>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2,74</w:t>
            </w:r>
          </w:p>
        </w:tc>
        <w:tc>
          <w:tcPr>
            <w:tcBorders>
              <w:top w:val="single" w:sz="4"/>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2,97</w:t>
            </w:r>
          </w:p>
        </w:tc>
        <w:tc>
          <w:tcPr>
            <w:tcBorders>
              <w:top w:val="single" w:sz="4"/>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2,71</w:t>
            </w:r>
          </w:p>
        </w:tc>
        <w:tc>
          <w:tcPr>
            <w:tcBorders>
              <w:top w:val="single" w:sz="4"/>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3,23</w:t>
            </w:r>
          </w:p>
        </w:tc>
        <w:tc>
          <w:tcPr>
            <w:tcBorders>
              <w:top w:val="single" w:sz="4"/>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3,60</w:t>
            </w:r>
          </w:p>
        </w:tc>
        <w:tc>
          <w:tcPr>
            <w:tcBorders>
              <w:top w:val="single" w:sz="4"/>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3,95</w:t>
            </w:r>
          </w:p>
        </w:tc>
        <w:tc>
          <w:tcPr>
            <w:tcBorders>
              <w:top w:val="single" w:sz="4"/>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4,42</w:t>
            </w:r>
          </w:p>
        </w:tc>
        <w:tc>
          <w:tcPr>
            <w:tcBorders>
              <w:top w:val="single" w:sz="4"/>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4,31</w:t>
            </w:r>
          </w:p>
        </w:tc>
        <w:tc>
          <w:tcPr>
            <w:tcBorders>
              <w:top w:val="single" w:sz="4"/>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4,22</w:t>
            </w:r>
          </w:p>
        </w:tc>
        <w:tc>
          <w:tcPr>
            <w:tcBorders>
              <w:top w:val="single" w:sz="4"/>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4,69</w:t>
            </w:r>
          </w:p>
        </w:tc>
        <w:tc>
          <w:tcPr>
            <w:tcBorders>
              <w:top w:val="single" w:sz="4"/>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5,01</w:t>
            </w:r>
          </w:p>
        </w:tc>
        <w:tc>
          <w:tcPr>
            <w:tcBorders>
              <w:top w:val="single" w:sz="4"/>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5,29</w:t>
            </w:r>
          </w:p>
        </w:tc>
        <w:tc>
          <w:tcPr>
            <w:tcBorders>
              <w:top w:val="single" w:sz="4"/>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5,57</w:t>
            </w:r>
          </w:p>
        </w:tc>
        <w:tc>
          <w:tcPr>
            <w:tcBorders>
              <w:top w:val="single" w:sz="4"/>
              <w:left w:val="single" w:sz="4"/>
              <w:bottom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280"/>
              <w:jc w:val="both"/>
              <w:rPr>
                <w:sz w:val="20"/>
                <w:szCs w:val="20"/>
              </w:rPr>
            </w:pPr>
            <w:r>
              <w:rPr>
                <w:color w:val="000000"/>
                <w:spacing w:val="0"/>
                <w:w w:val="100"/>
                <w:position w:val="0"/>
                <w:sz w:val="20"/>
                <w:szCs w:val="20"/>
                <w:shd w:val="clear" w:color="auto" w:fill="auto"/>
                <w:lang w:val="en-US" w:eastAsia="en-US" w:bidi="en-US"/>
              </w:rPr>
              <w:t>-</w:t>
            </w:r>
          </w:p>
        </w:tc>
      </w:tr>
    </w:tbl>
    <w:p>
      <w:pPr>
        <w:pStyle w:val="Style32"/>
        <w:keepNext w:val="0"/>
        <w:keepLines w:val="0"/>
        <w:widowControl w:val="0"/>
        <w:shd w:val="clear" w:color="auto" w:fill="auto"/>
        <w:bidi w:val="0"/>
        <w:spacing w:before="0" w:after="0" w:line="240" w:lineRule="auto"/>
        <w:ind w:left="2995" w:right="0" w:firstLine="0"/>
        <w:jc w:val="left"/>
        <w:rPr>
          <w:sz w:val="24"/>
          <w:szCs w:val="24"/>
        </w:rPr>
        <w:sectPr>
          <w:headerReference w:type="default" r:id="rId14"/>
          <w:footerReference w:type="default" r:id="rId15"/>
          <w:headerReference w:type="first" r:id="rId16"/>
          <w:footerReference w:type="first" r:id="rId17"/>
          <w:footnotePr>
            <w:pos w:val="pageBottom"/>
            <w:numFmt w:val="decimal"/>
            <w:numStart w:val="1"/>
            <w:numRestart w:val="continuous"/>
            <w15:footnoteColumns w:val="1"/>
          </w:footnotePr>
          <w:pgSz w:w="11900" w:h="16840"/>
          <w:pgMar w:top="540" w:left="1225" w:right="513" w:bottom="812" w:header="0" w:footer="3" w:gutter="0"/>
          <w:cols w:space="720"/>
          <w:noEndnote/>
          <w:titlePg/>
          <w:rtlGutter w:val="0"/>
          <w:docGrid w:linePitch="360"/>
        </w:sectPr>
      </w:pPr>
      <w:r>
        <mc:AlternateContent>
          <mc:Choice Requires="wps">
            <w:drawing>
              <wp:anchor distT="0" distB="0" distL="114300" distR="5161915" simplePos="0" relativeHeight="125829383" behindDoc="0" locked="0" layoutInCell="1" allowOverlap="1">
                <wp:simplePos x="0" y="0"/>
                <wp:positionH relativeFrom="page">
                  <wp:posOffset>1261110</wp:posOffset>
                </wp:positionH>
                <wp:positionV relativeFrom="margin">
                  <wp:posOffset>852170</wp:posOffset>
                </wp:positionV>
                <wp:extent cx="170815" cy="2319655"/>
                <wp:wrapTopAndBottom/>
                <wp:docPr id="24" name="Shape 24"/>
                <a:graphic xmlns:a="http://schemas.openxmlformats.org/drawingml/2006/main">
                  <a:graphicData uri="http://schemas.microsoft.com/office/word/2010/wordprocessingShape">
                    <wps:wsp>
                      <wps:cNvSpPr txBox="1"/>
                      <wps:spPr>
                        <a:xfrm>
                          <a:ext cx="170815" cy="2319655"/>
                        </a:xfrm>
                        <a:prstGeom prst="rect"/>
                        <a:noFill/>
                      </wps:spPr>
                      <wps:txbx>
                        <w:txbxContent>
                          <w:p>
                            <w:pPr>
                              <w:pStyle w:val="Style9"/>
                              <w:keepNext w:val="0"/>
                              <w:keepLines w:val="0"/>
                              <w:widowControl w:val="0"/>
                              <w:shd w:val="clear" w:color="auto" w:fill="auto"/>
                              <w:bidi w:val="0"/>
                              <w:spacing w:before="0" w:after="100" w:line="240" w:lineRule="auto"/>
                              <w:ind w:left="0" w:right="0" w:firstLine="0"/>
                              <w:jc w:val="left"/>
                              <w:rPr>
                                <w:sz w:val="20"/>
                                <w:szCs w:val="20"/>
                              </w:rPr>
                            </w:pPr>
                            <w:r>
                              <w:rPr>
                                <w:color w:val="595959"/>
                                <w:spacing w:val="0"/>
                                <w:w w:val="100"/>
                                <w:position w:val="0"/>
                                <w:sz w:val="20"/>
                                <w:szCs w:val="20"/>
                                <w:shd w:val="clear" w:color="auto" w:fill="auto"/>
                                <w:lang w:val="en-US" w:eastAsia="en-US" w:bidi="en-US"/>
                              </w:rPr>
                              <w:t>50</w:t>
                            </w:r>
                          </w:p>
                          <w:p>
                            <w:pPr>
                              <w:pStyle w:val="Style9"/>
                              <w:keepNext w:val="0"/>
                              <w:keepLines w:val="0"/>
                              <w:widowControl w:val="0"/>
                              <w:shd w:val="clear" w:color="auto" w:fill="auto"/>
                              <w:bidi w:val="0"/>
                              <w:spacing w:before="0" w:after="100" w:line="240" w:lineRule="auto"/>
                              <w:ind w:left="0" w:right="0" w:firstLine="0"/>
                              <w:jc w:val="left"/>
                              <w:rPr>
                                <w:sz w:val="20"/>
                                <w:szCs w:val="20"/>
                              </w:rPr>
                            </w:pPr>
                            <w:r>
                              <w:rPr>
                                <w:color w:val="595959"/>
                                <w:spacing w:val="0"/>
                                <w:w w:val="100"/>
                                <w:position w:val="0"/>
                                <w:sz w:val="20"/>
                                <w:szCs w:val="20"/>
                                <w:shd w:val="clear" w:color="auto" w:fill="auto"/>
                                <w:lang w:val="en-US" w:eastAsia="en-US" w:bidi="en-US"/>
                              </w:rPr>
                              <w:t>45</w:t>
                            </w:r>
                          </w:p>
                          <w:p>
                            <w:pPr>
                              <w:pStyle w:val="Style9"/>
                              <w:keepNext w:val="0"/>
                              <w:keepLines w:val="0"/>
                              <w:widowControl w:val="0"/>
                              <w:shd w:val="clear" w:color="auto" w:fill="auto"/>
                              <w:bidi w:val="0"/>
                              <w:spacing w:before="0" w:after="100" w:line="240" w:lineRule="auto"/>
                              <w:ind w:left="0" w:right="0" w:firstLine="0"/>
                              <w:jc w:val="left"/>
                              <w:rPr>
                                <w:sz w:val="20"/>
                                <w:szCs w:val="20"/>
                              </w:rPr>
                            </w:pPr>
                            <w:r>
                              <w:rPr>
                                <w:color w:val="595959"/>
                                <w:spacing w:val="0"/>
                                <w:w w:val="100"/>
                                <w:position w:val="0"/>
                                <w:sz w:val="20"/>
                                <w:szCs w:val="20"/>
                                <w:shd w:val="clear" w:color="auto" w:fill="auto"/>
                                <w:lang w:val="en-US" w:eastAsia="en-US" w:bidi="en-US"/>
                              </w:rPr>
                              <w:t>40</w:t>
                            </w:r>
                          </w:p>
                          <w:p>
                            <w:pPr>
                              <w:pStyle w:val="Style9"/>
                              <w:keepNext w:val="0"/>
                              <w:keepLines w:val="0"/>
                              <w:widowControl w:val="0"/>
                              <w:shd w:val="clear" w:color="auto" w:fill="auto"/>
                              <w:bidi w:val="0"/>
                              <w:spacing w:before="0" w:after="100" w:line="240" w:lineRule="auto"/>
                              <w:ind w:left="0" w:right="0" w:firstLine="0"/>
                              <w:jc w:val="left"/>
                              <w:rPr>
                                <w:sz w:val="20"/>
                                <w:szCs w:val="20"/>
                              </w:rPr>
                            </w:pPr>
                            <w:r>
                              <w:rPr>
                                <w:color w:val="595959"/>
                                <w:spacing w:val="0"/>
                                <w:w w:val="100"/>
                                <w:position w:val="0"/>
                                <w:sz w:val="20"/>
                                <w:szCs w:val="20"/>
                                <w:shd w:val="clear" w:color="auto" w:fill="auto"/>
                                <w:lang w:val="en-US" w:eastAsia="en-US" w:bidi="en-US"/>
                              </w:rPr>
                              <w:t>35</w:t>
                            </w:r>
                          </w:p>
                          <w:p>
                            <w:pPr>
                              <w:pStyle w:val="Style9"/>
                              <w:keepNext w:val="0"/>
                              <w:keepLines w:val="0"/>
                              <w:widowControl w:val="0"/>
                              <w:shd w:val="clear" w:color="auto" w:fill="auto"/>
                              <w:bidi w:val="0"/>
                              <w:spacing w:before="0" w:after="100" w:line="240" w:lineRule="auto"/>
                              <w:ind w:left="0" w:right="0" w:firstLine="0"/>
                              <w:jc w:val="left"/>
                              <w:rPr>
                                <w:sz w:val="20"/>
                                <w:szCs w:val="20"/>
                              </w:rPr>
                            </w:pPr>
                            <w:r>
                              <w:rPr>
                                <w:color w:val="595959"/>
                                <w:spacing w:val="0"/>
                                <w:w w:val="100"/>
                                <w:position w:val="0"/>
                                <w:sz w:val="20"/>
                                <w:szCs w:val="20"/>
                                <w:shd w:val="clear" w:color="auto" w:fill="auto"/>
                                <w:lang w:val="en-US" w:eastAsia="en-US" w:bidi="en-US"/>
                              </w:rPr>
                              <w:t>30</w:t>
                            </w:r>
                          </w:p>
                          <w:p>
                            <w:pPr>
                              <w:pStyle w:val="Style9"/>
                              <w:keepNext w:val="0"/>
                              <w:keepLines w:val="0"/>
                              <w:widowControl w:val="0"/>
                              <w:shd w:val="clear" w:color="auto" w:fill="auto"/>
                              <w:bidi w:val="0"/>
                              <w:spacing w:before="0" w:after="100" w:line="240" w:lineRule="auto"/>
                              <w:ind w:left="0" w:right="0" w:firstLine="0"/>
                              <w:jc w:val="left"/>
                              <w:rPr>
                                <w:sz w:val="20"/>
                                <w:szCs w:val="20"/>
                              </w:rPr>
                            </w:pPr>
                            <w:r>
                              <w:rPr>
                                <w:color w:val="595959"/>
                                <w:spacing w:val="0"/>
                                <w:w w:val="100"/>
                                <w:position w:val="0"/>
                                <w:sz w:val="20"/>
                                <w:szCs w:val="20"/>
                                <w:shd w:val="clear" w:color="auto" w:fill="auto"/>
                                <w:lang w:val="en-US" w:eastAsia="en-US" w:bidi="en-US"/>
                              </w:rPr>
                              <w:t>25</w:t>
                            </w:r>
                          </w:p>
                          <w:p>
                            <w:pPr>
                              <w:pStyle w:val="Style9"/>
                              <w:keepNext w:val="0"/>
                              <w:keepLines w:val="0"/>
                              <w:widowControl w:val="0"/>
                              <w:shd w:val="clear" w:color="auto" w:fill="auto"/>
                              <w:bidi w:val="0"/>
                              <w:spacing w:before="0" w:after="100" w:line="240" w:lineRule="auto"/>
                              <w:ind w:left="0" w:right="0" w:firstLine="0"/>
                              <w:jc w:val="left"/>
                              <w:rPr>
                                <w:sz w:val="20"/>
                                <w:szCs w:val="20"/>
                              </w:rPr>
                            </w:pPr>
                            <w:r>
                              <w:rPr>
                                <w:color w:val="595959"/>
                                <w:spacing w:val="0"/>
                                <w:w w:val="100"/>
                                <w:position w:val="0"/>
                                <w:sz w:val="20"/>
                                <w:szCs w:val="20"/>
                                <w:shd w:val="clear" w:color="auto" w:fill="auto"/>
                                <w:lang w:val="en-US" w:eastAsia="en-US" w:bidi="en-US"/>
                              </w:rPr>
                              <w:t>20</w:t>
                            </w:r>
                          </w:p>
                          <w:p>
                            <w:pPr>
                              <w:pStyle w:val="Style9"/>
                              <w:keepNext w:val="0"/>
                              <w:keepLines w:val="0"/>
                              <w:widowControl w:val="0"/>
                              <w:shd w:val="clear" w:color="auto" w:fill="auto"/>
                              <w:bidi w:val="0"/>
                              <w:spacing w:before="0" w:after="100" w:line="240" w:lineRule="auto"/>
                              <w:ind w:left="0" w:right="0" w:firstLine="0"/>
                              <w:jc w:val="left"/>
                              <w:rPr>
                                <w:sz w:val="20"/>
                                <w:szCs w:val="20"/>
                              </w:rPr>
                            </w:pPr>
                            <w:r>
                              <w:rPr>
                                <w:color w:val="595959"/>
                                <w:spacing w:val="0"/>
                                <w:w w:val="100"/>
                                <w:position w:val="0"/>
                                <w:sz w:val="20"/>
                                <w:szCs w:val="20"/>
                                <w:shd w:val="clear" w:color="auto" w:fill="auto"/>
                                <w:lang w:val="en-US" w:eastAsia="en-US" w:bidi="en-US"/>
                              </w:rPr>
                              <w:t>15</w:t>
                            </w:r>
                          </w:p>
                          <w:p>
                            <w:pPr>
                              <w:pStyle w:val="Style9"/>
                              <w:keepNext w:val="0"/>
                              <w:keepLines w:val="0"/>
                              <w:widowControl w:val="0"/>
                              <w:shd w:val="clear" w:color="auto" w:fill="auto"/>
                              <w:bidi w:val="0"/>
                              <w:spacing w:before="0" w:after="100" w:line="240" w:lineRule="auto"/>
                              <w:ind w:left="0" w:right="0" w:firstLine="0"/>
                              <w:jc w:val="both"/>
                              <w:rPr>
                                <w:sz w:val="20"/>
                                <w:szCs w:val="20"/>
                              </w:rPr>
                            </w:pPr>
                            <w:r>
                              <w:rPr>
                                <w:color w:val="595959"/>
                                <w:spacing w:val="0"/>
                                <w:w w:val="100"/>
                                <w:position w:val="0"/>
                                <w:sz w:val="20"/>
                                <w:szCs w:val="20"/>
                                <w:shd w:val="clear" w:color="auto" w:fill="auto"/>
                                <w:lang w:val="en-US" w:eastAsia="en-US" w:bidi="en-US"/>
                              </w:rPr>
                              <w:t>10</w:t>
                            </w:r>
                          </w:p>
                          <w:p>
                            <w:pPr>
                              <w:pStyle w:val="Style9"/>
                              <w:keepNext w:val="0"/>
                              <w:keepLines w:val="0"/>
                              <w:widowControl w:val="0"/>
                              <w:shd w:val="clear" w:color="auto" w:fill="auto"/>
                              <w:bidi w:val="0"/>
                              <w:spacing w:before="0" w:after="100" w:line="240" w:lineRule="auto"/>
                              <w:ind w:left="0" w:right="0" w:firstLine="0"/>
                              <w:jc w:val="left"/>
                              <w:rPr>
                                <w:sz w:val="20"/>
                                <w:szCs w:val="20"/>
                              </w:rPr>
                            </w:pPr>
                            <w:r>
                              <w:rPr>
                                <w:color w:val="595959"/>
                                <w:spacing w:val="0"/>
                                <w:w w:val="100"/>
                                <w:position w:val="0"/>
                                <w:sz w:val="20"/>
                                <w:szCs w:val="20"/>
                                <w:shd w:val="clear" w:color="auto" w:fill="auto"/>
                                <w:lang w:val="en-US" w:eastAsia="en-US" w:bidi="en-US"/>
                              </w:rPr>
                              <w:t>5</w:t>
                            </w:r>
                          </w:p>
                          <w:p>
                            <w:pPr>
                              <w:pStyle w:val="Style9"/>
                              <w:keepNext w:val="0"/>
                              <w:keepLines w:val="0"/>
                              <w:widowControl w:val="0"/>
                              <w:shd w:val="clear" w:color="auto" w:fill="auto"/>
                              <w:bidi w:val="0"/>
                              <w:spacing w:before="0" w:after="100" w:line="240" w:lineRule="auto"/>
                              <w:ind w:left="0" w:right="0" w:firstLine="0"/>
                              <w:jc w:val="right"/>
                              <w:rPr>
                                <w:sz w:val="20"/>
                                <w:szCs w:val="20"/>
                              </w:rPr>
                            </w:pPr>
                            <w:r>
                              <w:rPr>
                                <w:color w:val="595959"/>
                                <w:spacing w:val="0"/>
                                <w:w w:val="100"/>
                                <w:position w:val="0"/>
                                <w:sz w:val="20"/>
                                <w:szCs w:val="20"/>
                                <w:shd w:val="clear" w:color="auto" w:fill="auto"/>
                                <w:lang w:val="en-US" w:eastAsia="en-US" w:bidi="en-US"/>
                              </w:rPr>
                              <w:t>0</w:t>
                            </w:r>
                          </w:p>
                        </w:txbxContent>
                      </wps:txbx>
                      <wps:bodyPr lIns="0" tIns="0" rIns="0" bIns="0">
                        <a:noAutoFit/>
                      </wps:bodyPr>
                    </wps:wsp>
                  </a:graphicData>
                </a:graphic>
              </wp:anchor>
            </w:drawing>
          </mc:Choice>
          <mc:Fallback>
            <w:pict>
              <v:shape id="_x0000_s1050" type="#_x0000_t202" style="position:absolute;margin-left:99.299999999999997pt;margin-top:67.099999999999994pt;width:13.449999999999999pt;height:182.65000000000001pt;z-index:-125829370;mso-wrap-distance-left:9.pt;mso-wrap-distance-right:406.44999999999999pt;mso-position-horizontal-relative:page;mso-position-vertical-relative:margin" filled="f" stroked="f">
                <v:textbox inset="0,0,0,0">
                  <w:txbxContent>
                    <w:p>
                      <w:pPr>
                        <w:pStyle w:val="Style9"/>
                        <w:keepNext w:val="0"/>
                        <w:keepLines w:val="0"/>
                        <w:widowControl w:val="0"/>
                        <w:shd w:val="clear" w:color="auto" w:fill="auto"/>
                        <w:bidi w:val="0"/>
                        <w:spacing w:before="0" w:after="100" w:line="240" w:lineRule="auto"/>
                        <w:ind w:left="0" w:right="0" w:firstLine="0"/>
                        <w:jc w:val="left"/>
                        <w:rPr>
                          <w:sz w:val="20"/>
                          <w:szCs w:val="20"/>
                        </w:rPr>
                      </w:pPr>
                      <w:r>
                        <w:rPr>
                          <w:color w:val="595959"/>
                          <w:spacing w:val="0"/>
                          <w:w w:val="100"/>
                          <w:position w:val="0"/>
                          <w:sz w:val="20"/>
                          <w:szCs w:val="20"/>
                          <w:shd w:val="clear" w:color="auto" w:fill="auto"/>
                          <w:lang w:val="en-US" w:eastAsia="en-US" w:bidi="en-US"/>
                        </w:rPr>
                        <w:t>50</w:t>
                      </w:r>
                    </w:p>
                    <w:p>
                      <w:pPr>
                        <w:pStyle w:val="Style9"/>
                        <w:keepNext w:val="0"/>
                        <w:keepLines w:val="0"/>
                        <w:widowControl w:val="0"/>
                        <w:shd w:val="clear" w:color="auto" w:fill="auto"/>
                        <w:bidi w:val="0"/>
                        <w:spacing w:before="0" w:after="100" w:line="240" w:lineRule="auto"/>
                        <w:ind w:left="0" w:right="0" w:firstLine="0"/>
                        <w:jc w:val="left"/>
                        <w:rPr>
                          <w:sz w:val="20"/>
                          <w:szCs w:val="20"/>
                        </w:rPr>
                      </w:pPr>
                      <w:r>
                        <w:rPr>
                          <w:color w:val="595959"/>
                          <w:spacing w:val="0"/>
                          <w:w w:val="100"/>
                          <w:position w:val="0"/>
                          <w:sz w:val="20"/>
                          <w:szCs w:val="20"/>
                          <w:shd w:val="clear" w:color="auto" w:fill="auto"/>
                          <w:lang w:val="en-US" w:eastAsia="en-US" w:bidi="en-US"/>
                        </w:rPr>
                        <w:t>45</w:t>
                      </w:r>
                    </w:p>
                    <w:p>
                      <w:pPr>
                        <w:pStyle w:val="Style9"/>
                        <w:keepNext w:val="0"/>
                        <w:keepLines w:val="0"/>
                        <w:widowControl w:val="0"/>
                        <w:shd w:val="clear" w:color="auto" w:fill="auto"/>
                        <w:bidi w:val="0"/>
                        <w:spacing w:before="0" w:after="100" w:line="240" w:lineRule="auto"/>
                        <w:ind w:left="0" w:right="0" w:firstLine="0"/>
                        <w:jc w:val="left"/>
                        <w:rPr>
                          <w:sz w:val="20"/>
                          <w:szCs w:val="20"/>
                        </w:rPr>
                      </w:pPr>
                      <w:r>
                        <w:rPr>
                          <w:color w:val="595959"/>
                          <w:spacing w:val="0"/>
                          <w:w w:val="100"/>
                          <w:position w:val="0"/>
                          <w:sz w:val="20"/>
                          <w:szCs w:val="20"/>
                          <w:shd w:val="clear" w:color="auto" w:fill="auto"/>
                          <w:lang w:val="en-US" w:eastAsia="en-US" w:bidi="en-US"/>
                        </w:rPr>
                        <w:t>40</w:t>
                      </w:r>
                    </w:p>
                    <w:p>
                      <w:pPr>
                        <w:pStyle w:val="Style9"/>
                        <w:keepNext w:val="0"/>
                        <w:keepLines w:val="0"/>
                        <w:widowControl w:val="0"/>
                        <w:shd w:val="clear" w:color="auto" w:fill="auto"/>
                        <w:bidi w:val="0"/>
                        <w:spacing w:before="0" w:after="100" w:line="240" w:lineRule="auto"/>
                        <w:ind w:left="0" w:right="0" w:firstLine="0"/>
                        <w:jc w:val="left"/>
                        <w:rPr>
                          <w:sz w:val="20"/>
                          <w:szCs w:val="20"/>
                        </w:rPr>
                      </w:pPr>
                      <w:r>
                        <w:rPr>
                          <w:color w:val="595959"/>
                          <w:spacing w:val="0"/>
                          <w:w w:val="100"/>
                          <w:position w:val="0"/>
                          <w:sz w:val="20"/>
                          <w:szCs w:val="20"/>
                          <w:shd w:val="clear" w:color="auto" w:fill="auto"/>
                          <w:lang w:val="en-US" w:eastAsia="en-US" w:bidi="en-US"/>
                        </w:rPr>
                        <w:t>35</w:t>
                      </w:r>
                    </w:p>
                    <w:p>
                      <w:pPr>
                        <w:pStyle w:val="Style9"/>
                        <w:keepNext w:val="0"/>
                        <w:keepLines w:val="0"/>
                        <w:widowControl w:val="0"/>
                        <w:shd w:val="clear" w:color="auto" w:fill="auto"/>
                        <w:bidi w:val="0"/>
                        <w:spacing w:before="0" w:after="100" w:line="240" w:lineRule="auto"/>
                        <w:ind w:left="0" w:right="0" w:firstLine="0"/>
                        <w:jc w:val="left"/>
                        <w:rPr>
                          <w:sz w:val="20"/>
                          <w:szCs w:val="20"/>
                        </w:rPr>
                      </w:pPr>
                      <w:r>
                        <w:rPr>
                          <w:color w:val="595959"/>
                          <w:spacing w:val="0"/>
                          <w:w w:val="100"/>
                          <w:position w:val="0"/>
                          <w:sz w:val="20"/>
                          <w:szCs w:val="20"/>
                          <w:shd w:val="clear" w:color="auto" w:fill="auto"/>
                          <w:lang w:val="en-US" w:eastAsia="en-US" w:bidi="en-US"/>
                        </w:rPr>
                        <w:t>30</w:t>
                      </w:r>
                    </w:p>
                    <w:p>
                      <w:pPr>
                        <w:pStyle w:val="Style9"/>
                        <w:keepNext w:val="0"/>
                        <w:keepLines w:val="0"/>
                        <w:widowControl w:val="0"/>
                        <w:shd w:val="clear" w:color="auto" w:fill="auto"/>
                        <w:bidi w:val="0"/>
                        <w:spacing w:before="0" w:after="100" w:line="240" w:lineRule="auto"/>
                        <w:ind w:left="0" w:right="0" w:firstLine="0"/>
                        <w:jc w:val="left"/>
                        <w:rPr>
                          <w:sz w:val="20"/>
                          <w:szCs w:val="20"/>
                        </w:rPr>
                      </w:pPr>
                      <w:r>
                        <w:rPr>
                          <w:color w:val="595959"/>
                          <w:spacing w:val="0"/>
                          <w:w w:val="100"/>
                          <w:position w:val="0"/>
                          <w:sz w:val="20"/>
                          <w:szCs w:val="20"/>
                          <w:shd w:val="clear" w:color="auto" w:fill="auto"/>
                          <w:lang w:val="en-US" w:eastAsia="en-US" w:bidi="en-US"/>
                        </w:rPr>
                        <w:t>25</w:t>
                      </w:r>
                    </w:p>
                    <w:p>
                      <w:pPr>
                        <w:pStyle w:val="Style9"/>
                        <w:keepNext w:val="0"/>
                        <w:keepLines w:val="0"/>
                        <w:widowControl w:val="0"/>
                        <w:shd w:val="clear" w:color="auto" w:fill="auto"/>
                        <w:bidi w:val="0"/>
                        <w:spacing w:before="0" w:after="100" w:line="240" w:lineRule="auto"/>
                        <w:ind w:left="0" w:right="0" w:firstLine="0"/>
                        <w:jc w:val="left"/>
                        <w:rPr>
                          <w:sz w:val="20"/>
                          <w:szCs w:val="20"/>
                        </w:rPr>
                      </w:pPr>
                      <w:r>
                        <w:rPr>
                          <w:color w:val="595959"/>
                          <w:spacing w:val="0"/>
                          <w:w w:val="100"/>
                          <w:position w:val="0"/>
                          <w:sz w:val="20"/>
                          <w:szCs w:val="20"/>
                          <w:shd w:val="clear" w:color="auto" w:fill="auto"/>
                          <w:lang w:val="en-US" w:eastAsia="en-US" w:bidi="en-US"/>
                        </w:rPr>
                        <w:t>20</w:t>
                      </w:r>
                    </w:p>
                    <w:p>
                      <w:pPr>
                        <w:pStyle w:val="Style9"/>
                        <w:keepNext w:val="0"/>
                        <w:keepLines w:val="0"/>
                        <w:widowControl w:val="0"/>
                        <w:shd w:val="clear" w:color="auto" w:fill="auto"/>
                        <w:bidi w:val="0"/>
                        <w:spacing w:before="0" w:after="100" w:line="240" w:lineRule="auto"/>
                        <w:ind w:left="0" w:right="0" w:firstLine="0"/>
                        <w:jc w:val="left"/>
                        <w:rPr>
                          <w:sz w:val="20"/>
                          <w:szCs w:val="20"/>
                        </w:rPr>
                      </w:pPr>
                      <w:r>
                        <w:rPr>
                          <w:color w:val="595959"/>
                          <w:spacing w:val="0"/>
                          <w:w w:val="100"/>
                          <w:position w:val="0"/>
                          <w:sz w:val="20"/>
                          <w:szCs w:val="20"/>
                          <w:shd w:val="clear" w:color="auto" w:fill="auto"/>
                          <w:lang w:val="en-US" w:eastAsia="en-US" w:bidi="en-US"/>
                        </w:rPr>
                        <w:t>15</w:t>
                      </w:r>
                    </w:p>
                    <w:p>
                      <w:pPr>
                        <w:pStyle w:val="Style9"/>
                        <w:keepNext w:val="0"/>
                        <w:keepLines w:val="0"/>
                        <w:widowControl w:val="0"/>
                        <w:shd w:val="clear" w:color="auto" w:fill="auto"/>
                        <w:bidi w:val="0"/>
                        <w:spacing w:before="0" w:after="100" w:line="240" w:lineRule="auto"/>
                        <w:ind w:left="0" w:right="0" w:firstLine="0"/>
                        <w:jc w:val="both"/>
                        <w:rPr>
                          <w:sz w:val="20"/>
                          <w:szCs w:val="20"/>
                        </w:rPr>
                      </w:pPr>
                      <w:r>
                        <w:rPr>
                          <w:color w:val="595959"/>
                          <w:spacing w:val="0"/>
                          <w:w w:val="100"/>
                          <w:position w:val="0"/>
                          <w:sz w:val="20"/>
                          <w:szCs w:val="20"/>
                          <w:shd w:val="clear" w:color="auto" w:fill="auto"/>
                          <w:lang w:val="en-US" w:eastAsia="en-US" w:bidi="en-US"/>
                        </w:rPr>
                        <w:t>10</w:t>
                      </w:r>
                    </w:p>
                    <w:p>
                      <w:pPr>
                        <w:pStyle w:val="Style9"/>
                        <w:keepNext w:val="0"/>
                        <w:keepLines w:val="0"/>
                        <w:widowControl w:val="0"/>
                        <w:shd w:val="clear" w:color="auto" w:fill="auto"/>
                        <w:bidi w:val="0"/>
                        <w:spacing w:before="0" w:after="100" w:line="240" w:lineRule="auto"/>
                        <w:ind w:left="0" w:right="0" w:firstLine="0"/>
                        <w:jc w:val="left"/>
                        <w:rPr>
                          <w:sz w:val="20"/>
                          <w:szCs w:val="20"/>
                        </w:rPr>
                      </w:pPr>
                      <w:r>
                        <w:rPr>
                          <w:color w:val="595959"/>
                          <w:spacing w:val="0"/>
                          <w:w w:val="100"/>
                          <w:position w:val="0"/>
                          <w:sz w:val="20"/>
                          <w:szCs w:val="20"/>
                          <w:shd w:val="clear" w:color="auto" w:fill="auto"/>
                          <w:lang w:val="en-US" w:eastAsia="en-US" w:bidi="en-US"/>
                        </w:rPr>
                        <w:t>5</w:t>
                      </w:r>
                    </w:p>
                    <w:p>
                      <w:pPr>
                        <w:pStyle w:val="Style9"/>
                        <w:keepNext w:val="0"/>
                        <w:keepLines w:val="0"/>
                        <w:widowControl w:val="0"/>
                        <w:shd w:val="clear" w:color="auto" w:fill="auto"/>
                        <w:bidi w:val="0"/>
                        <w:spacing w:before="0" w:after="100" w:line="240" w:lineRule="auto"/>
                        <w:ind w:left="0" w:right="0" w:firstLine="0"/>
                        <w:jc w:val="right"/>
                        <w:rPr>
                          <w:sz w:val="20"/>
                          <w:szCs w:val="20"/>
                        </w:rPr>
                      </w:pPr>
                      <w:r>
                        <w:rPr>
                          <w:color w:val="595959"/>
                          <w:spacing w:val="0"/>
                          <w:w w:val="100"/>
                          <w:position w:val="0"/>
                          <w:sz w:val="20"/>
                          <w:szCs w:val="20"/>
                          <w:shd w:val="clear" w:color="auto" w:fill="auto"/>
                          <w:lang w:val="en-US" w:eastAsia="en-US" w:bidi="en-US"/>
                        </w:rPr>
                        <w:t>0</w:t>
                      </w:r>
                    </w:p>
                  </w:txbxContent>
                </v:textbox>
                <w10:wrap type="topAndBottom" anchorx="page" anchory="margin"/>
              </v:shape>
            </w:pict>
          </mc:Fallback>
        </mc:AlternateContent>
      </w:r>
      <w:r>
        <mc:AlternateContent>
          <mc:Choice Requires="wps">
            <w:drawing>
              <wp:anchor distT="405130" distB="1758950" distL="4195445" distR="1092835" simplePos="0" relativeHeight="125829385" behindDoc="0" locked="0" layoutInCell="1" allowOverlap="1">
                <wp:simplePos x="0" y="0"/>
                <wp:positionH relativeFrom="page">
                  <wp:posOffset>5342255</wp:posOffset>
                </wp:positionH>
                <wp:positionV relativeFrom="margin">
                  <wp:posOffset>1257300</wp:posOffset>
                </wp:positionV>
                <wp:extent cx="158750" cy="155575"/>
                <wp:wrapTopAndBottom/>
                <wp:docPr id="26" name="Shape 26"/>
                <a:graphic xmlns:a="http://schemas.openxmlformats.org/drawingml/2006/main">
                  <a:graphicData uri="http://schemas.microsoft.com/office/word/2010/wordprocessingShape">
                    <wps:wsp>
                      <wps:cNvSpPr txBox="1"/>
                      <wps:spPr>
                        <a:xfrm>
                          <a:ext cx="158750" cy="15557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8"/>
                                <w:szCs w:val="18"/>
                              </w:rPr>
                            </w:pPr>
                            <w:r>
                              <w:rPr>
                                <w:color w:val="404040"/>
                                <w:spacing w:val="0"/>
                                <w:w w:val="100"/>
                                <w:position w:val="0"/>
                                <w:sz w:val="18"/>
                                <w:szCs w:val="18"/>
                                <w:shd w:val="clear" w:color="auto" w:fill="auto"/>
                                <w:lang w:val="en-US" w:eastAsia="en-US" w:bidi="en-US"/>
                              </w:rPr>
                              <w:t>38</w:t>
                            </w:r>
                          </w:p>
                        </w:txbxContent>
                      </wps:txbx>
                      <wps:bodyPr wrap="none" lIns="0" tIns="0" rIns="0" bIns="0">
                        <a:noAutoFit/>
                      </wps:bodyPr>
                    </wps:wsp>
                  </a:graphicData>
                </a:graphic>
              </wp:anchor>
            </w:drawing>
          </mc:Choice>
          <mc:Fallback>
            <w:pict>
              <v:shape id="_x0000_s1052" type="#_x0000_t202" style="position:absolute;margin-left:420.64999999999998pt;margin-top:99.pt;width:12.5pt;height:12.25pt;z-index:-125829368;mso-wrap-distance-left:330.35000000000002pt;mso-wrap-distance-top:31.899999999999999pt;mso-wrap-distance-right:86.049999999999997pt;mso-wrap-distance-bottom:138.5pt;mso-position-horizontal-relative:page;mso-position-vertical-relative:margin"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8"/>
                          <w:szCs w:val="18"/>
                        </w:rPr>
                      </w:pPr>
                      <w:r>
                        <w:rPr>
                          <w:color w:val="404040"/>
                          <w:spacing w:val="0"/>
                          <w:w w:val="100"/>
                          <w:position w:val="0"/>
                          <w:sz w:val="18"/>
                          <w:szCs w:val="18"/>
                          <w:shd w:val="clear" w:color="auto" w:fill="auto"/>
                          <w:lang w:val="en-US" w:eastAsia="en-US" w:bidi="en-US"/>
                        </w:rPr>
                        <w:t>38</w:t>
                      </w:r>
                    </w:p>
                  </w:txbxContent>
                </v:textbox>
                <w10:wrap type="topAndBottom" anchorx="page" anchory="margin"/>
              </v:shape>
            </w:pict>
          </mc:Fallback>
        </mc:AlternateContent>
      </w:r>
      <w:r>
        <w:drawing>
          <wp:anchor distT="646430" distB="82550" distL="415925" distR="1229995" simplePos="0" relativeHeight="125829387" behindDoc="0" locked="0" layoutInCell="1" allowOverlap="1">
            <wp:simplePos x="0" y="0"/>
            <wp:positionH relativeFrom="page">
              <wp:posOffset>1562735</wp:posOffset>
            </wp:positionH>
            <wp:positionV relativeFrom="margin">
              <wp:posOffset>1498600</wp:posOffset>
            </wp:positionV>
            <wp:extent cx="3803650" cy="1591310"/>
            <wp:wrapTopAndBottom/>
            <wp:docPr id="28" name="Shape 28"/>
            <a:graphic xmlns:a="http://schemas.openxmlformats.org/drawingml/2006/main">
              <a:graphicData uri="http://schemas.openxmlformats.org/drawingml/2006/picture">
                <pic:pic xmlns:pic="http://schemas.openxmlformats.org/drawingml/2006/picture">
                  <pic:nvPicPr>
                    <pic:cNvPr id="29" name="Picture box 29"/>
                    <pic:cNvPicPr/>
                  </pic:nvPicPr>
                  <pic:blipFill>
                    <a:blip r:embed="rId18"/>
                    <a:stretch/>
                  </pic:blipFill>
                  <pic:spPr>
                    <a:xfrm>
                      <a:ext cx="3803650" cy="159131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5509895</wp:posOffset>
                </wp:positionH>
                <wp:positionV relativeFrom="margin">
                  <wp:posOffset>2680970</wp:posOffset>
                </wp:positionV>
                <wp:extent cx="247015" cy="441960"/>
                <wp:wrapNone/>
                <wp:docPr id="30" name="Shape 30"/>
                <a:graphic xmlns:a="http://schemas.openxmlformats.org/drawingml/2006/main">
                  <a:graphicData uri="http://schemas.microsoft.com/office/word/2010/wordprocessingShape">
                    <wps:wsp>
                      <wps:cNvSpPr txBox="1"/>
                      <wps:spPr>
                        <a:xfrm>
                          <a:ext cx="247015" cy="441960"/>
                        </a:xfrm>
                        <a:prstGeom prst="rect"/>
                        <a:noFill/>
                      </wps:spPr>
                      <wps:txbx>
                        <w:txbxContent>
                          <w:p>
                            <w:pPr>
                              <w:pStyle w:val="Style6"/>
                              <w:keepNext w:val="0"/>
                              <w:keepLines w:val="0"/>
                              <w:widowControl w:val="0"/>
                              <w:shd w:val="clear" w:color="auto" w:fill="auto"/>
                              <w:bidi w:val="0"/>
                              <w:spacing w:before="0" w:after="80" w:line="240" w:lineRule="auto"/>
                              <w:ind w:left="0" w:right="0" w:firstLine="0"/>
                              <w:jc w:val="right"/>
                              <w:rPr>
                                <w:sz w:val="18"/>
                                <w:szCs w:val="18"/>
                              </w:rPr>
                            </w:pPr>
                            <w:r>
                              <w:rPr>
                                <w:color w:val="404040"/>
                                <w:spacing w:val="0"/>
                                <w:w w:val="100"/>
                                <w:position w:val="0"/>
                                <w:sz w:val="18"/>
                                <w:szCs w:val="18"/>
                                <w:shd w:val="clear" w:color="auto" w:fill="auto"/>
                                <w:lang w:val="en-US" w:eastAsia="en-US" w:bidi="en-US"/>
                              </w:rPr>
                              <w:t>4.93</w:t>
                            </w:r>
                          </w:p>
                          <w:p>
                            <w:pPr>
                              <w:pStyle w:val="Style6"/>
                              <w:keepNext w:val="0"/>
                              <w:keepLines w:val="0"/>
                              <w:widowControl w:val="0"/>
                              <w:shd w:val="clear" w:color="auto" w:fill="auto"/>
                              <w:bidi w:val="0"/>
                              <w:spacing w:before="0" w:after="0" w:line="240" w:lineRule="auto"/>
                              <w:ind w:left="0" w:right="0" w:firstLine="0"/>
                              <w:jc w:val="center"/>
                              <w:rPr>
                                <w:sz w:val="18"/>
                                <w:szCs w:val="18"/>
                              </w:rPr>
                            </w:pPr>
                            <w:r>
                              <w:rPr>
                                <w:color w:val="4473C5"/>
                                <w:spacing w:val="0"/>
                                <w:w w:val="100"/>
                                <w:position w:val="0"/>
                                <w:sz w:val="18"/>
                                <w:szCs w:val="18"/>
                                <w:shd w:val="clear" w:color="auto" w:fill="auto"/>
                                <w:lang w:val="en-US" w:eastAsia="en-US" w:bidi="en-US"/>
                              </w:rPr>
                              <w:t>I</w:t>
                            </w:r>
                          </w:p>
                        </w:txbxContent>
                      </wps:txbx>
                      <wps:bodyPr lIns="0" tIns="0" rIns="0" bIns="0">
                        <a:noAutoFit/>
                      </wps:bodyPr>
                    </wps:wsp>
                  </a:graphicData>
                </a:graphic>
              </wp:anchor>
            </w:drawing>
          </mc:Choice>
          <mc:Fallback>
            <w:pict>
              <v:shape id="_x0000_s1056" type="#_x0000_t202" style="position:absolute;margin-left:433.85000000000002pt;margin-top:211.09999999999999pt;width:19.449999999999999pt;height:34.799999999999997pt;z-index:251657731;mso-wrap-distance-left:0;mso-wrap-distance-right:0;mso-position-horizontal-relative:page;mso-position-vertical-relative:margin" filled="f" stroked="f">
                <v:textbox inset="0,0,0,0">
                  <w:txbxContent>
                    <w:p>
                      <w:pPr>
                        <w:pStyle w:val="Style6"/>
                        <w:keepNext w:val="0"/>
                        <w:keepLines w:val="0"/>
                        <w:widowControl w:val="0"/>
                        <w:shd w:val="clear" w:color="auto" w:fill="auto"/>
                        <w:bidi w:val="0"/>
                        <w:spacing w:before="0" w:after="80" w:line="240" w:lineRule="auto"/>
                        <w:ind w:left="0" w:right="0" w:firstLine="0"/>
                        <w:jc w:val="right"/>
                        <w:rPr>
                          <w:sz w:val="18"/>
                          <w:szCs w:val="18"/>
                        </w:rPr>
                      </w:pPr>
                      <w:r>
                        <w:rPr>
                          <w:color w:val="404040"/>
                          <w:spacing w:val="0"/>
                          <w:w w:val="100"/>
                          <w:position w:val="0"/>
                          <w:sz w:val="18"/>
                          <w:szCs w:val="18"/>
                          <w:shd w:val="clear" w:color="auto" w:fill="auto"/>
                          <w:lang w:val="en-US" w:eastAsia="en-US" w:bidi="en-US"/>
                        </w:rPr>
                        <w:t>4.93</w:t>
                      </w:r>
                    </w:p>
                    <w:p>
                      <w:pPr>
                        <w:pStyle w:val="Style6"/>
                        <w:keepNext w:val="0"/>
                        <w:keepLines w:val="0"/>
                        <w:widowControl w:val="0"/>
                        <w:shd w:val="clear" w:color="auto" w:fill="auto"/>
                        <w:bidi w:val="0"/>
                        <w:spacing w:before="0" w:after="0" w:line="240" w:lineRule="auto"/>
                        <w:ind w:left="0" w:right="0" w:firstLine="0"/>
                        <w:jc w:val="center"/>
                        <w:rPr>
                          <w:sz w:val="18"/>
                          <w:szCs w:val="18"/>
                        </w:rPr>
                      </w:pPr>
                      <w:r>
                        <w:rPr>
                          <w:color w:val="4473C5"/>
                          <w:spacing w:val="0"/>
                          <w:w w:val="100"/>
                          <w:position w:val="0"/>
                          <w:sz w:val="18"/>
                          <w:szCs w:val="18"/>
                          <w:shd w:val="clear" w:color="auto" w:fill="auto"/>
                          <w:lang w:val="en-US" w:eastAsia="en-US" w:bidi="en-US"/>
                        </w:rPr>
                        <w:t>I</w:t>
                      </w:r>
                    </w:p>
                  </w:txbxContent>
                </v:textbox>
                <w10:wrap anchorx="page" anchory="margin"/>
              </v:shape>
            </w:pict>
          </mc:Fallback>
        </mc:AlternateContent>
      </w:r>
      <w:r>
        <mc:AlternateContent>
          <mc:Choice Requires="wps">
            <w:drawing>
              <wp:anchor distT="176530" distB="1987550" distL="4488180" distR="711835" simplePos="0" relativeHeight="125829388" behindDoc="0" locked="0" layoutInCell="1" allowOverlap="1">
                <wp:simplePos x="0" y="0"/>
                <wp:positionH relativeFrom="page">
                  <wp:posOffset>5634990</wp:posOffset>
                </wp:positionH>
                <wp:positionV relativeFrom="margin">
                  <wp:posOffset>1028700</wp:posOffset>
                </wp:positionV>
                <wp:extent cx="247015" cy="155575"/>
                <wp:wrapTopAndBottom/>
                <wp:docPr id="32" name="Shape 32"/>
                <a:graphic xmlns:a="http://schemas.openxmlformats.org/drawingml/2006/main">
                  <a:graphicData uri="http://schemas.microsoft.com/office/word/2010/wordprocessingShape">
                    <wps:wsp>
                      <wps:cNvSpPr txBox="1"/>
                      <wps:spPr>
                        <a:xfrm>
                          <a:ext cx="247015" cy="15557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8"/>
                                <w:szCs w:val="18"/>
                              </w:rPr>
                            </w:pPr>
                            <w:r>
                              <w:rPr>
                                <w:color w:val="404040"/>
                                <w:spacing w:val="0"/>
                                <w:w w:val="100"/>
                                <w:position w:val="0"/>
                                <w:sz w:val="18"/>
                                <w:szCs w:val="18"/>
                                <w:shd w:val="clear" w:color="auto" w:fill="auto"/>
                                <w:lang w:val="en-US" w:eastAsia="en-US" w:bidi="en-US"/>
                              </w:rPr>
                              <w:t>43.3</w:t>
                            </w:r>
                          </w:p>
                        </w:txbxContent>
                      </wps:txbx>
                      <wps:bodyPr wrap="none" lIns="0" tIns="0" rIns="0" bIns="0">
                        <a:noAutoFit/>
                      </wps:bodyPr>
                    </wps:wsp>
                  </a:graphicData>
                </a:graphic>
              </wp:anchor>
            </w:drawing>
          </mc:Choice>
          <mc:Fallback>
            <w:pict>
              <v:shape id="_x0000_s1058" type="#_x0000_t202" style="position:absolute;margin-left:443.69999999999999pt;margin-top:81.pt;width:19.449999999999999pt;height:12.25pt;z-index:-125829365;mso-wrap-distance-left:353.39999999999998pt;mso-wrap-distance-top:13.9pt;mso-wrap-distance-right:56.049999999999997pt;mso-wrap-distance-bottom:156.5pt;mso-position-horizontal-relative:page;mso-position-vertical-relative:margin"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8"/>
                          <w:szCs w:val="18"/>
                        </w:rPr>
                      </w:pPr>
                      <w:r>
                        <w:rPr>
                          <w:color w:val="404040"/>
                          <w:spacing w:val="0"/>
                          <w:w w:val="100"/>
                          <w:position w:val="0"/>
                          <w:sz w:val="18"/>
                          <w:szCs w:val="18"/>
                          <w:shd w:val="clear" w:color="auto" w:fill="auto"/>
                          <w:lang w:val="en-US" w:eastAsia="en-US" w:bidi="en-US"/>
                        </w:rPr>
                        <w:t>43.3</w:t>
                      </w:r>
                    </w:p>
                  </w:txbxContent>
                </v:textbox>
                <w10:wrap type="topAndBottom" anchorx="page" anchory="margin"/>
              </v:shape>
            </w:pict>
          </mc:Fallback>
        </mc:AlternateContent>
      </w:r>
      <w:r>
        <mc:AlternateContent>
          <mc:Choice Requires="wps">
            <w:drawing>
              <wp:anchor distT="125095" distB="2038985" distL="4792980" distR="349250" simplePos="0" relativeHeight="125829390" behindDoc="0" locked="0" layoutInCell="1" allowOverlap="1">
                <wp:simplePos x="0" y="0"/>
                <wp:positionH relativeFrom="page">
                  <wp:posOffset>5939790</wp:posOffset>
                </wp:positionH>
                <wp:positionV relativeFrom="margin">
                  <wp:posOffset>977265</wp:posOffset>
                </wp:positionV>
                <wp:extent cx="304800" cy="155575"/>
                <wp:wrapTopAndBottom/>
                <wp:docPr id="34" name="Shape 34"/>
                <a:graphic xmlns:a="http://schemas.openxmlformats.org/drawingml/2006/main">
                  <a:graphicData uri="http://schemas.microsoft.com/office/word/2010/wordprocessingShape">
                    <wps:wsp>
                      <wps:cNvSpPr txBox="1"/>
                      <wps:spPr>
                        <a:xfrm>
                          <a:ext cx="304800" cy="15557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8"/>
                                <w:szCs w:val="18"/>
                              </w:rPr>
                            </w:pPr>
                            <w:r>
                              <w:rPr>
                                <w:color w:val="404040"/>
                                <w:spacing w:val="0"/>
                                <w:w w:val="100"/>
                                <w:position w:val="0"/>
                                <w:sz w:val="18"/>
                                <w:szCs w:val="18"/>
                                <w:shd w:val="clear" w:color="auto" w:fill="auto"/>
                                <w:lang w:val="en-US" w:eastAsia="en-US" w:bidi="en-US"/>
                              </w:rPr>
                              <w:t>44.55</w:t>
                            </w:r>
                          </w:p>
                        </w:txbxContent>
                      </wps:txbx>
                      <wps:bodyPr wrap="none" lIns="0" tIns="0" rIns="0" bIns="0">
                        <a:noAutoFit/>
                      </wps:bodyPr>
                    </wps:wsp>
                  </a:graphicData>
                </a:graphic>
              </wp:anchor>
            </w:drawing>
          </mc:Choice>
          <mc:Fallback>
            <w:pict>
              <v:shape id="_x0000_s1060" type="#_x0000_t202" style="position:absolute;margin-left:467.69999999999999pt;margin-top:76.950000000000003pt;width:24.pt;height:12.25pt;z-index:-125829363;mso-wrap-distance-left:377.39999999999998pt;mso-wrap-distance-top:9.8499999999999996pt;mso-wrap-distance-right:27.5pt;mso-wrap-distance-bottom:160.55000000000001pt;mso-position-horizontal-relative:page;mso-position-vertical-relative:margin"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8"/>
                          <w:szCs w:val="18"/>
                        </w:rPr>
                      </w:pPr>
                      <w:r>
                        <w:rPr>
                          <w:color w:val="404040"/>
                          <w:spacing w:val="0"/>
                          <w:w w:val="100"/>
                          <w:position w:val="0"/>
                          <w:sz w:val="18"/>
                          <w:szCs w:val="18"/>
                          <w:shd w:val="clear" w:color="auto" w:fill="auto"/>
                          <w:lang w:val="en-US" w:eastAsia="en-US" w:bidi="en-US"/>
                        </w:rPr>
                        <w:t>44.55</w:t>
                      </w:r>
                    </w:p>
                  </w:txbxContent>
                </v:textbox>
                <w10:wrap type="topAndBottom" anchorx="page" anchory="margin"/>
              </v:shape>
            </w:pict>
          </mc:Fallback>
        </mc:AlternateContent>
      </w:r>
      <w:r>
        <mc:AlternateContent>
          <mc:Choice Requires="wps">
            <w:drawing>
              <wp:anchor distT="1847215" distB="48895" distL="4707890" distR="492125" simplePos="0" relativeHeight="125829392" behindDoc="0" locked="0" layoutInCell="1" allowOverlap="1">
                <wp:simplePos x="0" y="0"/>
                <wp:positionH relativeFrom="page">
                  <wp:posOffset>5854700</wp:posOffset>
                </wp:positionH>
                <wp:positionV relativeFrom="margin">
                  <wp:posOffset>2699385</wp:posOffset>
                </wp:positionV>
                <wp:extent cx="247015" cy="423545"/>
                <wp:wrapTopAndBottom/>
                <wp:docPr id="36" name="Shape 36"/>
                <a:graphic xmlns:a="http://schemas.openxmlformats.org/drawingml/2006/main">
                  <a:graphicData uri="http://schemas.microsoft.com/office/word/2010/wordprocessingShape">
                    <wps:wsp>
                      <wps:cNvSpPr txBox="1"/>
                      <wps:spPr>
                        <a:xfrm>
                          <a:ext cx="247015" cy="423545"/>
                        </a:xfrm>
                        <a:prstGeom prst="rect"/>
                        <a:noFill/>
                      </wps:spPr>
                      <wps:txbx>
                        <w:txbxContent>
                          <w:p>
                            <w:pPr>
                              <w:pStyle w:val="Style9"/>
                              <w:keepNext w:val="0"/>
                              <w:keepLines w:val="0"/>
                              <w:widowControl w:val="0"/>
                              <w:shd w:val="clear" w:color="auto" w:fill="auto"/>
                              <w:bidi w:val="0"/>
                              <w:spacing w:before="0" w:after="100" w:line="240" w:lineRule="auto"/>
                              <w:ind w:left="0" w:right="0" w:firstLine="0"/>
                              <w:jc w:val="center"/>
                              <w:rPr>
                                <w:sz w:val="18"/>
                                <w:szCs w:val="18"/>
                              </w:rPr>
                            </w:pPr>
                            <w:r>
                              <w:rPr>
                                <w:color w:val="404040"/>
                                <w:spacing w:val="0"/>
                                <w:w w:val="100"/>
                                <w:position w:val="0"/>
                                <w:sz w:val="18"/>
                                <w:szCs w:val="18"/>
                                <w:shd w:val="clear" w:color="auto" w:fill="auto"/>
                                <w:lang w:val="en-US" w:eastAsia="en-US" w:bidi="en-US"/>
                              </w:rPr>
                              <w:t>4.27</w:t>
                            </w:r>
                          </w:p>
                          <w:p>
                            <w:pPr>
                              <w:pStyle w:val="Style9"/>
                              <w:keepNext w:val="0"/>
                              <w:keepLines w:val="0"/>
                              <w:widowControl w:val="0"/>
                              <w:shd w:val="clear" w:color="auto" w:fill="auto"/>
                              <w:bidi w:val="0"/>
                              <w:spacing w:before="0" w:after="0" w:line="240" w:lineRule="auto"/>
                              <w:ind w:left="0" w:right="0" w:firstLine="0"/>
                              <w:jc w:val="center"/>
                              <w:rPr>
                                <w:sz w:val="18"/>
                                <w:szCs w:val="18"/>
                              </w:rPr>
                            </w:pPr>
                            <w:r>
                              <w:rPr>
                                <w:color w:val="4473C5"/>
                                <w:spacing w:val="0"/>
                                <w:w w:val="100"/>
                                <w:position w:val="0"/>
                                <w:sz w:val="18"/>
                                <w:szCs w:val="18"/>
                                <w:shd w:val="clear" w:color="auto" w:fill="auto"/>
                                <w:lang w:val="en-US" w:eastAsia="en-US" w:bidi="en-US"/>
                              </w:rPr>
                              <w:t>I</w:t>
                            </w:r>
                          </w:p>
                        </w:txbxContent>
                      </wps:txbx>
                      <wps:bodyPr lIns="0" tIns="0" rIns="0" bIns="0">
                        <a:noAutoFit/>
                      </wps:bodyPr>
                    </wps:wsp>
                  </a:graphicData>
                </a:graphic>
              </wp:anchor>
            </w:drawing>
          </mc:Choice>
          <mc:Fallback>
            <w:pict>
              <v:shape id="_x0000_s1062" type="#_x0000_t202" style="position:absolute;margin-left:461.pt;margin-top:212.55000000000001pt;width:19.449999999999999pt;height:33.350000000000001pt;z-index:-125829361;mso-wrap-distance-left:370.69999999999999pt;mso-wrap-distance-top:145.44999999999999pt;mso-wrap-distance-right:38.75pt;mso-wrap-distance-bottom:3.8500000000000001pt;mso-position-horizontal-relative:page;mso-position-vertical-relative:margin" filled="f" stroked="f">
                <v:textbox inset="0,0,0,0">
                  <w:txbxContent>
                    <w:p>
                      <w:pPr>
                        <w:pStyle w:val="Style9"/>
                        <w:keepNext w:val="0"/>
                        <w:keepLines w:val="0"/>
                        <w:widowControl w:val="0"/>
                        <w:shd w:val="clear" w:color="auto" w:fill="auto"/>
                        <w:bidi w:val="0"/>
                        <w:spacing w:before="0" w:after="100" w:line="240" w:lineRule="auto"/>
                        <w:ind w:left="0" w:right="0" w:firstLine="0"/>
                        <w:jc w:val="center"/>
                        <w:rPr>
                          <w:sz w:val="18"/>
                          <w:szCs w:val="18"/>
                        </w:rPr>
                      </w:pPr>
                      <w:r>
                        <w:rPr>
                          <w:color w:val="404040"/>
                          <w:spacing w:val="0"/>
                          <w:w w:val="100"/>
                          <w:position w:val="0"/>
                          <w:sz w:val="18"/>
                          <w:szCs w:val="18"/>
                          <w:shd w:val="clear" w:color="auto" w:fill="auto"/>
                          <w:lang w:val="en-US" w:eastAsia="en-US" w:bidi="en-US"/>
                        </w:rPr>
                        <w:t>4.27</w:t>
                      </w:r>
                    </w:p>
                    <w:p>
                      <w:pPr>
                        <w:pStyle w:val="Style9"/>
                        <w:keepNext w:val="0"/>
                        <w:keepLines w:val="0"/>
                        <w:widowControl w:val="0"/>
                        <w:shd w:val="clear" w:color="auto" w:fill="auto"/>
                        <w:bidi w:val="0"/>
                        <w:spacing w:before="0" w:after="0" w:line="240" w:lineRule="auto"/>
                        <w:ind w:left="0" w:right="0" w:firstLine="0"/>
                        <w:jc w:val="center"/>
                        <w:rPr>
                          <w:sz w:val="18"/>
                          <w:szCs w:val="18"/>
                        </w:rPr>
                      </w:pPr>
                      <w:r>
                        <w:rPr>
                          <w:color w:val="4473C5"/>
                          <w:spacing w:val="0"/>
                          <w:w w:val="100"/>
                          <w:position w:val="0"/>
                          <w:sz w:val="18"/>
                          <w:szCs w:val="18"/>
                          <w:shd w:val="clear" w:color="auto" w:fill="auto"/>
                          <w:lang w:val="en-US" w:eastAsia="en-US" w:bidi="en-US"/>
                        </w:rPr>
                        <w:t>I</w:t>
                      </w:r>
                    </w:p>
                  </w:txbxContent>
                </v:textbox>
                <w10:wrap type="topAndBottom" anchorx="page" anchory="margin"/>
              </v:shape>
            </w:pict>
          </mc:Fallback>
        </mc:AlternateContent>
      </w:r>
      <w:r>
        <mc:AlternateContent>
          <mc:Choice Requires="wps">
            <w:drawing>
              <wp:anchor distT="1920240" distB="33655" distL="5064125" distR="114935" simplePos="0" relativeHeight="125829394" behindDoc="0" locked="0" layoutInCell="1" allowOverlap="1">
                <wp:simplePos x="0" y="0"/>
                <wp:positionH relativeFrom="page">
                  <wp:posOffset>6210935</wp:posOffset>
                </wp:positionH>
                <wp:positionV relativeFrom="margin">
                  <wp:posOffset>2772410</wp:posOffset>
                </wp:positionV>
                <wp:extent cx="267970" cy="365760"/>
                <wp:wrapTopAndBottom/>
                <wp:docPr id="38" name="Shape 38"/>
                <a:graphic xmlns:a="http://schemas.openxmlformats.org/drawingml/2006/main">
                  <a:graphicData uri="http://schemas.microsoft.com/office/word/2010/wordprocessingShape">
                    <wps:wsp>
                      <wps:cNvSpPr txBox="1"/>
                      <wps:spPr>
                        <a:xfrm>
                          <a:ext cx="267970" cy="36576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rPr>
                                <w:sz w:val="18"/>
                                <w:szCs w:val="18"/>
                              </w:rPr>
                            </w:pPr>
                            <w:r>
                              <w:rPr>
                                <w:color w:val="404040"/>
                                <w:spacing w:val="0"/>
                                <w:w w:val="100"/>
                                <w:position w:val="0"/>
                                <w:sz w:val="18"/>
                                <w:szCs w:val="18"/>
                                <w:shd w:val="clear" w:color="auto" w:fill="auto"/>
                                <w:lang w:val="en-US" w:eastAsia="en-US" w:bidi="en-US"/>
                              </w:rPr>
                              <w:t>2.82</w:t>
                            </w:r>
                          </w:p>
                          <w:p>
                            <w:pPr>
                              <w:pStyle w:val="Style17"/>
                              <w:keepNext w:val="0"/>
                              <w:keepLines w:val="0"/>
                              <w:widowControl w:val="0"/>
                              <w:shd w:val="clear" w:color="auto" w:fill="auto"/>
                              <w:bidi w:val="0"/>
                              <w:spacing w:before="0" w:after="0" w:line="230" w:lineRule="auto"/>
                              <w:ind w:left="0" w:right="0" w:firstLine="0"/>
                              <w:jc w:val="right"/>
                            </w:pPr>
                            <w:r>
                              <w:rPr>
                                <w:color w:val="404040"/>
                                <w:spacing w:val="0"/>
                                <w:w w:val="100"/>
                                <w:position w:val="0"/>
                                <w:shd w:val="clear" w:color="auto" w:fill="auto"/>
                                <w:vertAlign w:val="superscript"/>
                                <w:lang w:val="en-US" w:eastAsia="en-US" w:bidi="en-US"/>
                              </w:rPr>
                              <w:t>0</w:t>
                            </w:r>
                          </w:p>
                        </w:txbxContent>
                      </wps:txbx>
                      <wps:bodyPr lIns="0" tIns="0" rIns="0" bIns="0">
                        <a:noAutoFit/>
                      </wps:bodyPr>
                    </wps:wsp>
                  </a:graphicData>
                </a:graphic>
              </wp:anchor>
            </w:drawing>
          </mc:Choice>
          <mc:Fallback>
            <w:pict>
              <v:shape id="_x0000_s1064" type="#_x0000_t202" style="position:absolute;margin-left:489.05000000000001pt;margin-top:218.30000000000001pt;width:21.100000000000001pt;height:28.800000000000001pt;z-index:-125829359;mso-wrap-distance-left:398.75pt;mso-wrap-distance-top:151.19999999999999pt;mso-wrap-distance-right:9.0500000000000007pt;mso-wrap-distance-bottom:2.6499999999999999pt;mso-position-horizontal-relative:page;mso-position-vertical-relative:margin" filled="f" stroked="f">
                <v:textbox inset="0,0,0,0">
                  <w:txbxContent>
                    <w:p>
                      <w:pPr>
                        <w:pStyle w:val="Style9"/>
                        <w:keepNext w:val="0"/>
                        <w:keepLines w:val="0"/>
                        <w:widowControl w:val="0"/>
                        <w:shd w:val="clear" w:color="auto" w:fill="auto"/>
                        <w:bidi w:val="0"/>
                        <w:spacing w:before="0" w:after="0" w:line="240" w:lineRule="auto"/>
                        <w:ind w:left="0" w:right="0" w:firstLine="0"/>
                        <w:jc w:val="right"/>
                        <w:rPr>
                          <w:sz w:val="18"/>
                          <w:szCs w:val="18"/>
                        </w:rPr>
                      </w:pPr>
                      <w:r>
                        <w:rPr>
                          <w:color w:val="404040"/>
                          <w:spacing w:val="0"/>
                          <w:w w:val="100"/>
                          <w:position w:val="0"/>
                          <w:sz w:val="18"/>
                          <w:szCs w:val="18"/>
                          <w:shd w:val="clear" w:color="auto" w:fill="auto"/>
                          <w:lang w:val="en-US" w:eastAsia="en-US" w:bidi="en-US"/>
                        </w:rPr>
                        <w:t>2.82</w:t>
                      </w:r>
                    </w:p>
                    <w:p>
                      <w:pPr>
                        <w:pStyle w:val="Style17"/>
                        <w:keepNext w:val="0"/>
                        <w:keepLines w:val="0"/>
                        <w:widowControl w:val="0"/>
                        <w:shd w:val="clear" w:color="auto" w:fill="auto"/>
                        <w:bidi w:val="0"/>
                        <w:spacing w:before="0" w:after="0" w:line="230" w:lineRule="auto"/>
                        <w:ind w:left="0" w:right="0" w:firstLine="0"/>
                        <w:jc w:val="right"/>
                      </w:pPr>
                      <w:r>
                        <w:rPr>
                          <w:color w:val="404040"/>
                          <w:spacing w:val="0"/>
                          <w:w w:val="100"/>
                          <w:position w:val="0"/>
                          <w:shd w:val="clear" w:color="auto" w:fill="auto"/>
                          <w:vertAlign w:val="superscript"/>
                          <w:lang w:val="en-US" w:eastAsia="en-US" w:bidi="en-US"/>
                        </w:rPr>
                        <w:t>0</w:t>
                      </w:r>
                    </w:p>
                  </w:txbxContent>
                </v:textbox>
                <w10:wrap type="topAndBottom" anchorx="page" anchory="margin"/>
              </v:shape>
            </w:pict>
          </mc:Fallback>
        </mc:AlternateContent>
      </w:r>
      <w:r>
        <w:rPr>
          <w:b/>
          <w:bCs/>
          <w:color w:val="595959"/>
          <w:spacing w:val="0"/>
          <w:w w:val="100"/>
          <w:position w:val="0"/>
          <w:sz w:val="24"/>
          <w:szCs w:val="24"/>
          <w:u w:val="none"/>
          <w:shd w:val="clear" w:color="auto" w:fill="auto"/>
          <w:lang w:val="en-US" w:eastAsia="en-US" w:bidi="en-US"/>
        </w:rPr>
        <w:t>Marfuri transportate - total mil. tone</w:t>
      </w:r>
    </w:p>
    <w:p>
      <w:pPr>
        <w:pStyle w:val="Style9"/>
        <w:keepNext w:val="0"/>
        <w:keepLines w:val="0"/>
        <w:widowControl w:val="0"/>
        <w:shd w:val="clear" w:color="auto" w:fill="auto"/>
        <w:bidi w:val="0"/>
        <w:spacing w:before="0" w:after="180" w:line="240" w:lineRule="auto"/>
        <w:ind w:left="1180" w:right="0" w:firstLine="0"/>
        <w:jc w:val="left"/>
        <w:rPr>
          <w:sz w:val="20"/>
          <w:szCs w:val="20"/>
        </w:rPr>
      </w:pPr>
      <w:r>
        <w:rPr>
          <w:color w:val="595959"/>
          <w:spacing w:val="0"/>
          <w:w w:val="100"/>
          <w:position w:val="0"/>
          <w:sz w:val="20"/>
          <w:szCs w:val="20"/>
          <w:shd w:val="clear" w:color="auto" w:fill="auto"/>
          <w:lang w:val="en-US" w:eastAsia="en-US" w:bidi="en-US"/>
        </w:rPr>
        <w:t>2000 2007 2008 2009 2010 2011 2012 2013 2014 2015 2016 2017 2018 2019 2020</w:t>
      </w:r>
    </w:p>
    <w:p>
      <w:pPr>
        <w:pStyle w:val="Style9"/>
        <w:keepNext w:val="0"/>
        <w:keepLines w:val="0"/>
        <w:widowControl w:val="0"/>
        <w:shd w:val="clear" w:color="auto" w:fill="auto"/>
        <w:bidi w:val="0"/>
        <w:spacing w:before="0" w:after="180" w:line="240" w:lineRule="auto"/>
        <w:ind w:left="0" w:right="0" w:firstLine="0"/>
        <w:jc w:val="center"/>
        <w:rPr>
          <w:sz w:val="24"/>
          <w:szCs w:val="24"/>
        </w:rPr>
      </w:pPr>
      <w:r>
        <w:rPr>
          <w:b/>
          <w:bCs/>
          <w:color w:val="4473C5"/>
          <w:spacing w:val="0"/>
          <w:w w:val="100"/>
          <w:position w:val="0"/>
          <w:sz w:val="24"/>
          <w:szCs w:val="24"/>
          <w:shd w:val="clear" w:color="auto" w:fill="auto"/>
          <w:lang w:val="en-US" w:eastAsia="en-US" w:bidi="en-US"/>
        </w:rPr>
        <w:t xml:space="preserve">■ </w:t>
      </w:r>
      <w:r>
        <w:rPr>
          <w:b/>
          <w:bCs/>
          <w:color w:val="595959"/>
          <w:spacing w:val="0"/>
          <w:w w:val="100"/>
          <w:position w:val="0"/>
          <w:sz w:val="24"/>
          <w:szCs w:val="24"/>
          <w:shd w:val="clear" w:color="auto" w:fill="auto"/>
          <w:lang w:val="en-US" w:eastAsia="en-US" w:bidi="en-US"/>
        </w:rPr>
        <w:t xml:space="preserve">Transport feroviar </w:t>
      </w:r>
      <w:r>
        <w:rPr>
          <w:b/>
          <w:bCs/>
          <w:color w:val="ED7D31"/>
          <w:spacing w:val="0"/>
          <w:w w:val="100"/>
          <w:position w:val="0"/>
          <w:sz w:val="24"/>
          <w:szCs w:val="24"/>
          <w:shd w:val="clear" w:color="auto" w:fill="auto"/>
          <w:lang w:val="en-US" w:eastAsia="en-US" w:bidi="en-US"/>
        </w:rPr>
        <w:t xml:space="preserve">■ </w:t>
      </w:r>
      <w:r>
        <w:rPr>
          <w:b/>
          <w:bCs/>
          <w:color w:val="595959"/>
          <w:spacing w:val="0"/>
          <w:w w:val="100"/>
          <w:position w:val="0"/>
          <w:sz w:val="24"/>
          <w:szCs w:val="24"/>
          <w:shd w:val="clear" w:color="auto" w:fill="auto"/>
          <w:lang w:val="en-US" w:eastAsia="en-US" w:bidi="en-US"/>
        </w:rPr>
        <w:t>Transport rutier</w:t>
      </w:r>
    </w:p>
    <w:p>
      <w:pPr>
        <w:pStyle w:val="Style17"/>
        <w:keepNext w:val="0"/>
        <w:keepLines w:val="0"/>
        <w:widowControl w:val="0"/>
        <w:shd w:val="clear" w:color="auto" w:fill="auto"/>
        <w:bidi w:val="0"/>
        <w:spacing w:before="0" w:after="180" w:line="240" w:lineRule="auto"/>
        <w:ind w:left="1480" w:right="0" w:firstLine="0"/>
        <w:jc w:val="left"/>
      </w:pPr>
      <w:r>
        <w:rPr>
          <w:color w:val="000000"/>
          <w:spacing w:val="0"/>
          <w:w w:val="100"/>
          <w:position w:val="0"/>
          <w:shd w:val="clear" w:color="auto" w:fill="auto"/>
          <w:lang w:val="en-US" w:eastAsia="en-US" w:bidi="en-US"/>
        </w:rPr>
        <w:t>Fig.1. Dinamica volumului total de marfuri transportate: rutier si feroviar</w:t>
      </w:r>
    </w:p>
    <w:p>
      <w:pPr>
        <w:widowControl w:val="0"/>
        <w:spacing w:line="1" w:lineRule="exact"/>
      </w:pPr>
      <w:r>
        <w:drawing>
          <wp:anchor distT="634365" distB="2917190" distL="514985" distR="902335" simplePos="0" relativeHeight="125829396" behindDoc="0" locked="0" layoutInCell="1" allowOverlap="1">
            <wp:simplePos x="0" y="0"/>
            <wp:positionH relativeFrom="page">
              <wp:posOffset>1285240</wp:posOffset>
            </wp:positionH>
            <wp:positionV relativeFrom="paragraph">
              <wp:posOffset>634365</wp:posOffset>
            </wp:positionV>
            <wp:extent cx="4944110" cy="1804670"/>
            <wp:wrapTopAndBottom/>
            <wp:docPr id="40" name="Shape 40"/>
            <a:graphic xmlns:a="http://schemas.openxmlformats.org/drawingml/2006/main">
              <a:graphicData uri="http://schemas.openxmlformats.org/drawingml/2006/picture">
                <pic:pic xmlns:pic="http://schemas.openxmlformats.org/drawingml/2006/picture">
                  <pic:nvPicPr>
                    <pic:cNvPr id="41" name="Picture box 41"/>
                    <pic:cNvPicPr/>
                  </pic:nvPicPr>
                  <pic:blipFill>
                    <a:blip r:embed="rId20"/>
                    <a:stretch/>
                  </pic:blipFill>
                  <pic:spPr>
                    <a:xfrm>
                      <a:ext cx="4944110" cy="180467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2614295</wp:posOffset>
                </wp:positionH>
                <wp:positionV relativeFrom="paragraph">
                  <wp:posOffset>165100</wp:posOffset>
                </wp:positionV>
                <wp:extent cx="2724785" cy="201295"/>
                <wp:wrapNone/>
                <wp:docPr id="42" name="Shape 42"/>
                <a:graphic xmlns:a="http://schemas.openxmlformats.org/drawingml/2006/main">
                  <a:graphicData uri="http://schemas.microsoft.com/office/word/2010/wordprocessingShape">
                    <wps:wsp>
                      <wps:cNvSpPr txBox="1"/>
                      <wps:spPr>
                        <a:xfrm>
                          <a:ext cx="2724785" cy="20129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24"/>
                                <w:szCs w:val="24"/>
                              </w:rPr>
                            </w:pPr>
                            <w:r>
                              <w:rPr>
                                <w:b/>
                                <w:bCs/>
                                <w:color w:val="595959"/>
                                <w:spacing w:val="0"/>
                                <w:w w:val="100"/>
                                <w:position w:val="0"/>
                                <w:sz w:val="24"/>
                                <w:szCs w:val="24"/>
                                <w:shd w:val="clear" w:color="auto" w:fill="auto"/>
                                <w:lang w:val="en-US" w:eastAsia="en-US" w:bidi="en-US"/>
                              </w:rPr>
                              <w:t>Parcursul marfurilor - miliarde tone*km</w:t>
                            </w:r>
                          </w:p>
                        </w:txbxContent>
                      </wps:txbx>
                      <wps:bodyPr lIns="0" tIns="0" rIns="0" bIns="0">
                        <a:noAutoFit/>
                      </wps:bodyPr>
                    </wps:wsp>
                  </a:graphicData>
                </a:graphic>
              </wp:anchor>
            </w:drawing>
          </mc:Choice>
          <mc:Fallback>
            <w:pict>
              <v:shape id="_x0000_s1068" type="#_x0000_t202" style="position:absolute;margin-left:205.84999999999999pt;margin-top:13.pt;width:214.55000000000001pt;height:15.85pt;z-index:251657733;mso-wrap-distance-left:0;mso-wrap-distance-right:0;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rPr>
                          <w:sz w:val="24"/>
                          <w:szCs w:val="24"/>
                        </w:rPr>
                      </w:pPr>
                      <w:r>
                        <w:rPr>
                          <w:b/>
                          <w:bCs/>
                          <w:color w:val="595959"/>
                          <w:spacing w:val="0"/>
                          <w:w w:val="100"/>
                          <w:position w:val="0"/>
                          <w:sz w:val="24"/>
                          <w:szCs w:val="24"/>
                          <w:shd w:val="clear" w:color="auto" w:fill="auto"/>
                          <w:lang w:val="en-US" w:eastAsia="en-US" w:bidi="en-US"/>
                        </w:rPr>
                        <w:t>Parcursul marfurilor - miliarde tone*km</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1261110</wp:posOffset>
                </wp:positionH>
                <wp:positionV relativeFrom="paragraph">
                  <wp:posOffset>417830</wp:posOffset>
                </wp:positionV>
                <wp:extent cx="106680" cy="170815"/>
                <wp:wrapNone/>
                <wp:docPr id="44" name="Shape 44"/>
                <a:graphic xmlns:a="http://schemas.openxmlformats.org/drawingml/2006/main">
                  <a:graphicData uri="http://schemas.microsoft.com/office/word/2010/wordprocessingShape">
                    <wps:wsp>
                      <wps:cNvSpPr txBox="1"/>
                      <wps:spPr>
                        <a:xfrm>
                          <a:ext cx="106680" cy="17081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20"/>
                                <w:szCs w:val="20"/>
                              </w:rPr>
                            </w:pPr>
                            <w:r>
                              <w:rPr>
                                <w:color w:val="595959"/>
                                <w:spacing w:val="0"/>
                                <w:w w:val="100"/>
                                <w:position w:val="0"/>
                                <w:sz w:val="20"/>
                                <w:szCs w:val="20"/>
                                <w:shd w:val="clear" w:color="auto" w:fill="auto"/>
                                <w:lang w:val="en-US" w:eastAsia="en-US" w:bidi="en-US"/>
                              </w:rPr>
                              <w:t>6</w:t>
                            </w:r>
                          </w:p>
                        </w:txbxContent>
                      </wps:txbx>
                      <wps:bodyPr lIns="0" tIns="0" rIns="0" bIns="0">
                        <a:noAutoFit/>
                      </wps:bodyPr>
                    </wps:wsp>
                  </a:graphicData>
                </a:graphic>
              </wp:anchor>
            </w:drawing>
          </mc:Choice>
          <mc:Fallback>
            <w:pict>
              <v:shape id="_x0000_s1070" type="#_x0000_t202" style="position:absolute;margin-left:99.299999999999997pt;margin-top:32.899999999999999pt;width:8.4000000000000004pt;height:13.449999999999999pt;z-index:251657735;mso-wrap-distance-left:0;mso-wrap-distance-right:0;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rPr>
                          <w:sz w:val="20"/>
                          <w:szCs w:val="20"/>
                        </w:rPr>
                      </w:pPr>
                      <w:r>
                        <w:rPr>
                          <w:color w:val="595959"/>
                          <w:spacing w:val="0"/>
                          <w:w w:val="100"/>
                          <w:position w:val="0"/>
                          <w:sz w:val="20"/>
                          <w:szCs w:val="20"/>
                          <w:shd w:val="clear" w:color="auto" w:fill="auto"/>
                          <w:lang w:val="en-US" w:eastAsia="en-US" w:bidi="en-US"/>
                        </w:rPr>
                        <w:t>6</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6308090</wp:posOffset>
                </wp:positionH>
                <wp:positionV relativeFrom="paragraph">
                  <wp:posOffset>2307590</wp:posOffset>
                </wp:positionV>
                <wp:extent cx="286385" cy="170815"/>
                <wp:wrapNone/>
                <wp:docPr id="46" name="Shape 46"/>
                <a:graphic xmlns:a="http://schemas.openxmlformats.org/drawingml/2006/main">
                  <a:graphicData uri="http://schemas.microsoft.com/office/word/2010/wordprocessingShape">
                    <wps:wsp>
                      <wps:cNvSpPr txBox="1"/>
                      <wps:spPr>
                        <a:xfrm>
                          <a:ext cx="286385" cy="17081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20"/>
                                <w:szCs w:val="20"/>
                              </w:rPr>
                            </w:pPr>
                            <w:r>
                              <w:rPr>
                                <w:color w:val="595959"/>
                                <w:spacing w:val="0"/>
                                <w:w w:val="100"/>
                                <w:position w:val="0"/>
                                <w:sz w:val="20"/>
                                <w:szCs w:val="20"/>
                                <w:shd w:val="clear" w:color="auto" w:fill="auto"/>
                                <w:lang w:val="en-US" w:eastAsia="en-US" w:bidi="en-US"/>
                              </w:rPr>
                              <w:t>2020</w:t>
                            </w:r>
                          </w:p>
                        </w:txbxContent>
                      </wps:txbx>
                      <wps:bodyPr lIns="0" tIns="0" rIns="0" bIns="0">
                        <a:noAutoFit/>
                      </wps:bodyPr>
                    </wps:wsp>
                  </a:graphicData>
                </a:graphic>
              </wp:anchor>
            </w:drawing>
          </mc:Choice>
          <mc:Fallback>
            <w:pict>
              <v:shape id="_x0000_s1072" type="#_x0000_t202" style="position:absolute;margin-left:496.69999999999999pt;margin-top:181.69999999999999pt;width:22.550000000000001pt;height:13.449999999999999pt;z-index:251657737;mso-wrap-distance-left:0;mso-wrap-distance-right:0;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rPr>
                          <w:sz w:val="20"/>
                          <w:szCs w:val="20"/>
                        </w:rPr>
                      </w:pPr>
                      <w:r>
                        <w:rPr>
                          <w:color w:val="595959"/>
                          <w:spacing w:val="0"/>
                          <w:w w:val="100"/>
                          <w:position w:val="0"/>
                          <w:sz w:val="20"/>
                          <w:szCs w:val="20"/>
                          <w:shd w:val="clear" w:color="auto" w:fill="auto"/>
                          <w:lang w:val="en-US" w:eastAsia="en-US" w:bidi="en-US"/>
                        </w:rPr>
                        <w:t>2020</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6308090</wp:posOffset>
                </wp:positionH>
                <wp:positionV relativeFrom="paragraph">
                  <wp:posOffset>1877695</wp:posOffset>
                </wp:positionV>
                <wp:extent cx="262255" cy="420370"/>
                <wp:wrapNone/>
                <wp:docPr id="48" name="Shape 48"/>
                <a:graphic xmlns:a="http://schemas.openxmlformats.org/drawingml/2006/main">
                  <a:graphicData uri="http://schemas.microsoft.com/office/word/2010/wordprocessingShape">
                    <wps:wsp>
                      <wps:cNvSpPr txBox="1"/>
                      <wps:spPr>
                        <a:xfrm>
                          <a:ext cx="262255" cy="420370"/>
                        </a:xfrm>
                        <a:prstGeom prst="rect"/>
                        <a:noFill/>
                      </wps:spPr>
                      <wps:txbx>
                        <w:txbxContent>
                          <w:p>
                            <w:pPr>
                              <w:pStyle w:val="Style6"/>
                              <w:keepNext w:val="0"/>
                              <w:keepLines w:val="0"/>
                              <w:widowControl w:val="0"/>
                              <w:shd w:val="clear" w:color="auto" w:fill="auto"/>
                              <w:bidi w:val="0"/>
                              <w:spacing w:before="0" w:after="80" w:line="240" w:lineRule="auto"/>
                              <w:ind w:left="0" w:right="0" w:firstLine="0"/>
                              <w:jc w:val="left"/>
                              <w:rPr>
                                <w:sz w:val="18"/>
                                <w:szCs w:val="18"/>
                              </w:rPr>
                            </w:pPr>
                            <w:r>
                              <w:rPr>
                                <w:color w:val="404040"/>
                                <w:spacing w:val="0"/>
                                <w:w w:val="100"/>
                                <w:position w:val="0"/>
                                <w:sz w:val="18"/>
                                <w:szCs w:val="18"/>
                                <w:shd w:val="clear" w:color="auto" w:fill="auto"/>
                                <w:lang w:val="en-US" w:eastAsia="en-US" w:bidi="en-US"/>
                              </w:rPr>
                              <w:t>0.6</w:t>
                            </w:r>
                          </w:p>
                          <w:p>
                            <w:pPr>
                              <w:pStyle w:val="Style6"/>
                              <w:keepNext w:val="0"/>
                              <w:keepLines w:val="0"/>
                              <w:widowControl w:val="0"/>
                              <w:shd w:val="clear" w:color="auto" w:fill="auto"/>
                              <w:bidi w:val="0"/>
                              <w:spacing w:before="0" w:after="0" w:line="240" w:lineRule="auto"/>
                              <w:ind w:left="0" w:right="0" w:firstLine="0"/>
                              <w:jc w:val="right"/>
                            </w:pPr>
                            <w:r>
                              <w:rPr>
                                <w:color w:val="404040"/>
                                <w:spacing w:val="0"/>
                                <w:w w:val="100"/>
                                <w:position w:val="0"/>
                                <w:shd w:val="clear" w:color="auto" w:fill="auto"/>
                                <w:vertAlign w:val="superscript"/>
                                <w:lang w:val="en-US" w:eastAsia="en-US" w:bidi="en-US"/>
                              </w:rPr>
                              <w:t>0</w:t>
                            </w:r>
                          </w:p>
                        </w:txbxContent>
                      </wps:txbx>
                      <wps:bodyPr lIns="0" tIns="0" rIns="0" bIns="0">
                        <a:noAutoFit/>
                      </wps:bodyPr>
                    </wps:wsp>
                  </a:graphicData>
                </a:graphic>
              </wp:anchor>
            </w:drawing>
          </mc:Choice>
          <mc:Fallback>
            <w:pict>
              <v:shape id="_x0000_s1074" type="#_x0000_t202" style="position:absolute;margin-left:496.69999999999999pt;margin-top:147.84999999999999pt;width:20.649999999999999pt;height:33.100000000000001pt;z-index:251657739;mso-wrap-distance-left:0;mso-wrap-distance-right:0;mso-position-horizontal-relative:page" filled="f" stroked="f">
                <v:textbox inset="0,0,0,0">
                  <w:txbxContent>
                    <w:p>
                      <w:pPr>
                        <w:pStyle w:val="Style6"/>
                        <w:keepNext w:val="0"/>
                        <w:keepLines w:val="0"/>
                        <w:widowControl w:val="0"/>
                        <w:shd w:val="clear" w:color="auto" w:fill="auto"/>
                        <w:bidi w:val="0"/>
                        <w:spacing w:before="0" w:after="80" w:line="240" w:lineRule="auto"/>
                        <w:ind w:left="0" w:right="0" w:firstLine="0"/>
                        <w:jc w:val="left"/>
                        <w:rPr>
                          <w:sz w:val="18"/>
                          <w:szCs w:val="18"/>
                        </w:rPr>
                      </w:pPr>
                      <w:r>
                        <w:rPr>
                          <w:color w:val="404040"/>
                          <w:spacing w:val="0"/>
                          <w:w w:val="100"/>
                          <w:position w:val="0"/>
                          <w:sz w:val="18"/>
                          <w:szCs w:val="18"/>
                          <w:shd w:val="clear" w:color="auto" w:fill="auto"/>
                          <w:lang w:val="en-US" w:eastAsia="en-US" w:bidi="en-US"/>
                        </w:rPr>
                        <w:t>0.6</w:t>
                      </w:r>
                    </w:p>
                    <w:p>
                      <w:pPr>
                        <w:pStyle w:val="Style6"/>
                        <w:keepNext w:val="0"/>
                        <w:keepLines w:val="0"/>
                        <w:widowControl w:val="0"/>
                        <w:shd w:val="clear" w:color="auto" w:fill="auto"/>
                        <w:bidi w:val="0"/>
                        <w:spacing w:before="0" w:after="0" w:line="240" w:lineRule="auto"/>
                        <w:ind w:left="0" w:right="0" w:firstLine="0"/>
                        <w:jc w:val="right"/>
                      </w:pPr>
                      <w:r>
                        <w:rPr>
                          <w:color w:val="404040"/>
                          <w:spacing w:val="0"/>
                          <w:w w:val="100"/>
                          <w:position w:val="0"/>
                          <w:shd w:val="clear" w:color="auto" w:fill="auto"/>
                          <w:vertAlign w:val="superscript"/>
                          <w:lang w:val="en-US" w:eastAsia="en-US" w:bidi="en-US"/>
                        </w:rPr>
                        <w:t>0</w:t>
                      </w:r>
                    </w:p>
                  </w:txbxContent>
                </v:textbox>
                <w10:wrap anchorx="page"/>
              </v:shape>
            </w:pict>
          </mc:Fallback>
        </mc:AlternateContent>
      </w:r>
      <w:r>
        <mc:AlternateContent>
          <mc:Choice Requires="wps">
            <w:drawing>
              <wp:anchor distT="0" distB="0" distL="0" distR="0" simplePos="0" relativeHeight="503316494" behindDoc="0" locked="0" layoutInCell="1" allowOverlap="1">
                <wp:simplePos x="0" y="0"/>
                <wp:positionH relativeFrom="page">
                  <wp:posOffset>5680710</wp:posOffset>
                </wp:positionH>
                <wp:positionV relativeFrom="paragraph">
                  <wp:posOffset>412115</wp:posOffset>
                </wp:positionV>
                <wp:extent cx="603250" cy="252730"/>
                <wp:wrapNone/>
                <wp:docPr id="50" name="Shape 50"/>
                <a:graphic xmlns:a="http://schemas.openxmlformats.org/drawingml/2006/main">
                  <a:graphicData uri="http://schemas.microsoft.com/office/word/2010/wordprocessingShape">
                    <wps:wsp>
                      <wps:cNvSpPr txBox="1"/>
                      <wps:spPr>
                        <a:xfrm>
                          <a:ext cx="603250" cy="252730"/>
                        </a:xfrm>
                        <a:prstGeom prst="rect"/>
                        <a:noFill/>
                      </wps:spPr>
                      <wps:txbx>
                        <w:txbxContent>
                          <w:p>
                            <w:pPr>
                              <w:pStyle w:val="Style6"/>
                              <w:keepNext w:val="0"/>
                              <w:keepLines w:val="0"/>
                              <w:widowControl w:val="0"/>
                              <w:shd w:val="clear" w:color="auto" w:fill="auto"/>
                              <w:tabs>
                                <w:tab w:pos="538" w:val="left"/>
                              </w:tabs>
                              <w:bidi w:val="0"/>
                              <w:spacing w:before="0" w:after="0" w:line="240" w:lineRule="auto"/>
                              <w:ind w:left="0" w:right="0" w:firstLine="0"/>
                              <w:jc w:val="left"/>
                            </w:pPr>
                            <w:r>
                              <w:rPr>
                                <w:color w:val="404040"/>
                                <w:spacing w:val="0"/>
                                <w:w w:val="100"/>
                                <w:position w:val="0"/>
                                <w:sz w:val="18"/>
                                <w:szCs w:val="18"/>
                                <w:shd w:val="clear" w:color="auto" w:fill="auto"/>
                                <w:lang w:val="en-US" w:eastAsia="en-US" w:bidi="en-US"/>
                              </w:rPr>
                              <w:t>5.29</w:t>
                              <w:tab/>
                            </w:r>
                            <w:r>
                              <w:rPr>
                                <w:color w:val="404040"/>
                                <w:spacing w:val="0"/>
                                <w:w w:val="100"/>
                                <w:position w:val="0"/>
                                <w:shd w:val="clear" w:color="auto" w:fill="auto"/>
                                <w:vertAlign w:val="superscript"/>
                                <w:lang w:val="en-US" w:eastAsia="en-US" w:bidi="en-US"/>
                              </w:rPr>
                              <w:t>5.57</w:t>
                            </w:r>
                          </w:p>
                        </w:txbxContent>
                      </wps:txbx>
                      <wps:bodyPr lIns="0" tIns="0" rIns="0" bIns="0">
                        <a:noAutoFit/>
                      </wps:bodyPr>
                    </wps:wsp>
                  </a:graphicData>
                </a:graphic>
              </wp:anchor>
            </w:drawing>
          </mc:Choice>
          <mc:Fallback>
            <w:pict>
              <v:shape id="_x0000_s1076" type="#_x0000_t202" style="position:absolute;margin-left:447.30000000000001pt;margin-top:32.450000000000003pt;width:47.5pt;height:19.899999999999999pt;z-index:251657741;mso-wrap-distance-left:0;mso-wrap-distance-right:0;mso-position-horizontal-relative:page" filled="f" stroked="f">
                <v:textbox inset="0,0,0,0">
                  <w:txbxContent>
                    <w:p>
                      <w:pPr>
                        <w:pStyle w:val="Style6"/>
                        <w:keepNext w:val="0"/>
                        <w:keepLines w:val="0"/>
                        <w:widowControl w:val="0"/>
                        <w:shd w:val="clear" w:color="auto" w:fill="auto"/>
                        <w:tabs>
                          <w:tab w:pos="538" w:val="left"/>
                        </w:tabs>
                        <w:bidi w:val="0"/>
                        <w:spacing w:before="0" w:after="0" w:line="240" w:lineRule="auto"/>
                        <w:ind w:left="0" w:right="0" w:firstLine="0"/>
                        <w:jc w:val="left"/>
                      </w:pPr>
                      <w:r>
                        <w:rPr>
                          <w:color w:val="404040"/>
                          <w:spacing w:val="0"/>
                          <w:w w:val="100"/>
                          <w:position w:val="0"/>
                          <w:sz w:val="18"/>
                          <w:szCs w:val="18"/>
                          <w:shd w:val="clear" w:color="auto" w:fill="auto"/>
                          <w:lang w:val="en-US" w:eastAsia="en-US" w:bidi="en-US"/>
                        </w:rPr>
                        <w:t>5.29</w:t>
                        <w:tab/>
                      </w:r>
                      <w:r>
                        <w:rPr>
                          <w:color w:val="404040"/>
                          <w:spacing w:val="0"/>
                          <w:w w:val="100"/>
                          <w:position w:val="0"/>
                          <w:shd w:val="clear" w:color="auto" w:fill="auto"/>
                          <w:vertAlign w:val="superscript"/>
                          <w:lang w:val="en-US" w:eastAsia="en-US" w:bidi="en-US"/>
                        </w:rPr>
                        <w:t>5.57</w:t>
                      </w:r>
                    </w:p>
                  </w:txbxContent>
                </v:textbox>
                <w10:wrap anchorx="page"/>
              </v:shape>
            </w:pict>
          </mc:Fallback>
        </mc:AlternateContent>
      </w:r>
      <w:r>
        <mc:AlternateContent>
          <mc:Choice Requires="wps">
            <w:drawing>
              <wp:anchor distT="0" distB="0" distL="0" distR="0" simplePos="0" relativeHeight="503316496" behindDoc="0" locked="0" layoutInCell="1" allowOverlap="1">
                <wp:simplePos x="0" y="0"/>
                <wp:positionH relativeFrom="page">
                  <wp:posOffset>770255</wp:posOffset>
                </wp:positionH>
                <wp:positionV relativeFrom="paragraph">
                  <wp:posOffset>2566670</wp:posOffset>
                </wp:positionV>
                <wp:extent cx="6361430" cy="189230"/>
                <wp:wrapNone/>
                <wp:docPr id="52" name="Shape 52"/>
                <a:graphic xmlns:a="http://schemas.openxmlformats.org/drawingml/2006/main">
                  <a:graphicData uri="http://schemas.microsoft.com/office/word/2010/wordprocessingShape">
                    <wps:wsp>
                      <wps:cNvSpPr txBox="1"/>
                      <wps:spPr>
                        <a:xfrm>
                          <a:ext cx="6361430" cy="1892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center"/>
                              <w:rPr>
                                <w:sz w:val="24"/>
                                <w:szCs w:val="24"/>
                              </w:rPr>
                            </w:pPr>
                            <w:r>
                              <w:rPr>
                                <w:b/>
                                <w:bCs/>
                                <w:color w:val="4473C5"/>
                                <w:spacing w:val="0"/>
                                <w:w w:val="100"/>
                                <w:position w:val="0"/>
                                <w:sz w:val="24"/>
                                <w:szCs w:val="24"/>
                                <w:shd w:val="clear" w:color="auto" w:fill="auto"/>
                                <w:lang w:val="en-US" w:eastAsia="en-US" w:bidi="en-US"/>
                              </w:rPr>
                              <w:t xml:space="preserve">■ </w:t>
                            </w:r>
                            <w:r>
                              <w:rPr>
                                <w:b/>
                                <w:bCs/>
                                <w:color w:val="595959"/>
                                <w:spacing w:val="0"/>
                                <w:w w:val="100"/>
                                <w:position w:val="0"/>
                                <w:sz w:val="24"/>
                                <w:szCs w:val="24"/>
                                <w:shd w:val="clear" w:color="auto" w:fill="auto"/>
                                <w:lang w:val="en-US" w:eastAsia="en-US" w:bidi="en-US"/>
                              </w:rPr>
                              <w:t xml:space="preserve">Transport feroviar </w:t>
                            </w:r>
                            <w:r>
                              <w:rPr>
                                <w:b/>
                                <w:bCs/>
                                <w:color w:val="ED7D31"/>
                                <w:spacing w:val="0"/>
                                <w:w w:val="100"/>
                                <w:position w:val="0"/>
                                <w:sz w:val="24"/>
                                <w:szCs w:val="24"/>
                                <w:shd w:val="clear" w:color="auto" w:fill="auto"/>
                                <w:lang w:val="en-US" w:eastAsia="en-US" w:bidi="en-US"/>
                              </w:rPr>
                              <w:t xml:space="preserve">■ </w:t>
                            </w:r>
                            <w:r>
                              <w:rPr>
                                <w:b/>
                                <w:bCs/>
                                <w:color w:val="595959"/>
                                <w:spacing w:val="0"/>
                                <w:w w:val="100"/>
                                <w:position w:val="0"/>
                                <w:sz w:val="24"/>
                                <w:szCs w:val="24"/>
                                <w:shd w:val="clear" w:color="auto" w:fill="auto"/>
                                <w:lang w:val="en-US" w:eastAsia="en-US" w:bidi="en-US"/>
                              </w:rPr>
                              <w:t>Transport rutier</w:t>
                            </w:r>
                          </w:p>
                        </w:txbxContent>
                      </wps:txbx>
                      <wps:bodyPr lIns="0" tIns="0" rIns="0" bIns="0">
                        <a:noAutoFit/>
                      </wps:bodyPr>
                    </wps:wsp>
                  </a:graphicData>
                </a:graphic>
              </wp:anchor>
            </w:drawing>
          </mc:Choice>
          <mc:Fallback>
            <w:pict>
              <v:shape id="_x0000_s1078" type="#_x0000_t202" style="position:absolute;margin-left:60.649999999999999pt;margin-top:202.09999999999999pt;width:500.89999999999998pt;height:14.9pt;z-index:251657743;mso-wrap-distance-left:0;mso-wrap-distance-right:0;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center"/>
                        <w:rPr>
                          <w:sz w:val="24"/>
                          <w:szCs w:val="24"/>
                        </w:rPr>
                      </w:pPr>
                      <w:r>
                        <w:rPr>
                          <w:b/>
                          <w:bCs/>
                          <w:color w:val="4473C5"/>
                          <w:spacing w:val="0"/>
                          <w:w w:val="100"/>
                          <w:position w:val="0"/>
                          <w:sz w:val="24"/>
                          <w:szCs w:val="24"/>
                          <w:shd w:val="clear" w:color="auto" w:fill="auto"/>
                          <w:lang w:val="en-US" w:eastAsia="en-US" w:bidi="en-US"/>
                        </w:rPr>
                        <w:t xml:space="preserve">■ </w:t>
                      </w:r>
                      <w:r>
                        <w:rPr>
                          <w:b/>
                          <w:bCs/>
                          <w:color w:val="595959"/>
                          <w:spacing w:val="0"/>
                          <w:w w:val="100"/>
                          <w:position w:val="0"/>
                          <w:sz w:val="24"/>
                          <w:szCs w:val="24"/>
                          <w:shd w:val="clear" w:color="auto" w:fill="auto"/>
                          <w:lang w:val="en-US" w:eastAsia="en-US" w:bidi="en-US"/>
                        </w:rPr>
                        <w:t xml:space="preserve">Transport feroviar </w:t>
                      </w:r>
                      <w:r>
                        <w:rPr>
                          <w:b/>
                          <w:bCs/>
                          <w:color w:val="ED7D31"/>
                          <w:spacing w:val="0"/>
                          <w:w w:val="100"/>
                          <w:position w:val="0"/>
                          <w:sz w:val="24"/>
                          <w:szCs w:val="24"/>
                          <w:shd w:val="clear" w:color="auto" w:fill="auto"/>
                          <w:lang w:val="en-US" w:eastAsia="en-US" w:bidi="en-US"/>
                        </w:rPr>
                        <w:t xml:space="preserve">■ </w:t>
                      </w:r>
                      <w:r>
                        <w:rPr>
                          <w:b/>
                          <w:bCs/>
                          <w:color w:val="595959"/>
                          <w:spacing w:val="0"/>
                          <w:w w:val="100"/>
                          <w:position w:val="0"/>
                          <w:sz w:val="24"/>
                          <w:szCs w:val="24"/>
                          <w:shd w:val="clear" w:color="auto" w:fill="auto"/>
                          <w:lang w:val="en-US" w:eastAsia="en-US" w:bidi="en-US"/>
                        </w:rPr>
                        <w:t>Transport rutier</w:t>
                      </w:r>
                    </w:p>
                  </w:txbxContent>
                </v:textbox>
                <w10:wrap anchorx="page"/>
              </v:shape>
            </w:pict>
          </mc:Fallback>
        </mc:AlternateContent>
      </w:r>
      <w:r>
        <mc:AlternateContent>
          <mc:Choice Requires="wps">
            <w:drawing>
              <wp:anchor distT="0" distB="0" distL="0" distR="0" simplePos="0" relativeHeight="503316498" behindDoc="0" locked="0" layoutInCell="1" allowOverlap="1">
                <wp:simplePos x="0" y="0"/>
                <wp:positionH relativeFrom="page">
                  <wp:posOffset>770255</wp:posOffset>
                </wp:positionH>
                <wp:positionV relativeFrom="paragraph">
                  <wp:posOffset>2923540</wp:posOffset>
                </wp:positionV>
                <wp:extent cx="6361430" cy="2432050"/>
                <wp:wrapNone/>
                <wp:docPr id="54" name="Shape 54"/>
                <a:graphic xmlns:a="http://schemas.openxmlformats.org/drawingml/2006/main">
                  <a:graphicData uri="http://schemas.microsoft.com/office/word/2010/wordprocessingShape">
                    <wps:wsp>
                      <wps:cNvSpPr txBox="1"/>
                      <wps:spPr>
                        <a:xfrm>
                          <a:ext cx="6361430" cy="2432050"/>
                        </a:xfrm>
                        <a:prstGeom prst="rect"/>
                        <a:noFill/>
                      </wps:spPr>
                      <wps:txbx>
                        <w:txbxContent>
                          <w:p>
                            <w:pPr>
                              <w:pStyle w:val="Style6"/>
                              <w:keepNext w:val="0"/>
                              <w:keepLines w:val="0"/>
                              <w:widowControl w:val="0"/>
                              <w:shd w:val="clear" w:color="auto" w:fill="auto"/>
                              <w:bidi w:val="0"/>
                              <w:spacing w:before="0" w:after="0" w:line="240" w:lineRule="auto"/>
                              <w:ind w:left="1760" w:right="0" w:firstLine="0"/>
                              <w:jc w:val="left"/>
                            </w:pPr>
                            <w:r>
                              <w:rPr>
                                <w:color w:val="000000"/>
                                <w:spacing w:val="0"/>
                                <w:w w:val="100"/>
                                <w:position w:val="0"/>
                                <w:shd w:val="clear" w:color="auto" w:fill="auto"/>
                                <w:lang w:val="en-US" w:eastAsia="en-US" w:bidi="en-US"/>
                              </w:rPr>
                              <w:t>Fig.2. Dinamica parcursului de marfuri transportate: rutier si feroviar</w:t>
                            </w:r>
                          </w:p>
                          <w:p>
                            <w:pPr>
                              <w:pStyle w:val="Style6"/>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 xml:space="preserve">Conform Programului de dezvoltare, volumul total de investitii necesare pentru modernizarea infrastructurii si a materialului rulant </w:t>
                            </w:r>
                            <w:r>
                              <w:rPr>
                                <w:b/>
                                <w:bCs/>
                                <w:color w:val="000000"/>
                                <w:spacing w:val="0"/>
                                <w:w w:val="100"/>
                                <w:position w:val="0"/>
                                <w:shd w:val="clear" w:color="auto" w:fill="auto"/>
                                <w:lang w:val="en-US" w:eastAsia="en-US" w:bidi="en-US"/>
                              </w:rPr>
                              <w:t>constituie 644 milioane de euro</w:t>
                            </w:r>
                            <w:r>
                              <w:rPr>
                                <w:color w:val="000000"/>
                                <w:spacing w:val="0"/>
                                <w:w w:val="100"/>
                                <w:position w:val="0"/>
                                <w:shd w:val="clear" w:color="auto" w:fill="auto"/>
                                <w:lang w:val="en-US" w:eastAsia="en-US" w:bidi="en-US"/>
                              </w:rPr>
                              <w:t>.</w:t>
                            </w:r>
                          </w:p>
                          <w:p>
                            <w:pPr>
                              <w:pStyle w:val="Style6"/>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Pentru a depasi situatia dificila si pentru a asigura functionarea eficienta si rentabila a sectorului feroviar in ansamblu, prin Hotararea de Guvern nr. 1042 din 5 decembrie 2017 a fost aprobata Conceptia pentru restructurarea sectorului feroviar si a I.S. „Calea Ferata din Moldova” pentru anii 2018-2021. Scopul acesteia a fost realizarea procesului de restructurare a Intreprinderii de Stat „Calea Ferata din Moldova”. In acelasi context, a fost elaborat Proiectul de reabilitare a infrastructurii feroviare si modernizare a materialului rulant, care implica achizitionarea noilor locomotive diesel si echipamente pentru intretinerea acestora, precum si reabilitarea liniilor feroviare de pe Coridorul de Sud (Bender-Giurgiulesti).</w:t>
                            </w:r>
                          </w:p>
                        </w:txbxContent>
                      </wps:txbx>
                      <wps:bodyPr lIns="0" tIns="0" rIns="0" bIns="0">
                        <a:noAutoFit/>
                      </wps:bodyPr>
                    </wps:wsp>
                  </a:graphicData>
                </a:graphic>
              </wp:anchor>
            </w:drawing>
          </mc:Choice>
          <mc:Fallback>
            <w:pict>
              <v:shape id="_x0000_s1080" type="#_x0000_t202" style="position:absolute;margin-left:60.649999999999999pt;margin-top:230.19999999999999pt;width:500.89999999999998pt;height:191.5pt;z-index:251657745;mso-wrap-distance-left:0;mso-wrap-distance-right:0;mso-position-horizontal-relative:page" filled="f" stroked="f">
                <v:textbox inset="0,0,0,0">
                  <w:txbxContent>
                    <w:p>
                      <w:pPr>
                        <w:pStyle w:val="Style6"/>
                        <w:keepNext w:val="0"/>
                        <w:keepLines w:val="0"/>
                        <w:widowControl w:val="0"/>
                        <w:shd w:val="clear" w:color="auto" w:fill="auto"/>
                        <w:bidi w:val="0"/>
                        <w:spacing w:before="0" w:after="0" w:line="240" w:lineRule="auto"/>
                        <w:ind w:left="1760" w:right="0" w:firstLine="0"/>
                        <w:jc w:val="left"/>
                      </w:pPr>
                      <w:r>
                        <w:rPr>
                          <w:color w:val="000000"/>
                          <w:spacing w:val="0"/>
                          <w:w w:val="100"/>
                          <w:position w:val="0"/>
                          <w:shd w:val="clear" w:color="auto" w:fill="auto"/>
                          <w:lang w:val="en-US" w:eastAsia="en-US" w:bidi="en-US"/>
                        </w:rPr>
                        <w:t>Fig.2. Dinamica parcursului de marfuri transportate: rutier si feroviar</w:t>
                      </w:r>
                    </w:p>
                    <w:p>
                      <w:pPr>
                        <w:pStyle w:val="Style6"/>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 xml:space="preserve">Conform Programului de dezvoltare, volumul total de investitii necesare pentru modernizarea infrastructurii si a materialului rulant </w:t>
                      </w:r>
                      <w:r>
                        <w:rPr>
                          <w:b/>
                          <w:bCs/>
                          <w:color w:val="000000"/>
                          <w:spacing w:val="0"/>
                          <w:w w:val="100"/>
                          <w:position w:val="0"/>
                          <w:shd w:val="clear" w:color="auto" w:fill="auto"/>
                          <w:lang w:val="en-US" w:eastAsia="en-US" w:bidi="en-US"/>
                        </w:rPr>
                        <w:t>constituie 644 milioane de euro</w:t>
                      </w:r>
                      <w:r>
                        <w:rPr>
                          <w:color w:val="000000"/>
                          <w:spacing w:val="0"/>
                          <w:w w:val="100"/>
                          <w:position w:val="0"/>
                          <w:shd w:val="clear" w:color="auto" w:fill="auto"/>
                          <w:lang w:val="en-US" w:eastAsia="en-US" w:bidi="en-US"/>
                        </w:rPr>
                        <w:t>.</w:t>
                      </w:r>
                    </w:p>
                    <w:p>
                      <w:pPr>
                        <w:pStyle w:val="Style6"/>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Pentru a depasi situatia dificila si pentru a asigura functionarea eficienta si rentabila a sectorului feroviar in ansamblu, prin Hotararea de Guvern nr. 1042 din 5 decembrie 2017 a fost aprobata Conceptia pentru restructurarea sectorului feroviar si a I.S. „Calea Ferata din Moldova” pentru anii 2018-2021. Scopul acesteia a fost realizarea procesului de restructurare a Intreprinderii de Stat „Calea Ferata din Moldova”. In acelasi context, a fost elaborat Proiectul de reabilitare a infrastructurii feroviare si modernizare a materialului rulant, care implica achizitionarea noilor locomotive diesel si echipamente pentru intretinerea acestora, precum si reabilitarea liniilor feroviare de pe Coridorul de Sud (Bender-Giurgiulesti).</w:t>
                      </w:r>
                    </w:p>
                  </w:txbxContent>
                </v:textbox>
                <w10:wrap anchorx="page"/>
              </v:shape>
            </w:pict>
          </mc:Fallback>
        </mc:AlternateContent>
      </w:r>
    </w:p>
    <w:p>
      <w:pPr>
        <w:pStyle w:val="Style1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Conform Programului de dezvoltare, drept surse de finantare pentru Proiectul nominalizat au fost prevazute credite investitionale oferite prin cofinantare de Banca Europeana pentru Reconstructie si Dezvoltare (BERD) si Banca Europeana de Investitii (BEI) in valoare de 102,0 mil. euro, precum si un grant investitional din partea BERD din mijloacele Fondului de Investitii pentru Vecinatate in valoare de 5,0 mil. EURO (NIF Grant).</w:t>
      </w:r>
    </w:p>
    <w:p>
      <w:pPr>
        <w:pStyle w:val="Style1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Conform optiunilor analizate in Programul de Dezvoltare, s-a ajuns la concluzia ca</w:t>
      </w:r>
    </w:p>
    <w:p>
      <w:pPr>
        <w:pStyle w:val="Style17"/>
        <w:keepNext w:val="0"/>
        <w:keepLines w:val="0"/>
        <w:widowControl w:val="0"/>
        <w:shd w:val="clear" w:color="auto" w:fill="auto"/>
        <w:tabs>
          <w:tab w:pos="533" w:val="left"/>
        </w:tabs>
        <w:bidi w:val="0"/>
        <w:spacing w:before="0" w:after="0" w:line="240" w:lineRule="auto"/>
        <w:ind w:left="0" w:right="0" w:firstLine="0"/>
        <w:jc w:val="both"/>
      </w:pPr>
      <w:r>
        <w:rPr>
          <w:color w:val="000000"/>
          <w:spacing w:val="0"/>
          <w:w w:val="100"/>
          <w:position w:val="0"/>
          <w:shd w:val="clear" w:color="auto" w:fill="auto"/>
          <w:lang w:val="en-US" w:eastAsia="en-US" w:bidi="en-US"/>
        </w:rPr>
        <w:t>I.S.</w:t>
        <w:tab/>
        <w:t>„CFM” va fi in masura sa asigure rambursarea imprumuturilor in perioada de prognoza. Din pacate situatia reala la care s-a ajuns in prezent arata cu mult mai dificil decat optiunile analizate.</w:t>
      </w:r>
    </w:p>
    <w:p>
      <w:pPr>
        <w:pStyle w:val="Style1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Datele privind rezultatele financiare ale I.S. „CFM” in perioada 2010-2020 sunt prezentate in tabelul 4. Astfel, evolutia veniturilor indica faptul ca in anii 2010-2019 veniturile intreprinderii au variat intre 995 mil. lei si 1391,6 mil. lei. O situatie cu totul diferita a fost in anul 2020, cand veniturile intreprinderii au scazut la 648,1 mil. lei. In perioada 2010-2019 cheltuielile intreprinderii au variat intre 1048,5 mil. lei si 1366,8 mil. lei. In anul 2020, cheltuielile au scazut la 876,9 mil. lei.</w:t>
      </w:r>
    </w:p>
    <w:p>
      <w:pPr>
        <w:pStyle w:val="Style1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In rezultatul analizei rezultatelor financiare prezentate de I.S. „CFM”, se observa ca pana in 2012, intreprinderea era profitabila. Incepand cu anul 2013, intreprinderea a sustinut pierderi financiare considerabile, cu exceptia anului 2017 cand a fost inregistrat un profit de 7,2 mil. lei. Totusi, este de mentionat ca in 2017 nu au fost efectuate reparatii capitale a liniilor de infrastructura sau a locomotivelor (Tab. 11). Cele mai mari pierderi, au fost inregistrate in anii 2014, 2015 si 2020, acestea fiind de 101,8 mil. lei, 105,2 mil. lei si respectiv 228,8 mil. lei.</w:t>
      </w:r>
    </w:p>
    <w:tbl>
      <w:tblPr>
        <w:tblOverlap w:val="never"/>
        <w:jc w:val="center"/>
        <w:tblLayout w:type="fixed"/>
      </w:tblPr>
      <w:tblGrid>
        <w:gridCol w:w="1886"/>
        <w:gridCol w:w="730"/>
        <w:gridCol w:w="720"/>
        <w:gridCol w:w="720"/>
        <w:gridCol w:w="730"/>
        <w:gridCol w:w="710"/>
        <w:gridCol w:w="720"/>
        <w:gridCol w:w="720"/>
        <w:gridCol w:w="720"/>
        <w:gridCol w:w="720"/>
        <w:gridCol w:w="778"/>
        <w:gridCol w:w="643"/>
      </w:tblGrid>
      <w:tr>
        <w:trPr>
          <w:trHeight w:val="288" w:hRule="exact"/>
        </w:trPr>
        <w:tc>
          <w:tcPr>
            <w:tcBorders/>
            <w:shd w:val="clear" w:color="auto" w:fill="FFFFFF"/>
            <w:vAlign w:val="top"/>
          </w:tcPr>
          <w:p>
            <w:pPr>
              <w:pStyle w:val="Style9"/>
              <w:keepNext w:val="0"/>
              <w:keepLines w:val="0"/>
              <w:widowControl w:val="0"/>
              <w:shd w:val="clear" w:color="auto" w:fill="auto"/>
              <w:bidi w:val="0"/>
              <w:spacing w:before="0" w:after="0" w:line="240" w:lineRule="auto"/>
              <w:ind w:left="0" w:right="0" w:firstLine="620"/>
              <w:jc w:val="left"/>
            </w:pPr>
            <w:r>
              <w:rPr>
                <w:color w:val="000000"/>
                <w:spacing w:val="0"/>
                <w:w w:val="100"/>
                <w:position w:val="0"/>
                <w:shd w:val="clear" w:color="auto" w:fill="auto"/>
                <w:lang w:val="en-US" w:eastAsia="en-US" w:bidi="en-US"/>
              </w:rPr>
              <w:t>Tabelul 6. R</w:t>
            </w:r>
          </w:p>
        </w:tc>
        <w:tc>
          <w:tcPr>
            <w:gridSpan w:val="4"/>
            <w:tcBorders>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ezultatele financiare ale I</w:t>
            </w:r>
          </w:p>
        </w:tc>
        <w:tc>
          <w:tcPr>
            <w:gridSpan w:val="7"/>
            <w:tcBorders>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.S. „CFM” in perioada 2010-2020</w:t>
            </w:r>
          </w:p>
        </w:tc>
      </w:tr>
      <w:tr>
        <w:trPr>
          <w:trHeight w:val="557" w:hRule="exact"/>
        </w:trPr>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Indicatori, mil. lei</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2010</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2011</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2012</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2013</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2014</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2015</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2016</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2017</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2018</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2019</w:t>
            </w:r>
          </w:p>
        </w:tc>
        <w:tc>
          <w:tcPr>
            <w:tcBorders>
              <w:top w:val="single" w:sz="4"/>
              <w:left w:val="single" w:sz="4"/>
              <w:righ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2020</w:t>
            </w:r>
          </w:p>
        </w:tc>
      </w:tr>
      <w:tr>
        <w:trPr>
          <w:trHeight w:val="370"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Total venituri</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1132,3</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1391,6</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1349,7</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1336,9</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1253,6</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1196,7</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995,2</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1161,3</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1097,4</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1039,4</w:t>
            </w:r>
          </w:p>
        </w:tc>
        <w:tc>
          <w:tcPr>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648,1</w:t>
            </w:r>
          </w:p>
        </w:tc>
      </w:tr>
      <w:tr>
        <w:trPr>
          <w:trHeight w:val="326"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Total cheltuieli</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1132,3</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1332,7</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1343,4</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1366,8</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1355,4</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1301,9</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1048,5</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1154,1</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1170,5</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1065,9</w:t>
            </w:r>
          </w:p>
        </w:tc>
        <w:tc>
          <w:tcPr>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876,9</w:t>
            </w:r>
          </w:p>
        </w:tc>
      </w:tr>
      <w:tr>
        <w:trPr>
          <w:trHeight w:val="523" w:hRule="exact"/>
        </w:trPr>
        <w:tc>
          <w:tcPr>
            <w:tcBorders>
              <w:top w:val="single" w:sz="4"/>
              <w:left w:val="single" w:sz="4"/>
              <w:bottom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Profit net (pierdere neta)</w:t>
            </w:r>
          </w:p>
        </w:tc>
        <w:tc>
          <w:tcPr>
            <w:tcBorders>
              <w:top w:val="single" w:sz="4"/>
              <w:left w:val="single" w:sz="4"/>
              <w:bottom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bottom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58,9</w:t>
            </w:r>
          </w:p>
        </w:tc>
        <w:tc>
          <w:tcPr>
            <w:tcBorders>
              <w:top w:val="single" w:sz="4"/>
              <w:left w:val="single" w:sz="4"/>
              <w:bottom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6,3</w:t>
            </w:r>
          </w:p>
        </w:tc>
        <w:tc>
          <w:tcPr>
            <w:tcBorders>
              <w:top w:val="single" w:sz="4"/>
              <w:left w:val="single" w:sz="4"/>
              <w:bottom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-29,9</w:t>
            </w:r>
          </w:p>
        </w:tc>
        <w:tc>
          <w:tcPr>
            <w:tcBorders>
              <w:top w:val="single" w:sz="4"/>
              <w:left w:val="single" w:sz="4"/>
              <w:bottom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-101,8</w:t>
            </w:r>
          </w:p>
        </w:tc>
        <w:tc>
          <w:tcPr>
            <w:tcBorders>
              <w:top w:val="single" w:sz="4"/>
              <w:left w:val="single" w:sz="4"/>
              <w:bottom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-105,2</w:t>
            </w:r>
          </w:p>
        </w:tc>
        <w:tc>
          <w:tcPr>
            <w:tcBorders>
              <w:top w:val="single" w:sz="4"/>
              <w:left w:val="single" w:sz="4"/>
              <w:bottom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-53,3</w:t>
            </w:r>
          </w:p>
        </w:tc>
        <w:tc>
          <w:tcPr>
            <w:tcBorders>
              <w:top w:val="single" w:sz="4"/>
              <w:left w:val="single" w:sz="4"/>
              <w:bottom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7,2</w:t>
            </w:r>
          </w:p>
        </w:tc>
        <w:tc>
          <w:tcPr>
            <w:tcBorders>
              <w:top w:val="single" w:sz="4"/>
              <w:left w:val="single" w:sz="4"/>
              <w:bottom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-73,1</w:t>
            </w:r>
          </w:p>
        </w:tc>
        <w:tc>
          <w:tcPr>
            <w:tcBorders>
              <w:top w:val="single" w:sz="4"/>
              <w:left w:val="single" w:sz="4"/>
              <w:bottom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-26,5</w:t>
            </w:r>
          </w:p>
        </w:tc>
        <w:tc>
          <w:tcPr>
            <w:tcBorders>
              <w:top w:val="single" w:sz="4"/>
              <w:left w:val="single" w:sz="4"/>
              <w:bottom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-228,8</w:t>
            </w:r>
          </w:p>
        </w:tc>
      </w:tr>
    </w:tbl>
    <w:p>
      <w:pPr>
        <w:pStyle w:val="Style17"/>
        <w:keepNext w:val="0"/>
        <w:keepLines w:val="0"/>
        <w:widowControl w:val="0"/>
        <w:shd w:val="clear" w:color="auto" w:fill="auto"/>
        <w:bidi w:val="0"/>
        <w:spacing w:before="0" w:after="60" w:line="240" w:lineRule="auto"/>
        <w:ind w:left="0" w:right="0" w:firstLine="640"/>
        <w:jc w:val="both"/>
      </w:pPr>
      <w:r>
        <w:rPr>
          <w:color w:val="000000"/>
          <w:spacing w:val="0"/>
          <w:w w:val="100"/>
          <w:position w:val="0"/>
          <w:shd w:val="clear" w:color="auto" w:fill="auto"/>
          <w:lang w:val="en-US" w:eastAsia="en-US" w:bidi="en-US"/>
        </w:rPr>
        <w:t>Analizand rezultatele transporturilor de marfa putem concluziona ca cele mai sporite venituri din transportarea marfurilor a fost in perioada 2013-2015, variind in intervalul de la 663,7 la 692,2 mil. lei. Cele mai scazute rezultate privind veniturile din transportul de marfa au fost atinse in anii 2012 si 2020, acestea fiind de 512,5 mil lei si respectiv 488,9 mil. lei.</w:t>
      </w:r>
    </w:p>
    <w:p>
      <w:pPr>
        <w:pStyle w:val="Style17"/>
        <w:keepNext w:val="0"/>
        <w:keepLines w:val="0"/>
        <w:widowControl w:val="0"/>
        <w:shd w:val="clear" w:color="auto" w:fill="auto"/>
        <w:bidi w:val="0"/>
        <w:spacing w:before="0" w:after="60" w:line="240" w:lineRule="auto"/>
        <w:ind w:left="0" w:right="0" w:firstLine="640"/>
        <w:jc w:val="both"/>
      </w:pPr>
      <w:r>
        <w:rPr>
          <w:color w:val="000000"/>
          <w:spacing w:val="0"/>
          <w:w w:val="100"/>
          <w:position w:val="0"/>
          <w:shd w:val="clear" w:color="auto" w:fill="auto"/>
          <w:lang w:val="en-US" w:eastAsia="en-US" w:bidi="en-US"/>
        </w:rPr>
        <w:t>Tabelul 7. Rezultatele din transporturile de marfa .</w:t>
      </w:r>
    </w:p>
    <w:tbl>
      <w:tblPr>
        <w:tblOverlap w:val="never"/>
        <w:jc w:val="center"/>
        <w:tblLayout w:type="fixed"/>
      </w:tblPr>
      <w:tblGrid>
        <w:gridCol w:w="1886"/>
        <w:gridCol w:w="730"/>
        <w:gridCol w:w="720"/>
        <w:gridCol w:w="720"/>
        <w:gridCol w:w="720"/>
        <w:gridCol w:w="720"/>
        <w:gridCol w:w="720"/>
        <w:gridCol w:w="720"/>
        <w:gridCol w:w="720"/>
        <w:gridCol w:w="720"/>
        <w:gridCol w:w="720"/>
        <w:gridCol w:w="749"/>
      </w:tblGrid>
      <w:tr>
        <w:trPr>
          <w:trHeight w:val="710" w:hRule="exact"/>
        </w:trPr>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Indicatorii</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2010</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2011</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2012</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2013</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2014</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2015</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2016</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2017</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2018</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2019</w:t>
            </w:r>
          </w:p>
        </w:tc>
        <w:tc>
          <w:tcPr>
            <w:tcBorders>
              <w:top w:val="single" w:sz="4"/>
              <w:left w:val="single" w:sz="4"/>
              <w:righ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2020</w:t>
            </w:r>
          </w:p>
        </w:tc>
      </w:tr>
      <w:tr>
        <w:trPr>
          <w:trHeight w:val="514"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Marfuri</w:t>
            </w:r>
          </w:p>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transportate, mii tone</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3852,1</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4554</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4163,8</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5430,6</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5008,4</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4157,9</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3493</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4793,9</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4928,4</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4271</w:t>
            </w:r>
          </w:p>
        </w:tc>
        <w:tc>
          <w:tcPr>
            <w:tcBorders>
              <w:top w:val="single" w:sz="4"/>
              <w:left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2881,5</w:t>
            </w:r>
          </w:p>
        </w:tc>
      </w:tr>
      <w:tr>
        <w:trPr>
          <w:trHeight w:val="672"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Venituri din traficul de marfuri, mil. lei</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568,9</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650,1</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512,5</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666,3</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692,2</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663,7</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580,4</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664,5</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625,1</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625,0</w:t>
            </w:r>
          </w:p>
        </w:tc>
        <w:tc>
          <w:tcPr>
            <w:tcBorders>
              <w:top w:val="single" w:sz="4"/>
              <w:left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488,9</w:t>
            </w:r>
          </w:p>
        </w:tc>
      </w:tr>
      <w:tr>
        <w:trPr>
          <w:trHeight w:val="1032" w:hRule="exact"/>
        </w:trPr>
        <w:tc>
          <w:tcPr>
            <w:tcBorders>
              <w:top w:val="single" w:sz="4"/>
              <w:left w:val="single" w:sz="4"/>
              <w:bottom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Costul mediu general pentru transportarea unei tone de marfa, lei</w:t>
            </w:r>
          </w:p>
        </w:tc>
        <w:tc>
          <w:tcPr>
            <w:tcBorders>
              <w:top w:val="single" w:sz="4"/>
              <w:left w:val="single" w:sz="4"/>
              <w:bottom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147,7</w:t>
            </w:r>
          </w:p>
        </w:tc>
        <w:tc>
          <w:tcPr>
            <w:tcBorders>
              <w:top w:val="single" w:sz="4"/>
              <w:left w:val="single" w:sz="4"/>
              <w:bottom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142,8</w:t>
            </w:r>
          </w:p>
        </w:tc>
        <w:tc>
          <w:tcPr>
            <w:tcBorders>
              <w:top w:val="single" w:sz="4"/>
              <w:left w:val="single" w:sz="4"/>
              <w:bottom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123,1</w:t>
            </w:r>
          </w:p>
        </w:tc>
        <w:tc>
          <w:tcPr>
            <w:tcBorders>
              <w:top w:val="single" w:sz="4"/>
              <w:left w:val="single" w:sz="4"/>
              <w:bottom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122,7</w:t>
            </w:r>
          </w:p>
        </w:tc>
        <w:tc>
          <w:tcPr>
            <w:tcBorders>
              <w:top w:val="single" w:sz="4"/>
              <w:left w:val="single" w:sz="4"/>
              <w:bottom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138,2</w:t>
            </w:r>
          </w:p>
        </w:tc>
        <w:tc>
          <w:tcPr>
            <w:tcBorders>
              <w:top w:val="single" w:sz="4"/>
              <w:left w:val="single" w:sz="4"/>
              <w:bottom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159,6</w:t>
            </w:r>
          </w:p>
        </w:tc>
        <w:tc>
          <w:tcPr>
            <w:tcBorders>
              <w:top w:val="single" w:sz="4"/>
              <w:left w:val="single" w:sz="4"/>
              <w:bottom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166,2</w:t>
            </w:r>
          </w:p>
        </w:tc>
        <w:tc>
          <w:tcPr>
            <w:tcBorders>
              <w:top w:val="single" w:sz="4"/>
              <w:left w:val="single" w:sz="4"/>
              <w:bottom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138,6</w:t>
            </w:r>
          </w:p>
        </w:tc>
        <w:tc>
          <w:tcPr>
            <w:tcBorders>
              <w:top w:val="single" w:sz="4"/>
              <w:left w:val="single" w:sz="4"/>
              <w:bottom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126,8</w:t>
            </w:r>
          </w:p>
        </w:tc>
        <w:tc>
          <w:tcPr>
            <w:tcBorders>
              <w:top w:val="single" w:sz="4"/>
              <w:left w:val="single" w:sz="4"/>
              <w:bottom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146,4</w:t>
            </w:r>
          </w:p>
        </w:tc>
        <w:tc>
          <w:tcPr>
            <w:tcBorders>
              <w:top w:val="single" w:sz="4"/>
              <w:left w:val="single" w:sz="4"/>
              <w:bottom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169,7</w:t>
            </w:r>
          </w:p>
        </w:tc>
      </w:tr>
    </w:tbl>
    <w:p>
      <w:pPr>
        <w:spacing w:lineRule="exact" w:line="1"/>
        <w:rPr>
          <w:sz w:val="2"/>
          <w:szCs w:val="2"/>
        </w:rPr>
      </w:pPr>
      <w:r>
        <w:br w:type="page"/>
      </w:r>
    </w:p>
    <w:p>
      <w:pPr>
        <w:pStyle w:val="Style1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In rezultatul analizei informatiei prezentate de I.S. „CFM” privind suma incasarilor din utilizarea vagoanelor pentru fiecare an, pentru perioada 2010-2020, se observa ca in anul 2020 suma incasarilor respective este cea mai redusa din intreaga perioada, fiind de doar 43,5 mil. lei. Cele mai mari incasari din utilizarea vagoanelor au fost in 2011 fiind de 173,5 mil. lei. Pentru comparatie, in perioada 2011-2019, media anuala a incasarilor din utilizarea vagoanelor a fost de 112,2 mil. lei.</w:t>
      </w:r>
    </w:p>
    <w:p>
      <w:pPr>
        <w:pStyle w:val="Style1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Tabelul 8. Suma incasarilor din utilizarea vagoanelor pentru fiecare an, pentru perioada 2010-2020.</w:t>
      </w:r>
    </w:p>
    <w:tbl>
      <w:tblPr>
        <w:tblOverlap w:val="never"/>
        <w:jc w:val="center"/>
        <w:tblLayout w:type="fixed"/>
      </w:tblPr>
      <w:tblGrid>
        <w:gridCol w:w="1382"/>
        <w:gridCol w:w="792"/>
        <w:gridCol w:w="931"/>
        <w:gridCol w:w="917"/>
        <w:gridCol w:w="989"/>
        <w:gridCol w:w="869"/>
        <w:gridCol w:w="648"/>
        <w:gridCol w:w="653"/>
        <w:gridCol w:w="653"/>
        <w:gridCol w:w="653"/>
        <w:gridCol w:w="653"/>
        <w:gridCol w:w="682"/>
      </w:tblGrid>
      <w:tr>
        <w:trPr>
          <w:trHeight w:val="466" w:hRule="exact"/>
        </w:trPr>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Indicatorii</w:t>
            </w:r>
          </w:p>
        </w:tc>
        <w:tc>
          <w:tcPr>
            <w:tcBorders>
              <w:top w:val="single" w:sz="4"/>
              <w:left w:val="single" w:sz="4"/>
            </w:tcBorders>
            <w:shd w:val="clear" w:color="auto" w:fill="B3C6E6"/>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2010</w:t>
            </w:r>
          </w:p>
        </w:tc>
        <w:tc>
          <w:tcPr>
            <w:tcBorders>
              <w:top w:val="single" w:sz="4"/>
              <w:left w:val="single" w:sz="4"/>
            </w:tcBorders>
            <w:shd w:val="clear" w:color="auto" w:fill="B3C6E6"/>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2011</w:t>
            </w:r>
          </w:p>
        </w:tc>
        <w:tc>
          <w:tcPr>
            <w:tcBorders>
              <w:top w:val="single" w:sz="4"/>
              <w:left w:val="single" w:sz="4"/>
            </w:tcBorders>
            <w:shd w:val="clear" w:color="auto" w:fill="B3C6E6"/>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2012</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2013</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2014</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22015</w:t>
            </w:r>
          </w:p>
        </w:tc>
        <w:tc>
          <w:tcPr>
            <w:tcBorders>
              <w:top w:val="single" w:sz="4"/>
              <w:left w:val="single" w:sz="4"/>
            </w:tcBorders>
            <w:shd w:val="clear" w:color="auto" w:fill="B3C6E6"/>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2016</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2017</w:t>
            </w:r>
          </w:p>
        </w:tc>
        <w:tc>
          <w:tcPr>
            <w:tcBorders>
              <w:top w:val="single" w:sz="4"/>
              <w:left w:val="single" w:sz="4"/>
            </w:tcBorders>
            <w:shd w:val="clear" w:color="auto" w:fill="B3C6E6"/>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2018</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2019</w:t>
            </w:r>
          </w:p>
        </w:tc>
        <w:tc>
          <w:tcPr>
            <w:tcBorders>
              <w:top w:val="single" w:sz="4"/>
              <w:left w:val="single" w:sz="4"/>
              <w:right w:val="single" w:sz="4"/>
            </w:tcBorders>
            <w:shd w:val="clear" w:color="auto" w:fill="B3C6E6"/>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2020</w:t>
            </w:r>
          </w:p>
        </w:tc>
      </w:tr>
      <w:tr>
        <w:trPr>
          <w:trHeight w:val="1368" w:hRule="exact"/>
        </w:trPr>
        <w:tc>
          <w:tcPr>
            <w:tcBorders>
              <w:top w:val="single" w:sz="4"/>
              <w:left w:val="single" w:sz="4"/>
              <w:bottom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Suma incasarilor din utilizarea vagoanelor, mil lei</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173,5</w:t>
            </w:r>
          </w:p>
        </w:tc>
        <w:tc>
          <w:tcPr>
            <w:tcBorders>
              <w:top w:val="single" w:sz="4"/>
              <w:left w:val="single" w:sz="4"/>
              <w:bottom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170,2</w:t>
            </w:r>
          </w:p>
        </w:tc>
        <w:tc>
          <w:tcPr>
            <w:tcBorders>
              <w:top w:val="single" w:sz="4"/>
              <w:left w:val="single" w:sz="4"/>
              <w:bottom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81,8</w:t>
            </w:r>
          </w:p>
        </w:tc>
        <w:tc>
          <w:tcPr>
            <w:tcBorders>
              <w:top w:val="single" w:sz="4"/>
              <w:left w:val="single" w:sz="4"/>
              <w:bottom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101,4</w:t>
            </w:r>
          </w:p>
        </w:tc>
        <w:tc>
          <w:tcPr>
            <w:tcBorders>
              <w:top w:val="single" w:sz="4"/>
              <w:left w:val="single" w:sz="4"/>
              <w:bottom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103,9</w:t>
            </w:r>
          </w:p>
        </w:tc>
        <w:tc>
          <w:tcPr>
            <w:tcBorders>
              <w:top w:val="single" w:sz="4"/>
              <w:left w:val="single" w:sz="4"/>
              <w:bottom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72,6</w:t>
            </w:r>
          </w:p>
        </w:tc>
        <w:tc>
          <w:tcPr>
            <w:tcBorders>
              <w:top w:val="single" w:sz="4"/>
              <w:left w:val="single" w:sz="4"/>
              <w:bottom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104,8</w:t>
            </w:r>
          </w:p>
        </w:tc>
        <w:tc>
          <w:tcPr>
            <w:tcBorders>
              <w:top w:val="single" w:sz="4"/>
              <w:left w:val="single" w:sz="4"/>
              <w:bottom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97,3</w:t>
            </w:r>
          </w:p>
        </w:tc>
        <w:tc>
          <w:tcPr>
            <w:tcBorders>
              <w:top w:val="single" w:sz="4"/>
              <w:left w:val="single" w:sz="4"/>
              <w:bottom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104,2</w:t>
            </w:r>
          </w:p>
        </w:tc>
        <w:tc>
          <w:tcPr>
            <w:tcBorders>
              <w:top w:val="single" w:sz="4"/>
              <w:left w:val="single" w:sz="4"/>
              <w:bottom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43,5</w:t>
            </w:r>
          </w:p>
        </w:tc>
      </w:tr>
    </w:tbl>
    <w:p>
      <w:pPr>
        <w:pStyle w:val="Style17"/>
        <w:keepNext w:val="0"/>
        <w:keepLines w:val="0"/>
        <w:widowControl w:val="0"/>
        <w:shd w:val="clear" w:color="auto" w:fill="auto"/>
        <w:bidi w:val="0"/>
        <w:spacing w:before="0" w:after="0" w:line="240" w:lineRule="auto"/>
        <w:ind w:left="0" w:right="0" w:firstLine="640"/>
        <w:jc w:val="both"/>
      </w:pPr>
      <w:r>
        <mc:AlternateContent>
          <mc:Choice Requires="wps">
            <w:drawing>
              <wp:anchor distT="0" distB="0" distL="114300" distR="114300" simplePos="0" relativeHeight="125829397" behindDoc="0" locked="0" layoutInCell="1" allowOverlap="1">
                <wp:simplePos x="0" y="0"/>
                <wp:positionH relativeFrom="page">
                  <wp:posOffset>848995</wp:posOffset>
                </wp:positionH>
                <wp:positionV relativeFrom="paragraph">
                  <wp:posOffset>1460500</wp:posOffset>
                </wp:positionV>
                <wp:extent cx="5782310" cy="1852930"/>
                <wp:wrapTopAndBottom/>
                <wp:docPr id="56" name="Shape 56"/>
                <a:graphic xmlns:a="http://schemas.openxmlformats.org/drawingml/2006/main">
                  <a:graphicData uri="http://schemas.microsoft.com/office/word/2010/wordprocessingShape">
                    <wps:wsp>
                      <wps:cNvSpPr txBox="1"/>
                      <wps:spPr>
                        <a:xfrm>
                          <a:ext cx="5782310" cy="1852930"/>
                        </a:xfrm>
                        <a:prstGeom prst="rect"/>
                        <a:noFill/>
                      </wps:spPr>
                      <wps:txbx>
                        <w:txbxContent>
                          <w:tbl>
                            <w:tblPr>
                              <w:tblOverlap w:val="never"/>
                              <w:jc w:val="left"/>
                              <w:tblLayout w:type="fixed"/>
                            </w:tblPr>
                            <w:tblGrid>
                              <w:gridCol w:w="2443"/>
                              <w:gridCol w:w="629"/>
                              <w:gridCol w:w="624"/>
                              <w:gridCol w:w="629"/>
                              <w:gridCol w:w="629"/>
                              <w:gridCol w:w="634"/>
                              <w:gridCol w:w="629"/>
                              <w:gridCol w:w="629"/>
                              <w:gridCol w:w="528"/>
                              <w:gridCol w:w="643"/>
                              <w:gridCol w:w="538"/>
                              <w:gridCol w:w="552"/>
                            </w:tblGrid>
                            <w:tr>
                              <w:trPr>
                                <w:tblHeader/>
                                <w:trHeight w:val="293" w:hRule="exact"/>
                              </w:trPr>
                              <w:tc>
                                <w:tcPr>
                                  <w:tcBorders/>
                                  <w:shd w:val="clear" w:color="auto" w:fill="FFFFFF"/>
                                  <w:vAlign w:val="top"/>
                                </w:tcPr>
                                <w:p>
                                  <w:pPr>
                                    <w:pStyle w:val="Style9"/>
                                    <w:keepNext w:val="0"/>
                                    <w:keepLines w:val="0"/>
                                    <w:widowControl w:val="0"/>
                                    <w:shd w:val="clear" w:color="auto" w:fill="auto"/>
                                    <w:bidi w:val="0"/>
                                    <w:spacing w:before="0" w:after="0" w:line="240" w:lineRule="auto"/>
                                    <w:ind w:left="0" w:right="0" w:firstLine="620"/>
                                    <w:jc w:val="left"/>
                                  </w:pPr>
                                  <w:r>
                                    <w:rPr>
                                      <w:color w:val="000000"/>
                                      <w:spacing w:val="0"/>
                                      <w:w w:val="100"/>
                                      <w:position w:val="0"/>
                                      <w:shd w:val="clear" w:color="auto" w:fill="auto"/>
                                      <w:lang w:val="en-US" w:eastAsia="en-US" w:bidi="en-US"/>
                                    </w:rPr>
                                    <w:t>Tabelul 9. Rezu</w:t>
                                  </w:r>
                                </w:p>
                              </w:tc>
                              <w:tc>
                                <w:tcPr>
                                  <w:gridSpan w:val="8"/>
                                  <w:tcBorders>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ltate transport pasageri in trafic suburban si l</w:t>
                                  </w:r>
                                </w:p>
                              </w:tc>
                              <w:tc>
                                <w:tcPr>
                                  <w:gridSpan w:val="3"/>
                                  <w:tcBorders>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ocal</w:t>
                                  </w:r>
                                </w:p>
                              </w:tc>
                            </w:tr>
                            <w:tr>
                              <w:trPr>
                                <w:trHeight w:val="542" w:hRule="exact"/>
                              </w:trPr>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Indicatori</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2010</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2011</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2012</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2013</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2014</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2015</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2016</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2017</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2018</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2019</w:t>
                                  </w:r>
                                </w:p>
                              </w:tc>
                              <w:tc>
                                <w:tcPr>
                                  <w:tcBorders>
                                    <w:top w:val="single" w:sz="4"/>
                                    <w:left w:val="single" w:sz="4"/>
                                    <w:righ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both"/>
                                    <w:rPr>
                                      <w:sz w:val="22"/>
                                      <w:szCs w:val="22"/>
                                    </w:rPr>
                                  </w:pPr>
                                  <w:r>
                                    <w:rPr>
                                      <w:b/>
                                      <w:bCs/>
                                      <w:color w:val="000000"/>
                                      <w:spacing w:val="0"/>
                                      <w:w w:val="100"/>
                                      <w:position w:val="0"/>
                                      <w:sz w:val="22"/>
                                      <w:szCs w:val="22"/>
                                      <w:shd w:val="clear" w:color="auto" w:fill="auto"/>
                                      <w:lang w:val="en-US" w:eastAsia="en-US" w:bidi="en-US"/>
                                    </w:rPr>
                                    <w:t>2020</w:t>
                                  </w:r>
                                </w:p>
                              </w:tc>
                            </w:tr>
                            <w:tr>
                              <w:trPr>
                                <w:trHeight w:val="768"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Numarul de pasageri transportati in traficul suburban si local, mii pers.</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3606</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3419</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3068</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2879</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3003</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2582</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1638</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1200</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1049</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516</w:t>
                                  </w:r>
                                </w:p>
                              </w:tc>
                              <w:tc>
                                <w:tcPr>
                                  <w:tcBorders>
                                    <w:top w:val="single" w:sz="4"/>
                                    <w:left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616</w:t>
                                  </w:r>
                                </w:p>
                              </w:tc>
                            </w:tr>
                            <w:tr>
                              <w:trPr>
                                <w:trHeight w:val="518"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Inclusiv gratuit in temeiul CCM, mii pers.</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1607</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1560</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1503</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1393</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1447</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1260</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1104</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954</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794</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287</w:t>
                                  </w:r>
                                </w:p>
                              </w:tc>
                              <w:tc>
                                <w:tcPr>
                                  <w:tcBorders>
                                    <w:top w:val="single" w:sz="4"/>
                                    <w:left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457</w:t>
                                  </w:r>
                                </w:p>
                              </w:tc>
                            </w:tr>
                            <w:tr>
                              <w:trPr>
                                <w:trHeight w:val="259"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Venituri, mil. lei</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10</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9,3</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9,7</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10,6</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11/3</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12,8</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7,1</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3,8</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3,6</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4</w:t>
                                  </w:r>
                                </w:p>
                              </w:tc>
                              <w:tc>
                                <w:tcPr>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2,4</w:t>
                                  </w:r>
                                </w:p>
                              </w:tc>
                            </w:tr>
                            <w:tr>
                              <w:trPr>
                                <w:trHeight w:val="264"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Cheltuieli, mil. lei</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141,5</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173,3</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185,9</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171,3</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187</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166,7</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134</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107,8</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104,5</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101,5</w:t>
                                  </w:r>
                                </w:p>
                              </w:tc>
                              <w:tc>
                                <w:tcPr>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vertAlign w:val="subscript"/>
                                      <w:lang w:val="en-US" w:eastAsia="en-US" w:bidi="en-US"/>
                                    </w:rPr>
                                    <w:t>-</w:t>
                                  </w:r>
                                </w:p>
                              </w:tc>
                            </w:tr>
                            <w:tr>
                              <w:trPr>
                                <w:trHeight w:val="274" w:hRule="exact"/>
                              </w:trPr>
                              <w:tc>
                                <w:tcPr>
                                  <w:tcBorders>
                                    <w:top w:val="single" w:sz="4"/>
                                    <w:left w:val="single" w:sz="4"/>
                                    <w:bottom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Pierderi, mil. lei</w:t>
                                  </w:r>
                                </w:p>
                              </w:tc>
                              <w:tc>
                                <w:tcPr>
                                  <w:tcBorders>
                                    <w:top w:val="single" w:sz="4"/>
                                    <w:left w:val="single" w:sz="4"/>
                                    <w:bottom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-131,5</w:t>
                                  </w:r>
                                </w:p>
                              </w:tc>
                              <w:tc>
                                <w:tcPr>
                                  <w:tcBorders>
                                    <w:top w:val="single" w:sz="4"/>
                                    <w:left w:val="single" w:sz="4"/>
                                    <w:bottom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-164</w:t>
                                  </w:r>
                                </w:p>
                              </w:tc>
                              <w:tc>
                                <w:tcPr>
                                  <w:tcBorders>
                                    <w:top w:val="single" w:sz="4"/>
                                    <w:left w:val="single" w:sz="4"/>
                                    <w:bottom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-176,2</w:t>
                                  </w:r>
                                </w:p>
                              </w:tc>
                              <w:tc>
                                <w:tcPr>
                                  <w:tcBorders>
                                    <w:top w:val="single" w:sz="4"/>
                                    <w:left w:val="single" w:sz="4"/>
                                    <w:bottom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-160,7</w:t>
                                  </w:r>
                                </w:p>
                              </w:tc>
                              <w:tc>
                                <w:tcPr>
                                  <w:tcBorders>
                                    <w:top w:val="single" w:sz="4"/>
                                    <w:left w:val="single" w:sz="4"/>
                                    <w:bottom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-175,7</w:t>
                                  </w:r>
                                </w:p>
                              </w:tc>
                              <w:tc>
                                <w:tcPr>
                                  <w:tcBorders>
                                    <w:top w:val="single" w:sz="4"/>
                                    <w:left w:val="single" w:sz="4"/>
                                    <w:bottom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-153,9</w:t>
                                  </w:r>
                                </w:p>
                              </w:tc>
                              <w:tc>
                                <w:tcPr>
                                  <w:tcBorders>
                                    <w:top w:val="single" w:sz="4"/>
                                    <w:left w:val="single" w:sz="4"/>
                                    <w:bottom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-126,9</w:t>
                                  </w:r>
                                </w:p>
                              </w:tc>
                              <w:tc>
                                <w:tcPr>
                                  <w:tcBorders>
                                    <w:top w:val="single" w:sz="4"/>
                                    <w:left w:val="single" w:sz="4"/>
                                    <w:bottom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-104</w:t>
                                  </w:r>
                                </w:p>
                              </w:tc>
                              <w:tc>
                                <w:tcPr>
                                  <w:tcBorders>
                                    <w:top w:val="single" w:sz="4"/>
                                    <w:left w:val="single" w:sz="4"/>
                                    <w:bottom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-100,9</w:t>
                                  </w:r>
                                </w:p>
                              </w:tc>
                              <w:tc>
                                <w:tcPr>
                                  <w:tcBorders>
                                    <w:top w:val="single" w:sz="4"/>
                                    <w:left w:val="single" w:sz="4"/>
                                    <w:bottom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-97,5</w:t>
                                  </w:r>
                                </w:p>
                              </w:tc>
                              <w:tc>
                                <w:tcPr>
                                  <w:tcBorders>
                                    <w:top w:val="single" w:sz="4"/>
                                    <w:left w:val="single" w:sz="4"/>
                                    <w:bottom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w:t>
                                  </w:r>
                                </w:p>
                              </w:tc>
                            </w:tr>
                          </w:tbl>
                          <w:p>
                            <w:pPr>
                              <w:widowControl w:val="0"/>
                              <w:spacing w:line="1" w:lineRule="exact"/>
                            </w:pPr>
                          </w:p>
                        </w:txbxContent>
                      </wps:txbx>
                      <wps:bodyPr lIns="0" tIns="0" rIns="0" bIns="0">
                        <a:noAutoFit/>
                      </wps:bodyPr>
                    </wps:wsp>
                  </a:graphicData>
                </a:graphic>
              </wp:anchor>
            </w:drawing>
          </mc:Choice>
          <mc:Fallback>
            <w:pict>
              <v:shape id="_x0000_s1082" type="#_x0000_t202" style="position:absolute;margin-left:66.849999999999994pt;margin-top:115.pt;width:455.30000000000001pt;height:145.90000000000001pt;z-index:-125829356;mso-wrap-distance-left:9.pt;mso-wrap-distance-right:9.pt;mso-position-horizontal-relative:page" filled="f" stroked="f">
                <v:textbox inset="0,0,0,0">
                  <w:txbxContent>
                    <w:tbl>
                      <w:tblPr>
                        <w:tblOverlap w:val="never"/>
                        <w:jc w:val="left"/>
                        <w:tblLayout w:type="fixed"/>
                      </w:tblPr>
                      <w:tblGrid>
                        <w:gridCol w:w="2443"/>
                        <w:gridCol w:w="629"/>
                        <w:gridCol w:w="624"/>
                        <w:gridCol w:w="629"/>
                        <w:gridCol w:w="629"/>
                        <w:gridCol w:w="634"/>
                        <w:gridCol w:w="629"/>
                        <w:gridCol w:w="629"/>
                        <w:gridCol w:w="528"/>
                        <w:gridCol w:w="643"/>
                        <w:gridCol w:w="538"/>
                        <w:gridCol w:w="552"/>
                      </w:tblGrid>
                      <w:tr>
                        <w:trPr>
                          <w:tblHeader/>
                          <w:trHeight w:val="293" w:hRule="exact"/>
                        </w:trPr>
                        <w:tc>
                          <w:tcPr>
                            <w:tcBorders/>
                            <w:shd w:val="clear" w:color="auto" w:fill="FFFFFF"/>
                            <w:vAlign w:val="top"/>
                          </w:tcPr>
                          <w:p>
                            <w:pPr>
                              <w:pStyle w:val="Style9"/>
                              <w:keepNext w:val="0"/>
                              <w:keepLines w:val="0"/>
                              <w:widowControl w:val="0"/>
                              <w:shd w:val="clear" w:color="auto" w:fill="auto"/>
                              <w:bidi w:val="0"/>
                              <w:spacing w:before="0" w:after="0" w:line="240" w:lineRule="auto"/>
                              <w:ind w:left="0" w:right="0" w:firstLine="620"/>
                              <w:jc w:val="left"/>
                            </w:pPr>
                            <w:r>
                              <w:rPr>
                                <w:color w:val="000000"/>
                                <w:spacing w:val="0"/>
                                <w:w w:val="100"/>
                                <w:position w:val="0"/>
                                <w:shd w:val="clear" w:color="auto" w:fill="auto"/>
                                <w:lang w:val="en-US" w:eastAsia="en-US" w:bidi="en-US"/>
                              </w:rPr>
                              <w:t>Tabelul 9. Rezu</w:t>
                            </w:r>
                          </w:p>
                        </w:tc>
                        <w:tc>
                          <w:tcPr>
                            <w:gridSpan w:val="8"/>
                            <w:tcBorders>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ltate transport pasageri in trafic suburban si l</w:t>
                            </w:r>
                          </w:p>
                        </w:tc>
                        <w:tc>
                          <w:tcPr>
                            <w:gridSpan w:val="3"/>
                            <w:tcBorders>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ocal</w:t>
                            </w:r>
                          </w:p>
                        </w:tc>
                      </w:tr>
                      <w:tr>
                        <w:trPr>
                          <w:trHeight w:val="542" w:hRule="exact"/>
                        </w:trPr>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Indicatori</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2010</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2011</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2012</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2013</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2014</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2015</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2016</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2017</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2018</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2019</w:t>
                            </w:r>
                          </w:p>
                        </w:tc>
                        <w:tc>
                          <w:tcPr>
                            <w:tcBorders>
                              <w:top w:val="single" w:sz="4"/>
                              <w:left w:val="single" w:sz="4"/>
                              <w:righ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both"/>
                              <w:rPr>
                                <w:sz w:val="22"/>
                                <w:szCs w:val="22"/>
                              </w:rPr>
                            </w:pPr>
                            <w:r>
                              <w:rPr>
                                <w:b/>
                                <w:bCs/>
                                <w:color w:val="000000"/>
                                <w:spacing w:val="0"/>
                                <w:w w:val="100"/>
                                <w:position w:val="0"/>
                                <w:sz w:val="22"/>
                                <w:szCs w:val="22"/>
                                <w:shd w:val="clear" w:color="auto" w:fill="auto"/>
                                <w:lang w:val="en-US" w:eastAsia="en-US" w:bidi="en-US"/>
                              </w:rPr>
                              <w:t>2020</w:t>
                            </w:r>
                          </w:p>
                        </w:tc>
                      </w:tr>
                      <w:tr>
                        <w:trPr>
                          <w:trHeight w:val="768"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Numarul de pasageri transportati in traficul suburban si local, mii pers.</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3606</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3419</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3068</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2879</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3003</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2582</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1638</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1200</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1049</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516</w:t>
                            </w:r>
                          </w:p>
                        </w:tc>
                        <w:tc>
                          <w:tcPr>
                            <w:tcBorders>
                              <w:top w:val="single" w:sz="4"/>
                              <w:left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616</w:t>
                            </w:r>
                          </w:p>
                        </w:tc>
                      </w:tr>
                      <w:tr>
                        <w:trPr>
                          <w:trHeight w:val="518"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Inclusiv gratuit in temeiul CCM, mii pers.</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1607</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1560</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1503</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1393</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1447</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1260</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1104</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954</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794</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287</w:t>
                            </w:r>
                          </w:p>
                        </w:tc>
                        <w:tc>
                          <w:tcPr>
                            <w:tcBorders>
                              <w:top w:val="single" w:sz="4"/>
                              <w:left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457</w:t>
                            </w:r>
                          </w:p>
                        </w:tc>
                      </w:tr>
                      <w:tr>
                        <w:trPr>
                          <w:trHeight w:val="259"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Venituri, mil. lei</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10</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9,3</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9,7</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10,6</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11/3</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12,8</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7,1</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3,8</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3,6</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4</w:t>
                            </w:r>
                          </w:p>
                        </w:tc>
                        <w:tc>
                          <w:tcPr>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2,4</w:t>
                            </w:r>
                          </w:p>
                        </w:tc>
                      </w:tr>
                      <w:tr>
                        <w:trPr>
                          <w:trHeight w:val="264"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Cheltuieli, mil. lei</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141,5</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173,3</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185,9</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171,3</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187</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166,7</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134</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107,8</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104,5</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101,5</w:t>
                            </w:r>
                          </w:p>
                        </w:tc>
                        <w:tc>
                          <w:tcPr>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vertAlign w:val="subscript"/>
                                <w:lang w:val="en-US" w:eastAsia="en-US" w:bidi="en-US"/>
                              </w:rPr>
                              <w:t>-</w:t>
                            </w:r>
                          </w:p>
                        </w:tc>
                      </w:tr>
                      <w:tr>
                        <w:trPr>
                          <w:trHeight w:val="274" w:hRule="exact"/>
                        </w:trPr>
                        <w:tc>
                          <w:tcPr>
                            <w:tcBorders>
                              <w:top w:val="single" w:sz="4"/>
                              <w:left w:val="single" w:sz="4"/>
                              <w:bottom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Pierderi, mil. lei</w:t>
                            </w:r>
                          </w:p>
                        </w:tc>
                        <w:tc>
                          <w:tcPr>
                            <w:tcBorders>
                              <w:top w:val="single" w:sz="4"/>
                              <w:left w:val="single" w:sz="4"/>
                              <w:bottom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-131,5</w:t>
                            </w:r>
                          </w:p>
                        </w:tc>
                        <w:tc>
                          <w:tcPr>
                            <w:tcBorders>
                              <w:top w:val="single" w:sz="4"/>
                              <w:left w:val="single" w:sz="4"/>
                              <w:bottom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-164</w:t>
                            </w:r>
                          </w:p>
                        </w:tc>
                        <w:tc>
                          <w:tcPr>
                            <w:tcBorders>
                              <w:top w:val="single" w:sz="4"/>
                              <w:left w:val="single" w:sz="4"/>
                              <w:bottom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-176,2</w:t>
                            </w:r>
                          </w:p>
                        </w:tc>
                        <w:tc>
                          <w:tcPr>
                            <w:tcBorders>
                              <w:top w:val="single" w:sz="4"/>
                              <w:left w:val="single" w:sz="4"/>
                              <w:bottom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-160,7</w:t>
                            </w:r>
                          </w:p>
                        </w:tc>
                        <w:tc>
                          <w:tcPr>
                            <w:tcBorders>
                              <w:top w:val="single" w:sz="4"/>
                              <w:left w:val="single" w:sz="4"/>
                              <w:bottom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-175,7</w:t>
                            </w:r>
                          </w:p>
                        </w:tc>
                        <w:tc>
                          <w:tcPr>
                            <w:tcBorders>
                              <w:top w:val="single" w:sz="4"/>
                              <w:left w:val="single" w:sz="4"/>
                              <w:bottom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-153,9</w:t>
                            </w:r>
                          </w:p>
                        </w:tc>
                        <w:tc>
                          <w:tcPr>
                            <w:tcBorders>
                              <w:top w:val="single" w:sz="4"/>
                              <w:left w:val="single" w:sz="4"/>
                              <w:bottom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-126,9</w:t>
                            </w:r>
                          </w:p>
                        </w:tc>
                        <w:tc>
                          <w:tcPr>
                            <w:tcBorders>
                              <w:top w:val="single" w:sz="4"/>
                              <w:left w:val="single" w:sz="4"/>
                              <w:bottom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-104</w:t>
                            </w:r>
                          </w:p>
                        </w:tc>
                        <w:tc>
                          <w:tcPr>
                            <w:tcBorders>
                              <w:top w:val="single" w:sz="4"/>
                              <w:left w:val="single" w:sz="4"/>
                              <w:bottom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-100,9</w:t>
                            </w:r>
                          </w:p>
                        </w:tc>
                        <w:tc>
                          <w:tcPr>
                            <w:tcBorders>
                              <w:top w:val="single" w:sz="4"/>
                              <w:left w:val="single" w:sz="4"/>
                              <w:bottom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-97,5</w:t>
                            </w:r>
                          </w:p>
                        </w:tc>
                        <w:tc>
                          <w:tcPr>
                            <w:tcBorders>
                              <w:top w:val="single" w:sz="4"/>
                              <w:left w:val="single" w:sz="4"/>
                              <w:bottom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w:t>
                            </w:r>
                          </w:p>
                        </w:tc>
                      </w:tr>
                    </w:tbl>
                    <w:p>
                      <w:pPr>
                        <w:widowControl w:val="0"/>
                        <w:spacing w:line="1" w:lineRule="exact"/>
                      </w:pPr>
                    </w:p>
                  </w:txbxContent>
                </v:textbox>
                <w10:wrap type="topAndBottom" anchorx="page"/>
              </v:shape>
            </w:pict>
          </mc:Fallback>
        </mc:AlternateContent>
      </w:r>
      <w:r>
        <w:rPr>
          <w:color w:val="000000"/>
          <w:spacing w:val="0"/>
          <w:w w:val="100"/>
          <w:position w:val="0"/>
          <w:shd w:val="clear" w:color="auto" w:fill="auto"/>
          <w:lang w:val="en-US" w:eastAsia="en-US" w:bidi="en-US"/>
        </w:rPr>
        <w:t>Analiza rezultatelor transporturilor de pasageri denota clar ca transportul de pasageri aduce pierderi considerable I.S. „CFM” (tabelele 7 si 8). Astfel, in toata perioada 2010-2019 transportul de pasageri in trafic suburban si local a adus pierderi anuale ce variaza de la 97,5 pana la 185,9 mil. lei, sau 1391,3 mil. lei pentru intreaga perioada (in mediu 139,1 mil. lei pe an). Datele privind cheltuielile/pierderile rezultate din transporturile de pasageri in trafic suburban si local pentru anul 2020 nu au fost prezentate de I.S. „CFM”.</w:t>
      </w:r>
    </w:p>
    <w:p>
      <w:pPr>
        <w:pStyle w:val="Style1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Mai mult ca atat, din datele prezentate de I.S. „CFM” rezulta clar ca chiar si transporturile de pasageri in trafic international au adus pierderi considerabile in perioada analizata. Astfel, anual transportul de pasageri in trafic international a adus pierderi intreprinderii de la 52,4 mil. lei la 98,4 mil. lei, totalizand in perioada 2010-2019 suma de 726,1 mil. lei. Datele privind cheltuielile/pierderile rezultate din transporturile de pasageri in trafic internationale pentru anul 2020 nu au fost prezentate de I.S. „CFM”.</w:t>
      </w:r>
    </w:p>
    <w:p>
      <w:pPr>
        <w:pStyle w:val="Style1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Conform datelor prezentate de I.S. „CFM”, incasarile anuale din darea in arenda a obiectelor detinute sunt de aproximativ 7,89 mil. lei.</w:t>
      </w:r>
    </w:p>
    <w:p>
      <w:pPr>
        <w:pStyle w:val="Style32"/>
        <w:keepNext w:val="0"/>
        <w:keepLines w:val="0"/>
        <w:widowControl w:val="0"/>
        <w:shd w:val="clear" w:color="auto" w:fill="auto"/>
        <w:bidi w:val="0"/>
        <w:spacing w:before="0" w:after="0" w:line="240" w:lineRule="auto"/>
        <w:ind w:left="595" w:right="0" w:firstLine="0"/>
        <w:jc w:val="left"/>
        <w:rPr>
          <w:sz w:val="28"/>
          <w:szCs w:val="28"/>
        </w:rPr>
      </w:pPr>
      <w:r>
        <w:rPr>
          <w:color w:val="000000"/>
          <w:spacing w:val="0"/>
          <w:w w:val="100"/>
          <w:position w:val="0"/>
          <w:sz w:val="28"/>
          <w:szCs w:val="28"/>
          <w:u w:val="none"/>
          <w:shd w:val="clear" w:color="auto" w:fill="auto"/>
          <w:lang w:val="en-US" w:eastAsia="en-US" w:bidi="en-US"/>
        </w:rPr>
        <w:t>Tabelul 10. Rezultate . transport pasageri in trafic international</w:t>
      </w:r>
    </w:p>
    <w:tbl>
      <w:tblPr>
        <w:tblOverlap w:val="never"/>
        <w:jc w:val="center"/>
        <w:tblLayout w:type="fixed"/>
      </w:tblPr>
      <w:tblGrid>
        <w:gridCol w:w="2434"/>
        <w:gridCol w:w="634"/>
        <w:gridCol w:w="619"/>
        <w:gridCol w:w="638"/>
        <w:gridCol w:w="629"/>
        <w:gridCol w:w="638"/>
        <w:gridCol w:w="624"/>
        <w:gridCol w:w="629"/>
        <w:gridCol w:w="672"/>
        <w:gridCol w:w="710"/>
        <w:gridCol w:w="566"/>
        <w:gridCol w:w="576"/>
      </w:tblGrid>
      <w:tr>
        <w:trPr>
          <w:trHeight w:val="317" w:hRule="exact"/>
        </w:trPr>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Indicatori</w:t>
            </w:r>
          </w:p>
        </w:tc>
        <w:tc>
          <w:tcPr>
            <w:tcBorders>
              <w:top w:val="single" w:sz="4"/>
              <w:left w:val="single" w:sz="4"/>
            </w:tcBorders>
            <w:shd w:val="clear" w:color="auto" w:fill="B3C6E6"/>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2010</w:t>
            </w:r>
          </w:p>
        </w:tc>
        <w:tc>
          <w:tcPr>
            <w:tcBorders>
              <w:top w:val="single" w:sz="4"/>
              <w:left w:val="single" w:sz="4"/>
            </w:tcBorders>
            <w:shd w:val="clear" w:color="auto" w:fill="B3C6E6"/>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2011</w:t>
            </w:r>
          </w:p>
        </w:tc>
        <w:tc>
          <w:tcPr>
            <w:tcBorders>
              <w:top w:val="single" w:sz="4"/>
              <w:left w:val="single" w:sz="4"/>
            </w:tcBorders>
            <w:shd w:val="clear" w:color="auto" w:fill="B3C6E6"/>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2012</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2013</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2014</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2015</w:t>
            </w:r>
          </w:p>
        </w:tc>
        <w:tc>
          <w:tcPr>
            <w:tcBorders>
              <w:top w:val="single" w:sz="4"/>
              <w:left w:val="single" w:sz="4"/>
            </w:tcBorders>
            <w:shd w:val="clear" w:color="auto" w:fill="B3C6E6"/>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2016</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2017</w:t>
            </w:r>
          </w:p>
        </w:tc>
        <w:tc>
          <w:tcPr>
            <w:tcBorders>
              <w:top w:val="single" w:sz="4"/>
              <w:left w:val="single" w:sz="4"/>
            </w:tcBorders>
            <w:shd w:val="clear" w:color="auto" w:fill="B3C6E6"/>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2018</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2019</w:t>
            </w:r>
          </w:p>
        </w:tc>
        <w:tc>
          <w:tcPr>
            <w:tcBorders>
              <w:top w:val="single" w:sz="4"/>
              <w:left w:val="single" w:sz="4"/>
              <w:right w:val="single" w:sz="4"/>
            </w:tcBorders>
            <w:shd w:val="clear" w:color="auto" w:fill="B3C6E6"/>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2020</w:t>
            </w:r>
          </w:p>
        </w:tc>
      </w:tr>
      <w:tr>
        <w:trPr>
          <w:trHeight w:val="768"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Numarul de pasageri transportati in traficul international, mii pers.</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1357</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1292,2</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1273,1</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1213,6</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834,5</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685,9</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620,2</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614,0</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660,3</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645,7</w:t>
            </w:r>
          </w:p>
        </w:tc>
        <w:tc>
          <w:tcPr>
            <w:tcBorders>
              <w:top w:val="single" w:sz="4"/>
              <w:left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104,0</w:t>
            </w:r>
          </w:p>
        </w:tc>
      </w:tr>
      <w:tr>
        <w:trPr>
          <w:trHeight w:val="514"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Inclusiv gratuit in temeiul CCM, mii pers.</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21,6</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20,8</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7,8</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8,1</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4,2</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2,6</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3,0</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2,9</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2,8</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2,9</w:t>
            </w:r>
          </w:p>
        </w:tc>
        <w:tc>
          <w:tcPr>
            <w:tcBorders>
              <w:top w:val="single" w:sz="4"/>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0,2</w:t>
            </w:r>
          </w:p>
        </w:tc>
      </w:tr>
      <w:tr>
        <w:trPr>
          <w:trHeight w:val="264"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Venituri, mil. lei</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225,5</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257,3</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261,3</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318,4</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244,3</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198,2</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175,7</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152,7</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148,4</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153</w:t>
            </w:r>
          </w:p>
        </w:tc>
        <w:tc>
          <w:tcPr>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21,6</w:t>
            </w:r>
          </w:p>
        </w:tc>
      </w:tr>
      <w:tr>
        <w:trPr>
          <w:trHeight w:val="264"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Cheltuieli, mil. lei</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277,9</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328,7</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348,6</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346,5</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330,4</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296,6</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249,7</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233</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232,7</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216,8</w:t>
            </w:r>
          </w:p>
        </w:tc>
        <w:tc>
          <w:tcPr>
            <w:tcBorders>
              <w:top w:val="single" w:sz="4"/>
              <w:left w:val="single" w:sz="4"/>
              <w:right w:val="single" w:sz="4"/>
            </w:tcBorders>
            <w:shd w:val="clear" w:color="auto" w:fill="FFFFFF"/>
            <w:vAlign w:val="top"/>
          </w:tcPr>
          <w:p>
            <w:pPr>
              <w:widowControl w:val="0"/>
              <w:rPr>
                <w:sz w:val="10"/>
                <w:szCs w:val="10"/>
              </w:rPr>
            </w:pPr>
          </w:p>
        </w:tc>
      </w:tr>
      <w:tr>
        <w:trPr>
          <w:trHeight w:val="523" w:hRule="exact"/>
        </w:trPr>
        <w:tc>
          <w:tcPr>
            <w:tcBorders>
              <w:top w:val="single" w:sz="4"/>
              <w:left w:val="single" w:sz="4"/>
              <w:bottom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Pierderi, mil. lei</w:t>
            </w:r>
          </w:p>
        </w:tc>
        <w:tc>
          <w:tcPr>
            <w:tcBorders>
              <w:top w:val="single" w:sz="4"/>
              <w:left w:val="single" w:sz="4"/>
              <w:bottom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-52,4</w:t>
            </w:r>
          </w:p>
        </w:tc>
        <w:tc>
          <w:tcPr>
            <w:tcBorders>
              <w:top w:val="single" w:sz="4"/>
              <w:left w:val="single" w:sz="4"/>
              <w:bottom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-71,4</w:t>
            </w:r>
          </w:p>
        </w:tc>
        <w:tc>
          <w:tcPr>
            <w:tcBorders>
              <w:top w:val="single" w:sz="4"/>
              <w:left w:val="single" w:sz="4"/>
              <w:bottom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-87,3</w:t>
            </w:r>
          </w:p>
        </w:tc>
        <w:tc>
          <w:tcPr>
            <w:tcBorders>
              <w:top w:val="single" w:sz="4"/>
              <w:left w:val="single" w:sz="4"/>
              <w:bottom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-28,1</w:t>
            </w:r>
          </w:p>
        </w:tc>
        <w:tc>
          <w:tcPr>
            <w:tcBorders>
              <w:top w:val="single" w:sz="4"/>
              <w:left w:val="single" w:sz="4"/>
              <w:bottom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-86,1</w:t>
            </w:r>
          </w:p>
        </w:tc>
        <w:tc>
          <w:tcPr>
            <w:tcBorders>
              <w:top w:val="single" w:sz="4"/>
              <w:left w:val="single" w:sz="4"/>
              <w:bottom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-98,4</w:t>
            </w:r>
          </w:p>
        </w:tc>
        <w:tc>
          <w:tcPr>
            <w:tcBorders>
              <w:top w:val="single" w:sz="4"/>
              <w:left w:val="single" w:sz="4"/>
              <w:bottom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-74</w:t>
            </w:r>
          </w:p>
        </w:tc>
        <w:tc>
          <w:tcPr>
            <w:tcBorders>
              <w:top w:val="single" w:sz="4"/>
              <w:left w:val="single" w:sz="4"/>
              <w:bottom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-80,3</w:t>
            </w:r>
          </w:p>
        </w:tc>
        <w:tc>
          <w:tcPr>
            <w:tcBorders>
              <w:top w:val="single" w:sz="4"/>
              <w:left w:val="single" w:sz="4"/>
              <w:bottom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-84,3</w:t>
            </w:r>
          </w:p>
        </w:tc>
        <w:tc>
          <w:tcPr>
            <w:tcBorders>
              <w:top w:val="single" w:sz="4"/>
              <w:left w:val="single" w:sz="4"/>
              <w:bottom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63,8</w:t>
            </w: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sectPr>
          <w:footnotePr>
            <w:pos w:val="pageBottom"/>
            <w:numFmt w:val="decimal"/>
            <w:numStart w:val="8"/>
            <w:numRestart w:val="continuous"/>
            <w15:footnoteColumns w:val="1"/>
          </w:footnotePr>
          <w:type w:val="continuous"/>
          <w:pgSz w:w="11900" w:h="16840"/>
          <w:pgMar w:top="578" w:left="1162" w:right="457" w:bottom="823" w:header="0" w:footer="3" w:gutter="0"/>
          <w:cols w:space="720"/>
          <w:noEndnote/>
          <w:rtlGutter w:val="0"/>
          <w:docGrid w:linePitch="360"/>
        </w:sectPr>
      </w:pPr>
    </w:p>
    <w:p>
      <w:pPr>
        <w:pStyle w:val="Style1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Potrivit datelor prezentate de I.S. „CFM”, incasarile anuale din darea in arenda a obiectelor detinute sunt de aproximativ 7,89 mil. lei.</w:t>
      </w:r>
    </w:p>
    <w:p>
      <w:pPr>
        <w:pStyle w:val="Style1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Din punctul de vedere a intretinerii infrastructurii I.S. „CFM”, datele examinate releva ca din anul 2015 reparatiile liniilor de infrastructura au scazut considerabil. Spre exemplu in anii 2017, 2020 nu a fost reparat capital nici un metru de linii de infrastructura (Tabelul 9).</w:t>
      </w:r>
    </w:p>
    <w:tbl>
      <w:tblPr>
        <w:tblOverlap w:val="never"/>
        <w:jc w:val="center"/>
        <w:tblLayout w:type="fixed"/>
      </w:tblPr>
      <w:tblGrid>
        <w:gridCol w:w="3245"/>
        <w:gridCol w:w="634"/>
        <w:gridCol w:w="629"/>
        <w:gridCol w:w="629"/>
        <w:gridCol w:w="643"/>
        <w:gridCol w:w="614"/>
        <w:gridCol w:w="634"/>
        <w:gridCol w:w="538"/>
        <w:gridCol w:w="538"/>
        <w:gridCol w:w="542"/>
        <w:gridCol w:w="542"/>
        <w:gridCol w:w="547"/>
      </w:tblGrid>
      <w:tr>
        <w:trPr>
          <w:trHeight w:val="350" w:hRule="exact"/>
        </w:trPr>
        <w:tc>
          <w:tcPr>
            <w:gridSpan w:val="5"/>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600"/>
              <w:jc w:val="left"/>
            </w:pPr>
            <w:r>
              <w:rPr>
                <w:color w:val="000000"/>
                <w:spacing w:val="0"/>
                <w:w w:val="100"/>
                <w:position w:val="0"/>
                <w:shd w:val="clear" w:color="auto" w:fill="auto"/>
                <w:lang w:val="en-US" w:eastAsia="en-US" w:bidi="en-US"/>
              </w:rPr>
              <w:t>Tabelul 11. Rezultatele privind intretinerea in</w:t>
            </w:r>
          </w:p>
        </w:tc>
        <w:tc>
          <w:tcPr>
            <w:gridSpan w:val="3"/>
            <w:tcBorders>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en-US" w:eastAsia="en-US" w:bidi="en-US"/>
              </w:rPr>
              <w:t>frastructurii I.S.</w:t>
            </w:r>
          </w:p>
        </w:tc>
        <w:tc>
          <w:tcPr>
            <w:gridSpan w:val="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„CFM”</w:t>
            </w:r>
          </w:p>
        </w:tc>
      </w:tr>
      <w:tr>
        <w:trPr>
          <w:trHeight w:val="672" w:hRule="exact"/>
        </w:trPr>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Indicatori</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2010</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2011</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2012</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2013</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2014</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2015</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2016</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2017</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2018</w:t>
            </w:r>
          </w:p>
        </w:tc>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2019</w:t>
            </w:r>
          </w:p>
        </w:tc>
        <w:tc>
          <w:tcPr>
            <w:tcBorders>
              <w:top w:val="single" w:sz="4"/>
              <w:left w:val="single" w:sz="4"/>
              <w:righ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0"/>
              <w:jc w:val="both"/>
              <w:rPr>
                <w:sz w:val="22"/>
                <w:szCs w:val="22"/>
              </w:rPr>
            </w:pPr>
            <w:r>
              <w:rPr>
                <w:b/>
                <w:bCs/>
                <w:color w:val="000000"/>
                <w:spacing w:val="0"/>
                <w:w w:val="100"/>
                <w:position w:val="0"/>
                <w:sz w:val="22"/>
                <w:szCs w:val="22"/>
                <w:shd w:val="clear" w:color="auto" w:fill="auto"/>
                <w:lang w:val="en-US" w:eastAsia="en-US" w:bidi="en-US"/>
              </w:rPr>
              <w:t>2020</w:t>
            </w:r>
          </w:p>
        </w:tc>
      </w:tr>
      <w:tr>
        <w:trPr>
          <w:trHeight w:val="768"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Reparatie capitala a liniilor de infrastructure pentru fiecare an (metri).</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30600</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30800</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26300</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8300</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10400</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2300</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900</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1100</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200</w:t>
            </w:r>
          </w:p>
        </w:tc>
        <w:tc>
          <w:tcPr>
            <w:tcBorders>
              <w:top w:val="single" w:sz="4"/>
              <w:left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0</w:t>
            </w:r>
          </w:p>
        </w:tc>
      </w:tr>
      <w:tr>
        <w:trPr>
          <w:trHeight w:val="773"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Reparatie medie a liniilor de infrastructure pentru fiecare an (metri).</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16620</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11000</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3020</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5300</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1400</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1700</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1480</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4025</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270</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423</w:t>
            </w:r>
          </w:p>
        </w:tc>
        <w:tc>
          <w:tcPr>
            <w:tcBorders>
              <w:top w:val="single" w:sz="4"/>
              <w:left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40</w:t>
            </w:r>
          </w:p>
        </w:tc>
      </w:tr>
      <w:tr>
        <w:trPr>
          <w:trHeight w:val="514"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Reparatie periodica a caii pentru fiecare an (metri).</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51400</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28500</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14900</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17700</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8570</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4600</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6500</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4700</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5113</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4810</w:t>
            </w:r>
          </w:p>
        </w:tc>
        <w:tc>
          <w:tcPr>
            <w:tcBorders>
              <w:top w:val="single" w:sz="4"/>
              <w:left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450</w:t>
            </w:r>
          </w:p>
        </w:tc>
      </w:tr>
      <w:tr>
        <w:trPr>
          <w:trHeight w:val="518" w:hRule="exact"/>
        </w:trPr>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Locomotive reparate capital fiecare an.</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3</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0</w:t>
            </w:r>
          </w:p>
        </w:tc>
        <w:tc>
          <w:tcPr>
            <w:tcBorders>
              <w:top w:val="single" w:sz="4"/>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0</w:t>
            </w:r>
          </w:p>
        </w:tc>
      </w:tr>
      <w:tr>
        <w:trPr>
          <w:trHeight w:val="514"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Vagoane de marfa reparate capital si in depou pentru fiecare an</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1525</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1880</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1812</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1506</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1042</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1088</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1050</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967</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1345</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1485</w:t>
            </w:r>
          </w:p>
        </w:tc>
        <w:tc>
          <w:tcPr>
            <w:tcBorders>
              <w:top w:val="single" w:sz="4"/>
              <w:left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759</w:t>
            </w:r>
          </w:p>
        </w:tc>
      </w:tr>
      <w:tr>
        <w:trPr>
          <w:trHeight w:val="778" w:hRule="exact"/>
        </w:trPr>
        <w:tc>
          <w:tcPr>
            <w:tcBorders>
              <w:top w:val="single" w:sz="4"/>
              <w:left w:val="single" w:sz="4"/>
              <w:bottom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Vagoane de pasageri reparate capitali in depou si curenta pentru fiecare an.</w:t>
            </w:r>
          </w:p>
        </w:tc>
        <w:tc>
          <w:tcPr>
            <w:tcBorders>
              <w:top w:val="single" w:sz="4"/>
              <w:left w:val="single" w:sz="4"/>
              <w:bottom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1799</w:t>
            </w:r>
          </w:p>
        </w:tc>
        <w:tc>
          <w:tcPr>
            <w:tcBorders>
              <w:top w:val="single" w:sz="4"/>
              <w:left w:val="single" w:sz="4"/>
              <w:bottom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2185</w:t>
            </w:r>
          </w:p>
        </w:tc>
        <w:tc>
          <w:tcPr>
            <w:tcBorders>
              <w:top w:val="single" w:sz="4"/>
              <w:left w:val="single" w:sz="4"/>
              <w:bottom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2467</w:t>
            </w:r>
          </w:p>
        </w:tc>
        <w:tc>
          <w:tcPr>
            <w:tcBorders>
              <w:top w:val="single" w:sz="4"/>
              <w:left w:val="single" w:sz="4"/>
              <w:bottom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2151</w:t>
            </w:r>
          </w:p>
        </w:tc>
        <w:tc>
          <w:tcPr>
            <w:tcBorders>
              <w:top w:val="single" w:sz="4"/>
              <w:left w:val="single" w:sz="4"/>
              <w:bottom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1817</w:t>
            </w:r>
          </w:p>
        </w:tc>
        <w:tc>
          <w:tcPr>
            <w:tcBorders>
              <w:top w:val="single" w:sz="4"/>
              <w:left w:val="single" w:sz="4"/>
              <w:bottom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1884</w:t>
            </w:r>
          </w:p>
        </w:tc>
        <w:tc>
          <w:tcPr>
            <w:tcBorders>
              <w:top w:val="single" w:sz="4"/>
              <w:left w:val="single" w:sz="4"/>
              <w:bottom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1238</w:t>
            </w:r>
          </w:p>
        </w:tc>
        <w:tc>
          <w:tcPr>
            <w:tcBorders>
              <w:top w:val="single" w:sz="4"/>
              <w:left w:val="single" w:sz="4"/>
              <w:bottom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2053</w:t>
            </w:r>
          </w:p>
        </w:tc>
        <w:tc>
          <w:tcPr>
            <w:tcBorders>
              <w:top w:val="single" w:sz="4"/>
              <w:left w:val="single" w:sz="4"/>
              <w:bottom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1688</w:t>
            </w:r>
          </w:p>
        </w:tc>
        <w:tc>
          <w:tcPr>
            <w:tcBorders>
              <w:top w:val="single" w:sz="4"/>
              <w:left w:val="single" w:sz="4"/>
              <w:bottom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en-US" w:eastAsia="en-US" w:bidi="en-US"/>
              </w:rPr>
              <w:t>1013</w:t>
            </w:r>
          </w:p>
        </w:tc>
        <w:tc>
          <w:tcPr>
            <w:tcBorders>
              <w:top w:val="single" w:sz="4"/>
              <w:left w:val="single" w:sz="4"/>
              <w:bottom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en-US" w:eastAsia="en-US" w:bidi="en-US"/>
              </w:rPr>
              <w:t>72</w:t>
            </w:r>
          </w:p>
        </w:tc>
      </w:tr>
    </w:tbl>
    <w:p>
      <w:pPr>
        <w:pStyle w:val="Style32"/>
        <w:keepNext w:val="0"/>
        <w:keepLines w:val="0"/>
        <w:widowControl w:val="0"/>
        <w:shd w:val="clear" w:color="auto" w:fill="auto"/>
        <w:bidi w:val="0"/>
        <w:spacing w:before="0" w:after="0" w:line="240" w:lineRule="auto"/>
        <w:ind w:left="0" w:right="0" w:firstLine="0"/>
        <w:jc w:val="both"/>
        <w:rPr>
          <w:sz w:val="28"/>
          <w:szCs w:val="28"/>
        </w:rPr>
      </w:pPr>
      <w:r>
        <w:rPr>
          <w:color w:val="000000"/>
          <w:spacing w:val="0"/>
          <w:w w:val="100"/>
          <w:position w:val="0"/>
          <w:sz w:val="28"/>
          <w:szCs w:val="28"/>
          <w:u w:val="none"/>
          <w:shd w:val="clear" w:color="auto" w:fill="auto"/>
          <w:lang w:val="en-US" w:eastAsia="en-US" w:bidi="en-US"/>
        </w:rPr>
        <w:t>Din analiza numarului total de angajati rezulta ca incepand cu anul 2010 acesta este in continua descrestere. Astfel, daca in anul 2010 la intreprindere activau 12298 de</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persoane, in 2020 numarul angajatilor a ramas de 6821 de persoane.</w:t>
      </w:r>
    </w:p>
    <w:p>
      <w:pPr>
        <w:pStyle w:val="Style17"/>
        <w:keepNext w:val="0"/>
        <w:keepLines w:val="0"/>
        <w:widowControl w:val="0"/>
        <w:shd w:val="clear" w:color="auto" w:fill="auto"/>
        <w:bidi w:val="0"/>
        <w:spacing w:before="0" w:after="0" w:line="240" w:lineRule="auto"/>
        <w:ind w:left="0" w:right="0" w:firstLine="640"/>
        <w:jc w:val="left"/>
      </w:pPr>
      <w:r>
        <w:rPr>
          <w:color w:val="000000"/>
          <w:spacing w:val="0"/>
          <w:w w:val="100"/>
          <w:position w:val="0"/>
          <w:shd w:val="clear" w:color="auto" w:fill="auto"/>
          <w:lang w:val="en-US" w:eastAsia="en-US" w:bidi="en-US"/>
        </w:rPr>
        <w:t>Totodata, se constata ca marimea media a salariilor la intreprindere in perioada 2010 - 2020 a fost in crestere continua. Pentru comparatie daca salariu mediu lunar in 2010 era de 2572,87 lei, atunci in 2020, acesta era de 4355,92 lei. Totusi, daca este sa luam in considerare rata medie anuala de inflatie, atunci se constata ca salariul mediu din 2010 ajustat la inflatie pentru anul 2020 ar reprezenta 4449,86 lei, valoare care este mai mare decat cel din salariul mediu real achitat in 2020 - 4355,92 lei (Tab.12).</w:t>
      </w:r>
    </w:p>
    <w:p>
      <w:pPr>
        <w:pStyle w:val="Style17"/>
        <w:keepNext w:val="0"/>
        <w:keepLines w:val="0"/>
        <w:widowControl w:val="0"/>
        <w:shd w:val="clear" w:color="auto" w:fill="auto"/>
        <w:bidi w:val="0"/>
        <w:spacing w:before="0" w:after="0" w:line="240" w:lineRule="auto"/>
        <w:ind w:left="0" w:right="0" w:firstLine="640"/>
        <w:jc w:val="left"/>
      </w:pPr>
      <w:r>
        <w:rPr>
          <w:color w:val="000000"/>
          <w:spacing w:val="0"/>
          <w:w w:val="100"/>
          <w:position w:val="0"/>
          <w:shd w:val="clear" w:color="auto" w:fill="auto"/>
          <w:lang w:val="en-US" w:eastAsia="en-US" w:bidi="en-US"/>
        </w:rPr>
        <w:t>Tabelul 12. Numarul total de angajati si marimea media a salariilor la intreprindere pentru 2010-2020</w:t>
      </w:r>
    </w:p>
    <w:tbl>
      <w:tblPr>
        <w:tblOverlap w:val="never"/>
        <w:jc w:val="left"/>
        <w:tblLayout w:type="fixed"/>
      </w:tblPr>
      <w:tblGrid>
        <w:gridCol w:w="1272"/>
        <w:gridCol w:w="1570"/>
        <w:gridCol w:w="1699"/>
        <w:gridCol w:w="1699"/>
        <w:gridCol w:w="1714"/>
      </w:tblGrid>
      <w:tr>
        <w:trPr>
          <w:trHeight w:val="778" w:hRule="exact"/>
        </w:trPr>
        <w:tc>
          <w:tcPr>
            <w:tcBorders>
              <w:top w:val="single" w:sz="4"/>
              <w:left w:val="single" w:sz="4"/>
            </w:tcBorders>
            <w:shd w:val="clear" w:color="auto" w:fill="B3C6E6"/>
            <w:vAlign w:val="center"/>
          </w:tcPr>
          <w:p>
            <w:pPr>
              <w:pStyle w:val="Style9"/>
              <w:keepNext w:val="0"/>
              <w:keepLines w:val="0"/>
              <w:widowControl w:val="0"/>
              <w:shd w:val="clear" w:color="auto" w:fill="auto"/>
              <w:bidi w:val="0"/>
              <w:spacing w:before="0" w:after="0" w:line="240" w:lineRule="auto"/>
              <w:ind w:left="0" w:right="0" w:firstLine="380"/>
              <w:jc w:val="both"/>
              <w:rPr>
                <w:sz w:val="22"/>
                <w:szCs w:val="22"/>
              </w:rPr>
            </w:pPr>
            <w:r>
              <w:rPr>
                <w:b/>
                <w:bCs/>
                <w:color w:val="000000"/>
                <w:spacing w:val="0"/>
                <w:w w:val="100"/>
                <w:position w:val="0"/>
                <w:sz w:val="22"/>
                <w:szCs w:val="22"/>
                <w:shd w:val="clear" w:color="auto" w:fill="auto"/>
                <w:lang w:val="en-US" w:eastAsia="en-US" w:bidi="en-US"/>
              </w:rPr>
              <w:t>Anul</w:t>
            </w:r>
          </w:p>
        </w:tc>
        <w:tc>
          <w:tcPr>
            <w:tcBorders>
              <w:top w:val="single" w:sz="4"/>
              <w:left w:val="single" w:sz="4"/>
            </w:tcBorders>
            <w:shd w:val="clear" w:color="auto" w:fill="B3C6E6"/>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Numarul total de angajati</w:t>
            </w:r>
          </w:p>
        </w:tc>
        <w:tc>
          <w:tcPr>
            <w:tcBorders>
              <w:top w:val="single" w:sz="4"/>
              <w:left w:val="single" w:sz="4"/>
            </w:tcBorders>
            <w:shd w:val="clear" w:color="auto" w:fill="B3C6E6"/>
            <w:vAlign w:val="bottom"/>
          </w:tcPr>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Marimea medie a salariului la I.S.</w:t>
            </w:r>
          </w:p>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„CFM”</w:t>
            </w:r>
          </w:p>
        </w:tc>
        <w:tc>
          <w:tcPr>
            <w:tcBorders>
              <w:top w:val="single" w:sz="4"/>
              <w:left w:val="single" w:sz="4"/>
            </w:tcBorders>
            <w:shd w:val="clear" w:color="auto" w:fill="B3C6E6"/>
            <w:vAlign w:val="bottom"/>
          </w:tcPr>
          <w:p>
            <w:pPr>
              <w:pStyle w:val="Style9"/>
              <w:keepNext w:val="0"/>
              <w:keepLines w:val="0"/>
              <w:widowControl w:val="0"/>
              <w:shd w:val="clear" w:color="auto" w:fill="auto"/>
              <w:bidi w:val="0"/>
              <w:spacing w:before="0" w:after="0" w:line="240" w:lineRule="auto"/>
              <w:ind w:left="0" w:right="0" w:firstLine="0"/>
              <w:jc w:val="both"/>
              <w:rPr>
                <w:sz w:val="22"/>
                <w:szCs w:val="22"/>
              </w:rPr>
            </w:pPr>
            <w:r>
              <w:rPr>
                <w:b/>
                <w:bCs/>
                <w:color w:val="000000"/>
                <w:spacing w:val="0"/>
                <w:w w:val="100"/>
                <w:position w:val="0"/>
                <w:sz w:val="22"/>
                <w:szCs w:val="22"/>
                <w:shd w:val="clear" w:color="auto" w:fill="auto"/>
                <w:lang w:val="en-US" w:eastAsia="en-US" w:bidi="en-US"/>
              </w:rPr>
              <w:t>Rata medie de inflatie anuala,</w:t>
            </w:r>
          </w:p>
          <w:p>
            <w:pPr>
              <w:pStyle w:val="Style9"/>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en-US" w:eastAsia="en-US" w:bidi="en-US"/>
              </w:rPr>
              <w:t>%</w:t>
            </w:r>
            <w:r>
              <w:rPr>
                <w:b/>
                <w:bCs/>
                <w:color w:val="000000"/>
                <w:spacing w:val="0"/>
                <w:w w:val="100"/>
                <w:position w:val="0"/>
                <w:sz w:val="22"/>
                <w:szCs w:val="22"/>
                <w:shd w:val="clear" w:color="auto" w:fill="auto"/>
                <w:vertAlign w:val="superscript"/>
                <w:lang w:val="en-US" w:eastAsia="en-US" w:bidi="en-US"/>
              </w:rPr>
              <w:t>15</w:t>
            </w:r>
            <w:r>
              <w:rPr>
                <w:b/>
                <w:bCs/>
                <w:color w:val="000000"/>
                <w:spacing w:val="0"/>
                <w:w w:val="100"/>
                <w:position w:val="0"/>
                <w:sz w:val="22"/>
                <w:szCs w:val="22"/>
                <w:shd w:val="clear" w:color="auto" w:fill="auto"/>
                <w:lang w:val="en-US" w:eastAsia="en-US" w:bidi="en-US"/>
              </w:rPr>
              <w:t xml:space="preserve"> '</w:t>
            </w:r>
          </w:p>
        </w:tc>
        <w:tc>
          <w:tcPr>
            <w:tcBorders>
              <w:top w:val="single" w:sz="4"/>
              <w:left w:val="single" w:sz="4"/>
              <w:right w:val="single" w:sz="4"/>
            </w:tcBorders>
            <w:shd w:val="clear" w:color="auto" w:fill="B3C6E6"/>
            <w:vAlign w:val="top"/>
          </w:tcPr>
          <w:p>
            <w:pPr>
              <w:pStyle w:val="Style9"/>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en-US" w:eastAsia="en-US" w:bidi="en-US"/>
              </w:rPr>
              <w:t>Salariul din 2010 ajustat la inflatie</w:t>
            </w:r>
          </w:p>
        </w:tc>
      </w:tr>
      <w:tr>
        <w:trPr>
          <w:trHeight w:val="288"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380"/>
              <w:jc w:val="both"/>
              <w:rPr>
                <w:sz w:val="22"/>
                <w:szCs w:val="22"/>
              </w:rPr>
            </w:pPr>
            <w:r>
              <w:rPr>
                <w:color w:val="000000"/>
                <w:spacing w:val="0"/>
                <w:w w:val="100"/>
                <w:position w:val="0"/>
                <w:sz w:val="22"/>
                <w:szCs w:val="22"/>
                <w:shd w:val="clear" w:color="auto" w:fill="auto"/>
                <w:lang w:val="en-US" w:eastAsia="en-US" w:bidi="en-US"/>
              </w:rPr>
              <w:t>2010</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12298</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460"/>
              <w:jc w:val="both"/>
              <w:rPr>
                <w:sz w:val="22"/>
                <w:szCs w:val="22"/>
              </w:rPr>
            </w:pPr>
            <w:r>
              <w:rPr>
                <w:color w:val="000000"/>
                <w:spacing w:val="0"/>
                <w:w w:val="100"/>
                <w:position w:val="0"/>
                <w:sz w:val="22"/>
                <w:szCs w:val="22"/>
                <w:shd w:val="clear" w:color="auto" w:fill="auto"/>
                <w:lang w:val="en-US" w:eastAsia="en-US" w:bidi="en-US"/>
              </w:rPr>
              <w:t>2572,87</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7,36</w:t>
            </w:r>
          </w:p>
        </w:tc>
        <w:tc>
          <w:tcPr>
            <w:tcBorders>
              <w:top w:val="single" w:sz="4"/>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w:t>
            </w:r>
          </w:p>
        </w:tc>
      </w:tr>
      <w:tr>
        <w:trPr>
          <w:trHeight w:val="288"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380"/>
              <w:jc w:val="both"/>
              <w:rPr>
                <w:sz w:val="22"/>
                <w:szCs w:val="22"/>
              </w:rPr>
            </w:pPr>
            <w:r>
              <w:rPr>
                <w:color w:val="000000"/>
                <w:spacing w:val="0"/>
                <w:w w:val="100"/>
                <w:position w:val="0"/>
                <w:sz w:val="22"/>
                <w:szCs w:val="22"/>
                <w:shd w:val="clear" w:color="auto" w:fill="auto"/>
                <w:lang w:val="en-US" w:eastAsia="en-US" w:bidi="en-US"/>
              </w:rPr>
              <w:t>2011</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11838</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460"/>
              <w:jc w:val="both"/>
              <w:rPr>
                <w:sz w:val="22"/>
                <w:szCs w:val="22"/>
              </w:rPr>
            </w:pPr>
            <w:r>
              <w:rPr>
                <w:color w:val="000000"/>
                <w:spacing w:val="0"/>
                <w:w w:val="100"/>
                <w:position w:val="0"/>
                <w:sz w:val="22"/>
                <w:szCs w:val="22"/>
                <w:shd w:val="clear" w:color="auto" w:fill="auto"/>
                <w:lang w:val="en-US" w:eastAsia="en-US" w:bidi="en-US"/>
              </w:rPr>
              <w:t>2901,57</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7,61</w:t>
            </w:r>
          </w:p>
        </w:tc>
        <w:tc>
          <w:tcPr>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2768,62</w:t>
            </w:r>
          </w:p>
        </w:tc>
      </w:tr>
      <w:tr>
        <w:trPr>
          <w:trHeight w:val="283"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380"/>
              <w:jc w:val="both"/>
              <w:rPr>
                <w:sz w:val="22"/>
                <w:szCs w:val="22"/>
              </w:rPr>
            </w:pPr>
            <w:r>
              <w:rPr>
                <w:color w:val="000000"/>
                <w:spacing w:val="0"/>
                <w:w w:val="100"/>
                <w:position w:val="0"/>
                <w:sz w:val="22"/>
                <w:szCs w:val="22"/>
                <w:shd w:val="clear" w:color="auto" w:fill="auto"/>
                <w:lang w:val="en-US" w:eastAsia="en-US" w:bidi="en-US"/>
              </w:rPr>
              <w:t>2012</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11600</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460"/>
              <w:jc w:val="both"/>
              <w:rPr>
                <w:sz w:val="22"/>
                <w:szCs w:val="22"/>
              </w:rPr>
            </w:pPr>
            <w:r>
              <w:rPr>
                <w:color w:val="000000"/>
                <w:spacing w:val="0"/>
                <w:w w:val="100"/>
                <w:position w:val="0"/>
                <w:sz w:val="22"/>
                <w:szCs w:val="22"/>
                <w:shd w:val="clear" w:color="auto" w:fill="auto"/>
                <w:lang w:val="en-US" w:eastAsia="en-US" w:bidi="en-US"/>
              </w:rPr>
              <w:t>3326,19</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4,66</w:t>
            </w:r>
          </w:p>
        </w:tc>
        <w:tc>
          <w:tcPr>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2897,59</w:t>
            </w:r>
          </w:p>
        </w:tc>
      </w:tr>
      <w:tr>
        <w:trPr>
          <w:trHeight w:val="269"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380"/>
              <w:jc w:val="both"/>
              <w:rPr>
                <w:sz w:val="22"/>
                <w:szCs w:val="22"/>
              </w:rPr>
            </w:pPr>
            <w:r>
              <w:rPr>
                <w:color w:val="000000"/>
                <w:spacing w:val="0"/>
                <w:w w:val="100"/>
                <w:position w:val="0"/>
                <w:sz w:val="22"/>
                <w:szCs w:val="22"/>
                <w:shd w:val="clear" w:color="auto" w:fill="auto"/>
                <w:lang w:val="en-US" w:eastAsia="en-US" w:bidi="en-US"/>
              </w:rPr>
              <w:t>2013</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11148</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460"/>
              <w:jc w:val="both"/>
              <w:rPr>
                <w:sz w:val="22"/>
                <w:szCs w:val="22"/>
              </w:rPr>
            </w:pPr>
            <w:r>
              <w:rPr>
                <w:color w:val="000000"/>
                <w:spacing w:val="0"/>
                <w:w w:val="100"/>
                <w:position w:val="0"/>
                <w:sz w:val="22"/>
                <w:szCs w:val="22"/>
                <w:shd w:val="clear" w:color="auto" w:fill="auto"/>
                <w:lang w:val="en-US" w:eastAsia="en-US" w:bidi="en-US"/>
              </w:rPr>
              <w:t>3272,52</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4,64</w:t>
            </w:r>
          </w:p>
        </w:tc>
        <w:tc>
          <w:tcPr>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3032,09</w:t>
            </w:r>
          </w:p>
        </w:tc>
      </w:tr>
      <w:tr>
        <w:trPr>
          <w:trHeight w:val="283"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380"/>
              <w:jc w:val="both"/>
              <w:rPr>
                <w:sz w:val="22"/>
                <w:szCs w:val="22"/>
              </w:rPr>
            </w:pPr>
            <w:r>
              <w:rPr>
                <w:color w:val="000000"/>
                <w:spacing w:val="0"/>
                <w:w w:val="100"/>
                <w:position w:val="0"/>
                <w:sz w:val="22"/>
                <w:szCs w:val="22"/>
                <w:shd w:val="clear" w:color="auto" w:fill="auto"/>
                <w:lang w:val="en-US" w:eastAsia="en-US" w:bidi="en-US"/>
              </w:rPr>
              <w:t>2014</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10890</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460"/>
              <w:jc w:val="both"/>
              <w:rPr>
                <w:sz w:val="22"/>
                <w:szCs w:val="22"/>
              </w:rPr>
            </w:pPr>
            <w:r>
              <w:rPr>
                <w:color w:val="000000"/>
                <w:spacing w:val="0"/>
                <w:w w:val="100"/>
                <w:position w:val="0"/>
                <w:sz w:val="22"/>
                <w:szCs w:val="22"/>
                <w:shd w:val="clear" w:color="auto" w:fill="auto"/>
                <w:lang w:val="en-US" w:eastAsia="en-US" w:bidi="en-US"/>
              </w:rPr>
              <w:t>3521,97</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5,10</w:t>
            </w:r>
          </w:p>
        </w:tc>
        <w:tc>
          <w:tcPr>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3186,73</w:t>
            </w:r>
          </w:p>
        </w:tc>
      </w:tr>
      <w:tr>
        <w:trPr>
          <w:trHeight w:val="293"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380"/>
              <w:jc w:val="both"/>
              <w:rPr>
                <w:sz w:val="22"/>
                <w:szCs w:val="22"/>
              </w:rPr>
            </w:pPr>
            <w:r>
              <w:rPr>
                <w:color w:val="000000"/>
                <w:spacing w:val="0"/>
                <w:w w:val="100"/>
                <w:position w:val="0"/>
                <w:sz w:val="22"/>
                <w:szCs w:val="22"/>
                <w:shd w:val="clear" w:color="auto" w:fill="auto"/>
                <w:lang w:val="en-US" w:eastAsia="en-US" w:bidi="en-US"/>
              </w:rPr>
              <w:t>2015</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10141</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460"/>
              <w:jc w:val="both"/>
              <w:rPr>
                <w:sz w:val="22"/>
                <w:szCs w:val="22"/>
              </w:rPr>
            </w:pPr>
            <w:r>
              <w:rPr>
                <w:color w:val="000000"/>
                <w:spacing w:val="0"/>
                <w:w w:val="100"/>
                <w:position w:val="0"/>
                <w:sz w:val="22"/>
                <w:szCs w:val="22"/>
                <w:shd w:val="clear" w:color="auto" w:fill="auto"/>
                <w:lang w:val="en-US" w:eastAsia="en-US" w:bidi="en-US"/>
              </w:rPr>
              <w:t>3818,83</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9,67</w:t>
            </w:r>
          </w:p>
        </w:tc>
        <w:tc>
          <w:tcPr>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3494,78</w:t>
            </w:r>
          </w:p>
        </w:tc>
      </w:tr>
      <w:tr>
        <w:trPr>
          <w:trHeight w:val="283"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380"/>
              <w:jc w:val="both"/>
              <w:rPr>
                <w:sz w:val="22"/>
                <w:szCs w:val="22"/>
              </w:rPr>
            </w:pPr>
            <w:r>
              <w:rPr>
                <w:color w:val="000000"/>
                <w:spacing w:val="0"/>
                <w:w w:val="100"/>
                <w:position w:val="0"/>
                <w:sz w:val="22"/>
                <w:szCs w:val="22"/>
                <w:shd w:val="clear" w:color="auto" w:fill="auto"/>
                <w:lang w:val="en-US" w:eastAsia="en-US" w:bidi="en-US"/>
              </w:rPr>
              <w:t>2016</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9253</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460"/>
              <w:jc w:val="both"/>
              <w:rPr>
                <w:sz w:val="22"/>
                <w:szCs w:val="22"/>
              </w:rPr>
            </w:pPr>
            <w:r>
              <w:rPr>
                <w:color w:val="000000"/>
                <w:spacing w:val="0"/>
                <w:w w:val="100"/>
                <w:position w:val="0"/>
                <w:sz w:val="22"/>
                <w:szCs w:val="22"/>
                <w:shd w:val="clear" w:color="auto" w:fill="auto"/>
                <w:lang w:val="en-US" w:eastAsia="en-US" w:bidi="en-US"/>
              </w:rPr>
              <w:t>3836,00</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6,48</w:t>
            </w:r>
          </w:p>
        </w:tc>
        <w:tc>
          <w:tcPr>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3721,36</w:t>
            </w:r>
          </w:p>
        </w:tc>
      </w:tr>
      <w:tr>
        <w:trPr>
          <w:trHeight w:val="259"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380"/>
              <w:jc w:val="both"/>
              <w:rPr>
                <w:sz w:val="22"/>
                <w:szCs w:val="22"/>
              </w:rPr>
            </w:pPr>
            <w:r>
              <w:rPr>
                <w:color w:val="000000"/>
                <w:spacing w:val="0"/>
                <w:w w:val="100"/>
                <w:position w:val="0"/>
                <w:sz w:val="22"/>
                <w:szCs w:val="22"/>
                <w:shd w:val="clear" w:color="auto" w:fill="auto"/>
                <w:lang w:val="en-US" w:eastAsia="en-US" w:bidi="en-US"/>
              </w:rPr>
              <w:t>2017</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8392</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460"/>
              <w:jc w:val="both"/>
              <w:rPr>
                <w:sz w:val="22"/>
                <w:szCs w:val="22"/>
              </w:rPr>
            </w:pPr>
            <w:r>
              <w:rPr>
                <w:color w:val="000000"/>
                <w:spacing w:val="0"/>
                <w:w w:val="100"/>
                <w:position w:val="0"/>
                <w:sz w:val="22"/>
                <w:szCs w:val="22"/>
                <w:shd w:val="clear" w:color="auto" w:fill="auto"/>
                <w:lang w:val="en-US" w:eastAsia="en-US" w:bidi="en-US"/>
              </w:rPr>
              <w:t>4048,86</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6,57</w:t>
            </w:r>
          </w:p>
        </w:tc>
        <w:tc>
          <w:tcPr>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3965,73</w:t>
            </w:r>
          </w:p>
        </w:tc>
      </w:tr>
      <w:tr>
        <w:trPr>
          <w:trHeight w:val="264"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380"/>
              <w:jc w:val="both"/>
              <w:rPr>
                <w:sz w:val="22"/>
                <w:szCs w:val="22"/>
              </w:rPr>
            </w:pPr>
            <w:r>
              <w:rPr>
                <w:color w:val="000000"/>
                <w:spacing w:val="0"/>
                <w:w w:val="100"/>
                <w:position w:val="0"/>
                <w:sz w:val="22"/>
                <w:szCs w:val="22"/>
                <w:shd w:val="clear" w:color="auto" w:fill="auto"/>
                <w:lang w:val="en-US" w:eastAsia="en-US" w:bidi="en-US"/>
              </w:rPr>
              <w:t>2018</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7475</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460"/>
              <w:jc w:val="both"/>
              <w:rPr>
                <w:sz w:val="22"/>
                <w:szCs w:val="22"/>
              </w:rPr>
            </w:pPr>
            <w:r>
              <w:rPr>
                <w:color w:val="000000"/>
                <w:spacing w:val="0"/>
                <w:w w:val="100"/>
                <w:position w:val="0"/>
                <w:sz w:val="22"/>
                <w:szCs w:val="22"/>
                <w:shd w:val="clear" w:color="auto" w:fill="auto"/>
                <w:lang w:val="en-US" w:eastAsia="en-US" w:bidi="en-US"/>
              </w:rPr>
              <w:t>4238,96</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3,08</w:t>
            </w:r>
          </w:p>
        </w:tc>
        <w:tc>
          <w:tcPr>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4088,00</w:t>
            </w:r>
          </w:p>
        </w:tc>
      </w:tr>
      <w:tr>
        <w:trPr>
          <w:trHeight w:val="264"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380"/>
              <w:jc w:val="both"/>
              <w:rPr>
                <w:sz w:val="22"/>
                <w:szCs w:val="22"/>
              </w:rPr>
            </w:pPr>
            <w:r>
              <w:rPr>
                <w:color w:val="000000"/>
                <w:spacing w:val="0"/>
                <w:w w:val="100"/>
                <w:position w:val="0"/>
                <w:sz w:val="22"/>
                <w:szCs w:val="22"/>
                <w:shd w:val="clear" w:color="auto" w:fill="auto"/>
                <w:lang w:val="en-US" w:eastAsia="en-US" w:bidi="en-US"/>
              </w:rPr>
              <w:t>2019</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7098</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460"/>
              <w:jc w:val="both"/>
              <w:rPr>
                <w:sz w:val="22"/>
                <w:szCs w:val="22"/>
              </w:rPr>
            </w:pPr>
            <w:r>
              <w:rPr>
                <w:color w:val="000000"/>
                <w:spacing w:val="0"/>
                <w:w w:val="100"/>
                <w:position w:val="0"/>
                <w:sz w:val="22"/>
                <w:szCs w:val="22"/>
                <w:shd w:val="clear" w:color="auto" w:fill="auto"/>
                <w:lang w:val="en-US" w:eastAsia="en-US" w:bidi="en-US"/>
              </w:rPr>
              <w:t>4478,23</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4,85</w:t>
            </w:r>
          </w:p>
        </w:tc>
        <w:tc>
          <w:tcPr>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4286,27</w:t>
            </w:r>
          </w:p>
        </w:tc>
      </w:tr>
      <w:tr>
        <w:trPr>
          <w:trHeight w:val="274" w:hRule="exact"/>
        </w:trPr>
        <w:tc>
          <w:tcPr>
            <w:tcBorders>
              <w:top w:val="single" w:sz="4"/>
              <w:left w:val="single" w:sz="4"/>
              <w:bottom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380"/>
              <w:jc w:val="both"/>
              <w:rPr>
                <w:sz w:val="22"/>
                <w:szCs w:val="22"/>
              </w:rPr>
            </w:pPr>
            <w:r>
              <w:rPr>
                <w:color w:val="000000"/>
                <w:spacing w:val="0"/>
                <w:w w:val="100"/>
                <w:position w:val="0"/>
                <w:sz w:val="22"/>
                <w:szCs w:val="22"/>
                <w:shd w:val="clear" w:color="auto" w:fill="auto"/>
                <w:lang w:val="en-US" w:eastAsia="en-US" w:bidi="en-US"/>
              </w:rPr>
              <w:t>2020</w:t>
            </w:r>
          </w:p>
        </w:tc>
        <w:tc>
          <w:tcPr>
            <w:tcBorders>
              <w:top w:val="single" w:sz="4"/>
              <w:left w:val="single" w:sz="4"/>
              <w:bottom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6821</w:t>
            </w:r>
          </w:p>
        </w:tc>
        <w:tc>
          <w:tcPr>
            <w:tcBorders>
              <w:top w:val="single" w:sz="4"/>
              <w:left w:val="single" w:sz="4"/>
              <w:bottom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460"/>
              <w:jc w:val="both"/>
              <w:rPr>
                <w:sz w:val="22"/>
                <w:szCs w:val="22"/>
              </w:rPr>
            </w:pPr>
            <w:r>
              <w:rPr>
                <w:color w:val="000000"/>
                <w:spacing w:val="0"/>
                <w:w w:val="100"/>
                <w:position w:val="0"/>
                <w:sz w:val="22"/>
                <w:szCs w:val="22"/>
                <w:shd w:val="clear" w:color="auto" w:fill="auto"/>
                <w:lang w:val="en-US" w:eastAsia="en-US" w:bidi="en-US"/>
              </w:rPr>
              <w:t>4355,92</w:t>
            </w:r>
          </w:p>
        </w:tc>
        <w:tc>
          <w:tcPr>
            <w:tcBorders>
              <w:top w:val="single" w:sz="4"/>
              <w:left w:val="single" w:sz="4"/>
              <w:bottom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3,82</w:t>
            </w:r>
          </w:p>
        </w:tc>
        <w:tc>
          <w:tcPr>
            <w:tcBorders>
              <w:top w:val="single" w:sz="4"/>
              <w:left w:val="single" w:sz="4"/>
              <w:bottom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en-US" w:eastAsia="en-US" w:bidi="en-US"/>
              </w:rPr>
              <w:t>4449,86</w:t>
            </w:r>
          </w:p>
        </w:tc>
      </w:tr>
    </w:tbl>
    <w:p>
      <w:pPr>
        <w:pStyle w:val="Style15"/>
        <w:keepNext/>
        <w:keepLines/>
        <w:widowControl w:val="0"/>
        <w:numPr>
          <w:ilvl w:val="0"/>
          <w:numId w:val="5"/>
        </w:numPr>
        <w:shd w:val="clear" w:color="auto" w:fill="auto"/>
        <w:tabs>
          <w:tab w:pos="1124" w:val="left"/>
        </w:tabs>
        <w:bidi w:val="0"/>
        <w:spacing w:before="0" w:after="0" w:line="240" w:lineRule="auto"/>
        <w:ind w:left="0" w:right="0"/>
        <w:jc w:val="left"/>
      </w:pPr>
      <w:bookmarkStart w:id="28" w:name="bookmark28"/>
      <w:bookmarkStart w:id="29" w:name="bookmark29"/>
      <w:r>
        <w:rPr>
          <w:color w:val="000000"/>
          <w:spacing w:val="0"/>
          <w:w w:val="100"/>
          <w:position w:val="0"/>
          <w:shd w:val="clear" w:color="auto" w:fill="auto"/>
          <w:lang w:val="en-US" w:eastAsia="en-US" w:bidi="en-US"/>
        </w:rPr>
        <w:t xml:space="preserve">DEFICIENTE/tNCALCARI STABILITE DE AUTORITATI CONFORM INFORMATIILOR </w:t>
      </w:r>
      <w:r>
        <w:rPr>
          <w:smallCaps/>
          <w:color w:val="000000"/>
          <w:spacing w:val="0"/>
          <w:w w:val="100"/>
          <w:position w:val="0"/>
          <w:shd w:val="clear" w:color="auto" w:fill="auto"/>
          <w:lang w:val="en-US" w:eastAsia="en-US" w:bidi="en-US"/>
        </w:rPr>
        <w:t>ReCEPTIONATE</w:t>
      </w:r>
      <w:r>
        <w:rPr>
          <w:color w:val="000000"/>
          <w:spacing w:val="0"/>
          <w:w w:val="100"/>
          <w:position w:val="0"/>
          <w:shd w:val="clear" w:color="auto" w:fill="auto"/>
          <w:lang w:val="en-US" w:eastAsia="en-US" w:bidi="en-US"/>
        </w:rPr>
        <w:t xml:space="preserve"> DE COMISIA DE ANCHETA</w:t>
      </w:r>
      <w:bookmarkEnd w:id="28"/>
      <w:bookmarkEnd w:id="29"/>
    </w:p>
    <w:p>
      <w:pPr>
        <w:pStyle w:val="Style17"/>
        <w:keepNext w:val="0"/>
        <w:keepLines w:val="0"/>
        <w:widowControl w:val="0"/>
        <w:shd w:val="clear" w:color="auto" w:fill="auto"/>
        <w:bidi w:val="0"/>
        <w:spacing w:before="0" w:after="0" w:line="240" w:lineRule="auto"/>
        <w:ind w:left="0" w:right="0" w:firstLine="660"/>
        <w:jc w:val="left"/>
      </w:pPr>
      <w:r>
        <w:rPr>
          <w:color w:val="000000"/>
          <w:spacing w:val="0"/>
          <w:w w:val="100"/>
          <w:position w:val="0"/>
          <w:shd w:val="clear" w:color="auto" w:fill="auto"/>
          <w:lang w:val="en-US" w:eastAsia="en-US" w:bidi="en-US"/>
        </w:rPr>
        <w:t>In rezultatul examinarii materialelor prezentate de autoritatile publice au fost stabilite un sir de deficiente majore in activitatea intreprinderii din perioada 2010-2020:</w:t>
      </w:r>
    </w:p>
    <w:p>
      <w:pPr>
        <w:pStyle w:val="Style17"/>
        <w:keepNext w:val="0"/>
        <w:keepLines w:val="0"/>
        <w:widowControl w:val="0"/>
        <w:numPr>
          <w:ilvl w:val="0"/>
          <w:numId w:val="17"/>
        </w:numPr>
        <w:shd w:val="clear" w:color="auto" w:fill="auto"/>
        <w:tabs>
          <w:tab w:pos="1045" w:val="left"/>
        </w:tabs>
        <w:bidi w:val="0"/>
        <w:spacing w:before="0" w:after="0" w:line="240" w:lineRule="auto"/>
        <w:ind w:left="0" w:right="0" w:firstLine="660"/>
        <w:jc w:val="left"/>
      </w:pPr>
      <w:r>
        <w:rPr>
          <w:color w:val="000000"/>
          <w:spacing w:val="0"/>
          <w:w w:val="100"/>
          <w:position w:val="0"/>
          <w:shd w:val="clear" w:color="auto" w:fill="auto"/>
          <w:lang w:val="en-US" w:eastAsia="en-US" w:bidi="en-US"/>
        </w:rPr>
        <w:t>Administrarea deficienta;</w:t>
      </w:r>
    </w:p>
    <w:p>
      <w:pPr>
        <w:pStyle w:val="Style17"/>
        <w:keepNext w:val="0"/>
        <w:keepLines w:val="0"/>
        <w:widowControl w:val="0"/>
        <w:numPr>
          <w:ilvl w:val="0"/>
          <w:numId w:val="17"/>
        </w:numPr>
        <w:shd w:val="clear" w:color="auto" w:fill="auto"/>
        <w:tabs>
          <w:tab w:pos="1054" w:val="left"/>
        </w:tabs>
        <w:bidi w:val="0"/>
        <w:spacing w:before="0" w:after="0" w:line="240" w:lineRule="auto"/>
        <w:ind w:left="0" w:right="0" w:firstLine="660"/>
        <w:jc w:val="left"/>
      </w:pPr>
      <w:r>
        <w:rPr>
          <w:color w:val="000000"/>
          <w:spacing w:val="0"/>
          <w:w w:val="100"/>
          <w:position w:val="0"/>
          <w:shd w:val="clear" w:color="auto" w:fill="auto"/>
          <w:lang w:val="en-US" w:eastAsia="en-US" w:bidi="en-US"/>
        </w:rPr>
        <w:t>Contracte dubioase;</w:t>
      </w:r>
    </w:p>
    <w:p>
      <w:pPr>
        <w:pStyle w:val="Style17"/>
        <w:keepNext w:val="0"/>
        <w:keepLines w:val="0"/>
        <w:widowControl w:val="0"/>
        <w:numPr>
          <w:ilvl w:val="0"/>
          <w:numId w:val="17"/>
        </w:numPr>
        <w:shd w:val="clear" w:color="auto" w:fill="auto"/>
        <w:tabs>
          <w:tab w:pos="1054" w:val="left"/>
        </w:tabs>
        <w:bidi w:val="0"/>
        <w:spacing w:before="0" w:after="0" w:line="240" w:lineRule="auto"/>
        <w:ind w:left="0" w:right="0" w:firstLine="660"/>
        <w:jc w:val="left"/>
      </w:pPr>
      <w:r>
        <w:rPr>
          <w:color w:val="000000"/>
          <w:spacing w:val="0"/>
          <w:w w:val="100"/>
          <w:position w:val="0"/>
          <w:shd w:val="clear" w:color="auto" w:fill="auto"/>
          <w:lang w:val="en-US" w:eastAsia="en-US" w:bidi="en-US"/>
        </w:rPr>
        <w:t>Achizitii dubioase;</w:t>
      </w:r>
    </w:p>
    <w:p>
      <w:pPr>
        <w:pStyle w:val="Style17"/>
        <w:keepNext w:val="0"/>
        <w:keepLines w:val="0"/>
        <w:widowControl w:val="0"/>
        <w:numPr>
          <w:ilvl w:val="0"/>
          <w:numId w:val="17"/>
        </w:numPr>
        <w:shd w:val="clear" w:color="auto" w:fill="auto"/>
        <w:tabs>
          <w:tab w:pos="1059" w:val="left"/>
        </w:tabs>
        <w:bidi w:val="0"/>
        <w:spacing w:before="0" w:after="0" w:line="240" w:lineRule="auto"/>
        <w:ind w:left="0" w:right="0" w:firstLine="660"/>
        <w:jc w:val="left"/>
      </w:pPr>
      <w:r>
        <w:rPr>
          <w:color w:val="000000"/>
          <w:spacing w:val="0"/>
          <w:w w:val="100"/>
          <w:position w:val="0"/>
          <w:shd w:val="clear" w:color="auto" w:fill="auto"/>
          <w:lang w:val="en-US" w:eastAsia="en-US" w:bidi="en-US"/>
        </w:rPr>
        <w:t>Scheme/activitati ilicite;</w:t>
      </w:r>
    </w:p>
    <w:p>
      <w:pPr>
        <w:pStyle w:val="Style17"/>
        <w:keepNext w:val="0"/>
        <w:keepLines w:val="0"/>
        <w:widowControl w:val="0"/>
        <w:numPr>
          <w:ilvl w:val="0"/>
          <w:numId w:val="17"/>
        </w:numPr>
        <w:shd w:val="clear" w:color="auto" w:fill="auto"/>
        <w:tabs>
          <w:tab w:pos="1059" w:val="left"/>
        </w:tabs>
        <w:bidi w:val="0"/>
        <w:spacing w:before="0" w:after="0" w:line="240" w:lineRule="auto"/>
        <w:ind w:left="0" w:right="0" w:firstLine="660"/>
        <w:jc w:val="left"/>
      </w:pPr>
      <w:r>
        <w:rPr>
          <w:color w:val="000000"/>
          <w:spacing w:val="0"/>
          <w:w w:val="100"/>
          <w:position w:val="0"/>
          <w:shd w:val="clear" w:color="auto" w:fill="auto"/>
          <w:lang w:val="en-US" w:eastAsia="en-US" w:bidi="en-US"/>
        </w:rPr>
        <w:t>Existenta unui atac de tip raider asupra intreprinderii.</w:t>
      </w:r>
    </w:p>
    <w:p>
      <w:pPr>
        <w:pStyle w:val="Style17"/>
        <w:keepNext w:val="0"/>
        <w:keepLines w:val="0"/>
        <w:widowControl w:val="0"/>
        <w:shd w:val="clear" w:color="auto" w:fill="auto"/>
        <w:bidi w:val="0"/>
        <w:spacing w:before="0" w:after="0" w:line="240" w:lineRule="auto"/>
        <w:ind w:left="0" w:right="0" w:firstLine="660"/>
        <w:jc w:val="left"/>
      </w:pPr>
      <w:r>
        <w:rPr>
          <w:color w:val="000000"/>
          <w:spacing w:val="0"/>
          <w:w w:val="100"/>
          <w:position w:val="0"/>
          <w:shd w:val="clear" w:color="auto" w:fill="auto"/>
          <w:lang w:val="en-US" w:eastAsia="en-US" w:bidi="en-US"/>
        </w:rPr>
        <w:t>In cele ce urmeaza sunt prezentate detalii privind deficientele identificate de comisie:</w:t>
      </w:r>
    </w:p>
    <w:p>
      <w:pPr>
        <w:pStyle w:val="Style17"/>
        <w:keepNext w:val="0"/>
        <w:keepLines w:val="0"/>
        <w:widowControl w:val="0"/>
        <w:numPr>
          <w:ilvl w:val="0"/>
          <w:numId w:val="19"/>
        </w:numPr>
        <w:shd w:val="clear" w:color="auto" w:fill="auto"/>
        <w:tabs>
          <w:tab w:pos="1054" w:val="left"/>
        </w:tabs>
        <w:bidi w:val="0"/>
        <w:spacing w:before="0" w:after="0" w:line="240" w:lineRule="auto"/>
        <w:ind w:left="0" w:right="0" w:firstLine="660"/>
        <w:jc w:val="left"/>
      </w:pPr>
      <w:r>
        <w:rPr>
          <w:b/>
          <w:bCs/>
          <w:color w:val="000000"/>
          <w:spacing w:val="0"/>
          <w:w w:val="100"/>
          <w:position w:val="0"/>
          <w:shd w:val="clear" w:color="auto" w:fill="auto"/>
          <w:lang w:val="en-US" w:eastAsia="en-US" w:bidi="en-US"/>
        </w:rPr>
        <w:t>Administrarea deficienta a intreprinderii</w:t>
      </w:r>
    </w:p>
    <w:p>
      <w:pPr>
        <w:pStyle w:val="Style17"/>
        <w:keepNext w:val="0"/>
        <w:keepLines w:val="0"/>
        <w:widowControl w:val="0"/>
        <w:numPr>
          <w:ilvl w:val="0"/>
          <w:numId w:val="21"/>
        </w:numPr>
        <w:shd w:val="clear" w:color="auto" w:fill="auto"/>
        <w:tabs>
          <w:tab w:pos="997" w:val="left"/>
        </w:tabs>
        <w:bidi w:val="0"/>
        <w:spacing w:before="0" w:after="0" w:line="240" w:lineRule="auto"/>
        <w:ind w:left="0" w:right="0" w:firstLine="660"/>
        <w:jc w:val="left"/>
      </w:pPr>
      <w:r>
        <w:rPr>
          <w:b/>
          <w:bCs/>
          <w:color w:val="000000"/>
          <w:spacing w:val="0"/>
          <w:w w:val="100"/>
          <w:position w:val="0"/>
          <w:shd w:val="clear" w:color="auto" w:fill="auto"/>
          <w:lang w:val="en-US" w:eastAsia="en-US" w:bidi="en-US"/>
        </w:rPr>
        <w:t>Administrarea deficienta a fondurilor din contractele de credit incheiate cu BERD (52,5 mil. EURO) si BEI (50 mil. EURO) si trei acorduri de grant cu UE (6,75 mil. EURO).</w:t>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In scopul imbunatatirii sistemului feroviar, prin renovarea parcului de material rulant de tractiune si reabilitarea infrastructurii de cale ferata concomitent cu un complex de masuri privind reformarea I.S. „CFM”, in anul 2014 a fost lansat proiectul „Restructurarea Cailor Ferate Moldovenesti” cu un buget total de 109,25 mil. EURO, finantat prin doua contracte de credit incheiate cu BERD (52,5 mil. EURO) si BEI (50 mil. EURO) si trei acorduri de grant cu UE (6,75 mil. EURO).</w:t>
      </w:r>
      <w:r>
        <w:rPr>
          <w:color w:val="000000"/>
          <w:spacing w:val="0"/>
          <w:w w:val="100"/>
          <w:position w:val="0"/>
          <w:shd w:val="clear" w:color="auto" w:fill="auto"/>
          <w:vertAlign w:val="superscript"/>
          <w:lang w:val="en-US" w:eastAsia="en-US" w:bidi="en-US"/>
        </w:rPr>
        <w:footnoteReference w:id="10"/>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Proiectul este alcatuit din doua componente: (i) achizitionarea locomotivelor diesel de linie principala adecvate atat pentru transportul de pasageri, cat si pentru cel de marfuri, precum si echipamentele de intretinere aferente, si (ii) reabilitarea infrastructurii feroviare. Domeniul detaliat de aplicare a componentei doi urmeaza sa fie definit intr-un studiu de fezabilitate. Lucrarile de reabilitare urmeaza sa fie concentrate asupra principalelor coridoare feroviare ale tarii: Bender - Chisinau - Ungheni - Balti - Ocnita si Bender. Probele colectate de auditul Curtii de Conturi din anul 2020 denota ca implementarea proiectului este in intarziere semnificativa, iar indicatorii ce descriu principalele riscuri de realizare a obiectivelor peste termenele stabilite sunt deja vizibili si recunoscuti de factorii decizionali din cadrul I.S. „CFM”. Din cauza trecerilor frecvente peste termenele stabilite initial pentru Implementarea componentelor /programului de achizitii/ rezultatelor intermediare ale proiectului, perioada de gratie de trei ani la contractul de credit (incheiat cu BERD) a fost depasita, iar I.S. „CFM” a intrat in etapa de rambursare a transelor la imprumut fara a incasa beneficii din investitiile efectuate pentru procurarea locomotivelor, precum si din urma proiectarii si reabilitarii infrastructurii feroviare (reabilitarea liniilor ferate). Se releva ca I.S. „CFM” a intrat in faza de rambursare a creditului in luna februarie 2018, pe cand investitiile pentru procurarea locomotivelor erau inca in derulare si constituiau la situatia din 31.12.2019 suma de 9,433 mil. EURO, iar cele pentru reabilitarea infrastructurii feroviare nu erau initiate deloc. La situatia din 31.12.2019, suma transelor rambursate de</w:t>
      </w:r>
    </w:p>
    <w:p>
      <w:pPr>
        <w:pStyle w:val="Style17"/>
        <w:keepNext w:val="0"/>
        <w:keepLines w:val="0"/>
        <w:widowControl w:val="0"/>
        <w:shd w:val="clear" w:color="auto" w:fill="auto"/>
        <w:tabs>
          <w:tab w:pos="505" w:val="left"/>
        </w:tabs>
        <w:bidi w:val="0"/>
        <w:spacing w:before="0" w:after="0" w:line="240" w:lineRule="auto"/>
        <w:ind w:left="0" w:right="0" w:firstLine="0"/>
        <w:jc w:val="both"/>
      </w:pPr>
      <w:r>
        <w:rPr>
          <w:color w:val="000000"/>
          <w:spacing w:val="0"/>
          <w:w w:val="100"/>
          <w:position w:val="0"/>
          <w:shd w:val="clear" w:color="auto" w:fill="auto"/>
          <w:lang w:val="en-US" w:eastAsia="en-US" w:bidi="en-US"/>
        </w:rPr>
        <w:t>I.S.</w:t>
        <w:tab/>
        <w:t>„CFM” si a dobanzilor aferente creditelor contractate pentru implementarea proiectului mentionat a constituit 41,733 mil. lei, sau cca 1,719 mil. EURO, ceea ce reprezinta 18,2% din investitiile efectuate.</w:t>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 xml:space="preserve">Totodata, se atesta ca unele livrabile / conditionalitati de reformare a I.S. „CFM”, impuse de finantatori si indeplinite in intregime de intreprindere, in perioada 2015 - 2017, </w:t>
      </w:r>
      <w:r>
        <w:rPr>
          <w:color w:val="000000"/>
          <w:spacing w:val="0"/>
          <w:w w:val="100"/>
          <w:position w:val="0"/>
          <w:shd w:val="clear" w:color="auto" w:fill="auto"/>
          <w:lang w:val="en-US" w:eastAsia="en-US" w:bidi="en-US"/>
        </w:rPr>
        <w:t xml:space="preserve">nu au fost sustenabile in timp, afectand in acest fel randamentul investitiilor efectuate in valoare totala de </w:t>
      </w:r>
      <w:r>
        <w:rPr>
          <w:color w:val="000000"/>
          <w:spacing w:val="0"/>
          <w:w w:val="100"/>
          <w:position w:val="0"/>
          <w:shd w:val="clear" w:color="auto" w:fill="auto"/>
          <w:lang w:val="ru-RU" w:eastAsia="ru-RU" w:bidi="ru-RU"/>
        </w:rPr>
        <w:t xml:space="preserve">292,0 </w:t>
      </w:r>
      <w:r>
        <w:rPr>
          <w:color w:val="000000"/>
          <w:spacing w:val="0"/>
          <w:w w:val="100"/>
          <w:position w:val="0"/>
          <w:shd w:val="clear" w:color="auto" w:fill="auto"/>
          <w:lang w:val="en-US" w:eastAsia="en-US" w:bidi="en-US"/>
        </w:rPr>
        <w:t>mii EURO.</w:t>
      </w:r>
      <w:r>
        <w:rPr>
          <w:color w:val="000000"/>
          <w:spacing w:val="0"/>
          <w:w w:val="100"/>
          <w:position w:val="0"/>
          <w:shd w:val="clear" w:color="auto" w:fill="auto"/>
          <w:vertAlign w:val="superscript"/>
          <w:lang w:val="en-US" w:eastAsia="en-US" w:bidi="en-US"/>
        </w:rPr>
        <w:footnoteReference w:id="11"/>
      </w:r>
    </w:p>
    <w:p>
      <w:pPr>
        <w:pStyle w:val="Style15"/>
        <w:keepNext/>
        <w:keepLines/>
        <w:widowControl w:val="0"/>
        <w:numPr>
          <w:ilvl w:val="0"/>
          <w:numId w:val="21"/>
        </w:numPr>
        <w:shd w:val="clear" w:color="auto" w:fill="auto"/>
        <w:tabs>
          <w:tab w:pos="987" w:val="left"/>
        </w:tabs>
        <w:bidi w:val="0"/>
        <w:spacing w:before="0" w:after="0" w:line="240" w:lineRule="auto"/>
        <w:ind w:left="0" w:right="0"/>
        <w:jc w:val="both"/>
      </w:pPr>
      <w:bookmarkStart w:id="30" w:name="bookmark30"/>
      <w:bookmarkStart w:id="31" w:name="bookmark31"/>
      <w:r>
        <w:rPr>
          <w:color w:val="000000"/>
          <w:spacing w:val="0"/>
          <w:w w:val="100"/>
          <w:position w:val="0"/>
          <w:shd w:val="clear" w:color="auto" w:fill="auto"/>
          <w:lang w:val="en-US" w:eastAsia="en-US" w:bidi="en-US"/>
        </w:rPr>
        <w:t>Utilizare deficienta a combustibilului</w:t>
      </w:r>
      <w:bookmarkEnd w:id="30"/>
      <w:bookmarkEnd w:id="31"/>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In rezultatul auditului Curtii de Conturi din anul 2020 s-a stabilit ca in anii 2018 - 2019 s-a generat, conform datelor prezentate de I.S. „CFM”, un supraconsum de carburanti si lubrifianti de cca 403,2 tone (5,974 mil. lei) si, respectiv 250,6 tone (4,954 mil. lei), precum si un posibil prejudiciu din sustragerea motorinei de cca 2,297 mil. lei.</w:t>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Totodata, din cauza modificarii preturilor de procurare a combustibilului si lubrifiantilor, cresterii volumului tractiunii trenurilor suburbane de calatori si de manevrari marfare, precum si din cauza nerectificarilor corespunzatoare a devizului de venituri si cheltuieli, cheltuielile cu aceste resurse energetice au depasit in anul 2018 bugetul aprobat la linia respectiva cu 11,324 mil. lei, ceea ce impune redirectionarea mijloacelor financiare destinate pentru realizarea unor alte obiective strategice si operationale ale I.S. „CFM”.</w:t>
      </w:r>
      <w:r>
        <w:rPr>
          <w:color w:val="000000"/>
          <w:spacing w:val="0"/>
          <w:w w:val="100"/>
          <w:position w:val="0"/>
          <w:shd w:val="clear" w:color="auto" w:fill="auto"/>
          <w:vertAlign w:val="superscript"/>
          <w:lang w:val="en-US" w:eastAsia="en-US" w:bidi="en-US"/>
        </w:rPr>
        <w:footnoteReference w:id="12"/>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Conform actului Inspectiei Financiare din 08.11.2019, in scopul eficientizarii consumului de combustibil pentru tractiunea transportului feroviar, in perioada 2011-2013,</w:t>
      </w:r>
    </w:p>
    <w:p>
      <w:pPr>
        <w:pStyle w:val="Style17"/>
        <w:keepNext w:val="0"/>
        <w:keepLines w:val="0"/>
        <w:widowControl w:val="0"/>
        <w:shd w:val="clear" w:color="auto" w:fill="auto"/>
        <w:tabs>
          <w:tab w:pos="533" w:val="left"/>
        </w:tabs>
        <w:bidi w:val="0"/>
        <w:spacing w:before="0" w:after="0" w:line="240" w:lineRule="auto"/>
        <w:ind w:left="0" w:right="0" w:firstLine="0"/>
        <w:jc w:val="both"/>
      </w:pPr>
      <w:r>
        <w:rPr>
          <w:color w:val="000000"/>
          <w:spacing w:val="0"/>
          <w:w w:val="100"/>
          <w:position w:val="0"/>
          <w:shd w:val="clear" w:color="auto" w:fill="auto"/>
          <w:lang w:val="en-US" w:eastAsia="en-US" w:bidi="en-US"/>
        </w:rPr>
        <w:t>I.S.</w:t>
        <w:tab/>
        <w:t xml:space="preserve">„CFM” a procurat un sistem automatizat de control si verificare (44 unitati) cu denumirea „DELTA-SU” in valoare de 5,126 mil. lei, care permit monitorizarea automata a consumului de carburanti in miscare a locomotivelor. Sistemul de control nu functioneaza, serverul care tine evidenta consumului se afla la moment in cabinetul de lucru in dulap, iar din 44 de sisteme de control 7 se afla la Depoul de locomotive Bender, celelalte sisteme sunt instalate la locomotive, fiind defectate. Astfel, Inspectia financiara a stabilit ca in rezultatul managementului defectuos, monitorizarea automatizata a consumului de combustibil cu ajutorul sistemului automatizat de control si verificare in care I.S. „CFM” a investit </w:t>
      </w:r>
      <w:r>
        <w:rPr>
          <w:i/>
          <w:iCs/>
          <w:color w:val="000000"/>
          <w:spacing w:val="0"/>
          <w:w w:val="100"/>
          <w:position w:val="0"/>
          <w:shd w:val="clear" w:color="auto" w:fill="auto"/>
          <w:lang w:val="en-US" w:eastAsia="en-US" w:bidi="en-US"/>
        </w:rPr>
        <w:t>suma de 5,126 mil. lei</w:t>
      </w:r>
      <w:r>
        <w:rPr>
          <w:color w:val="000000"/>
          <w:spacing w:val="0"/>
          <w:w w:val="100"/>
          <w:position w:val="0"/>
          <w:shd w:val="clear" w:color="auto" w:fill="auto"/>
          <w:lang w:val="en-US" w:eastAsia="en-US" w:bidi="en-US"/>
        </w:rPr>
        <w:t>, in perioada 2016-2019 (6 luni) n-a fost efectuata.</w:t>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 xml:space="preserve">In cadrul aceleasi inspectari, fiind contrapuse normele de consum a motorinei cu foile de traseu sa constatat ca, unii mecanici de locomotive depasesc aceste norme. Astfel, in perioada 2016-2018, in lipsa temeiului legal au fost trecute </w:t>
      </w:r>
      <w:r>
        <w:rPr>
          <w:b/>
          <w:bCs/>
          <w:color w:val="000000"/>
          <w:spacing w:val="0"/>
          <w:w w:val="100"/>
          <w:position w:val="0"/>
          <w:shd w:val="clear" w:color="auto" w:fill="auto"/>
          <w:lang w:val="en-US" w:eastAsia="en-US" w:bidi="en-US"/>
        </w:rPr>
        <w:t xml:space="preserve">la cheltuieli motorina supra norma in cantitate de 330889 kg in suma de 4,556 mil. lei, </w:t>
      </w:r>
      <w:r>
        <w:rPr>
          <w:color w:val="000000"/>
          <w:spacing w:val="0"/>
          <w:w w:val="100"/>
          <w:position w:val="0"/>
          <w:shd w:val="clear" w:color="auto" w:fill="auto"/>
          <w:lang w:val="en-US" w:eastAsia="en-US" w:bidi="en-US"/>
        </w:rPr>
        <w:t xml:space="preserve">inclusiv in anul 2016 - 47374 kg in suma de 577,9 mii lei, in anul 2017- 99323 kg in suma de 1,271 mil. lei si in anul 2018 - 184192 kg in suma de 2,707 mil. lei. Suplimentar Inspectia Financiara mentioneaza ca in perioada 2017-2019 (6 luni), </w:t>
      </w:r>
      <w:r>
        <w:rPr>
          <w:i/>
          <w:iCs/>
          <w:color w:val="000000"/>
          <w:spacing w:val="0"/>
          <w:w w:val="100"/>
          <w:position w:val="0"/>
          <w:shd w:val="clear" w:color="auto" w:fill="auto"/>
          <w:lang w:val="en-US" w:eastAsia="en-US" w:bidi="en-US"/>
        </w:rPr>
        <w:t xml:space="preserve">in rezultatul trecerii neintemeiata la cheltuieli a uleiului supra norma m cantitate de 555652 kg in valoare de 13,475 mil. lei I.S. </w:t>
      </w:r>
      <w:r>
        <w:rPr>
          <w:i/>
          <w:iCs/>
          <w:color w:val="000000"/>
          <w:spacing w:val="0"/>
          <w:w w:val="100"/>
          <w:position w:val="0"/>
          <w:shd w:val="clear" w:color="auto" w:fill="auto"/>
          <w:lang w:val="ru-RU" w:eastAsia="ru-RU" w:bidi="ru-RU"/>
        </w:rPr>
        <w:t xml:space="preserve">„ </w:t>
      </w:r>
      <w:r>
        <w:rPr>
          <w:i/>
          <w:iCs/>
          <w:color w:val="000000"/>
          <w:spacing w:val="0"/>
          <w:w w:val="100"/>
          <w:position w:val="0"/>
          <w:shd w:val="clear" w:color="auto" w:fill="auto"/>
          <w:lang w:val="en-US" w:eastAsia="en-US" w:bidi="en-US"/>
        </w:rPr>
        <w:t>CFM” a fostprejudiciata cu suma respectiva</w:t>
      </w:r>
      <w:r>
        <w:rPr>
          <w:color w:val="000000"/>
          <w:spacing w:val="0"/>
          <w:w w:val="100"/>
          <w:position w:val="0"/>
          <w:shd w:val="clear" w:color="auto" w:fill="auto"/>
          <w:lang w:val="en-US" w:eastAsia="en-US" w:bidi="en-US"/>
        </w:rPr>
        <w:t>, inclusiv in anul 2017 - cantitatea de 141498 de kg in valoare de 3,339 mil. lei, in anul 2018 - 238002 kg in valoare de 5,450 mil. lei si in anul 2019 (9 luni) - 176152 kg in valoare de 4,685 mil. lei.</w:t>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De asemenea, documente interne ale I.S. „CFM”, prezentate de membrul comisiei deputatul Radu Marian denota faptul ca utilizarea frauduloasa a combustibilului a continuat si in anul 2020.</w:t>
      </w:r>
    </w:p>
    <w:p>
      <w:pPr>
        <w:pStyle w:val="Style15"/>
        <w:keepNext/>
        <w:keepLines/>
        <w:widowControl w:val="0"/>
        <w:numPr>
          <w:ilvl w:val="0"/>
          <w:numId w:val="21"/>
        </w:numPr>
        <w:shd w:val="clear" w:color="auto" w:fill="auto"/>
        <w:tabs>
          <w:tab w:pos="992" w:val="left"/>
        </w:tabs>
        <w:bidi w:val="0"/>
        <w:spacing w:before="0" w:after="0" w:line="240" w:lineRule="auto"/>
        <w:ind w:left="0" w:right="0"/>
        <w:jc w:val="both"/>
      </w:pPr>
      <w:bookmarkStart w:id="32" w:name="bookmark32"/>
      <w:bookmarkStart w:id="33" w:name="bookmark33"/>
      <w:r>
        <w:rPr>
          <w:color w:val="000000"/>
          <w:spacing w:val="0"/>
          <w:w w:val="100"/>
          <w:position w:val="0"/>
          <w:shd w:val="clear" w:color="auto" w:fill="auto"/>
          <w:lang w:val="en-US" w:eastAsia="en-US" w:bidi="en-US"/>
        </w:rPr>
        <w:t>Nedelimitarea si neinregistrarea deplina a drepturilor asupra bunurilor</w:t>
      </w:r>
      <w:bookmarkEnd w:id="32"/>
      <w:bookmarkEnd w:id="33"/>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 xml:space="preserve">Conform Hotararii Curtii de Conturi nr. 31 din 8 august 2011, nedelimitarea si neinregistrarea deplina a drepturilor asupra terenurilor si lipsa pasaportului filialei au determinat, pentru Statia Ungheni, instrainarea de catre autoritatile administratiei publice </w:t>
      </w:r>
      <w:r>
        <w:rPr>
          <w:color w:val="000000"/>
          <w:spacing w:val="0"/>
          <w:w w:val="100"/>
          <w:position w:val="0"/>
          <w:shd w:val="clear" w:color="auto" w:fill="auto"/>
          <w:lang w:val="en-US" w:eastAsia="en-US" w:bidi="en-US"/>
        </w:rPr>
        <w:t xml:space="preserve">locale ale or. Ungheni catre un agent economic a terenului cu suprafata de </w:t>
      </w:r>
      <w:r>
        <w:rPr>
          <w:color w:val="000000"/>
          <w:spacing w:val="0"/>
          <w:w w:val="100"/>
          <w:position w:val="0"/>
          <w:shd w:val="clear" w:color="auto" w:fill="auto"/>
          <w:lang w:val="ru-RU" w:eastAsia="ru-RU" w:bidi="ru-RU"/>
        </w:rPr>
        <w:t xml:space="preserve">70 </w:t>
      </w:r>
      <w:r>
        <w:rPr>
          <w:color w:val="000000"/>
          <w:spacing w:val="0"/>
          <w:w w:val="100"/>
          <w:position w:val="0"/>
          <w:shd w:val="clear" w:color="auto" w:fill="auto"/>
          <w:lang w:val="en-US" w:eastAsia="en-US" w:bidi="en-US"/>
        </w:rPr>
        <w:t>m</w:t>
      </w:r>
      <w:r>
        <w:rPr>
          <w:color w:val="000000"/>
          <w:spacing w:val="0"/>
          <w:w w:val="100"/>
          <w:position w:val="0"/>
          <w:shd w:val="clear" w:color="auto" w:fill="auto"/>
          <w:vertAlign w:val="superscript"/>
          <w:lang w:val="en-US" w:eastAsia="en-US" w:bidi="en-US"/>
        </w:rPr>
        <w:t>2</w:t>
      </w:r>
      <w:r>
        <w:rPr>
          <w:color w:val="000000"/>
          <w:spacing w:val="0"/>
          <w:w w:val="100"/>
          <w:position w:val="0"/>
          <w:shd w:val="clear" w:color="auto" w:fill="auto"/>
          <w:lang w:val="en-US" w:eastAsia="en-US" w:bidi="en-US"/>
        </w:rPr>
        <w:t xml:space="preserve"> din perimetrul Garii internationale Ungheni.</w:t>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 xml:space="preserve">Gestionarea patrimoniului statului de catre Statia Ungheni s-a efectuat cu unele abateri de la cerintele stabilite. Astfel, la organul cadastral teritorial n-a fost inregistrat dreptul asupra bunurilor aflate in gestiunea economica a Statiei Ungheni cu valoarea de </w:t>
      </w:r>
      <w:r>
        <w:rPr>
          <w:color w:val="000000"/>
          <w:spacing w:val="0"/>
          <w:w w:val="100"/>
          <w:position w:val="0"/>
          <w:shd w:val="clear" w:color="auto" w:fill="auto"/>
          <w:lang w:val="ru-RU" w:eastAsia="ru-RU" w:bidi="ru-RU"/>
        </w:rPr>
        <w:t xml:space="preserve">733,8 </w:t>
      </w:r>
      <w:r>
        <w:rPr>
          <w:color w:val="000000"/>
          <w:spacing w:val="0"/>
          <w:w w:val="100"/>
          <w:position w:val="0"/>
          <w:shd w:val="clear" w:color="auto" w:fill="auto"/>
          <w:lang w:val="en-US" w:eastAsia="en-US" w:bidi="en-US"/>
        </w:rPr>
        <w:t xml:space="preserve">mii lei (inclusiv asupra cladirii Garii interurbane de pasageri, cu suprafata de </w:t>
      </w:r>
      <w:r>
        <w:rPr>
          <w:color w:val="000000"/>
          <w:spacing w:val="0"/>
          <w:w w:val="100"/>
          <w:position w:val="0"/>
          <w:shd w:val="clear" w:color="auto" w:fill="auto"/>
          <w:lang w:val="ru-RU" w:eastAsia="ru-RU" w:bidi="ru-RU"/>
        </w:rPr>
        <w:t xml:space="preserve">606 </w:t>
      </w:r>
      <w:r>
        <w:rPr>
          <w:color w:val="000000"/>
          <w:spacing w:val="0"/>
          <w:w w:val="100"/>
          <w:position w:val="0"/>
          <w:shd w:val="clear" w:color="auto" w:fill="auto"/>
          <w:lang w:val="en-US" w:eastAsia="en-US" w:bidi="en-US"/>
        </w:rPr>
        <w:t>m</w:t>
      </w:r>
      <w:r>
        <w:rPr>
          <w:color w:val="000000"/>
          <w:spacing w:val="0"/>
          <w:w w:val="100"/>
          <w:position w:val="0"/>
          <w:shd w:val="clear" w:color="auto" w:fill="auto"/>
          <w:vertAlign w:val="superscript"/>
          <w:lang w:val="en-US" w:eastAsia="en-US" w:bidi="en-US"/>
        </w:rPr>
        <w:t>2</w:t>
      </w:r>
      <w:r>
        <w:rPr>
          <w:color w:val="000000"/>
          <w:spacing w:val="0"/>
          <w:w w:val="100"/>
          <w:position w:val="0"/>
          <w:shd w:val="clear" w:color="auto" w:fill="auto"/>
          <w:lang w:val="en-US" w:eastAsia="en-US" w:bidi="en-US"/>
        </w:rPr>
        <w:t xml:space="preserve">, in valoare de </w:t>
      </w:r>
      <w:r>
        <w:rPr>
          <w:color w:val="000000"/>
          <w:spacing w:val="0"/>
          <w:w w:val="100"/>
          <w:position w:val="0"/>
          <w:shd w:val="clear" w:color="auto" w:fill="auto"/>
          <w:lang w:val="ru-RU" w:eastAsia="ru-RU" w:bidi="ru-RU"/>
        </w:rPr>
        <w:t xml:space="preserve">723,4 </w:t>
      </w:r>
      <w:r>
        <w:rPr>
          <w:color w:val="000000"/>
          <w:spacing w:val="0"/>
          <w:w w:val="100"/>
          <w:position w:val="0"/>
          <w:shd w:val="clear" w:color="auto" w:fill="auto"/>
          <w:lang w:val="en-US" w:eastAsia="en-US" w:bidi="en-US"/>
        </w:rPr>
        <w:t xml:space="preserve">mii lei, si, respectiv, asupra Statiei de incarcare Ungheni, cu suprafata de </w:t>
      </w:r>
      <w:r>
        <w:rPr>
          <w:color w:val="000000"/>
          <w:spacing w:val="0"/>
          <w:w w:val="100"/>
          <w:position w:val="0"/>
          <w:shd w:val="clear" w:color="auto" w:fill="auto"/>
          <w:lang w:val="ru-RU" w:eastAsia="ru-RU" w:bidi="ru-RU"/>
        </w:rPr>
        <w:t xml:space="preserve">184 </w:t>
      </w:r>
      <w:r>
        <w:rPr>
          <w:color w:val="000000"/>
          <w:spacing w:val="0"/>
          <w:w w:val="100"/>
          <w:position w:val="0"/>
          <w:shd w:val="clear" w:color="auto" w:fill="auto"/>
          <w:lang w:val="en-US" w:eastAsia="en-US" w:bidi="en-US"/>
        </w:rPr>
        <w:t>m</w:t>
      </w:r>
      <w:r>
        <w:rPr>
          <w:color w:val="000000"/>
          <w:spacing w:val="0"/>
          <w:w w:val="100"/>
          <w:position w:val="0"/>
          <w:shd w:val="clear" w:color="auto" w:fill="auto"/>
          <w:vertAlign w:val="superscript"/>
          <w:lang w:val="en-US" w:eastAsia="en-US" w:bidi="en-US"/>
        </w:rPr>
        <w:t>2</w:t>
      </w:r>
      <w:r>
        <w:rPr>
          <w:color w:val="000000"/>
          <w:spacing w:val="0"/>
          <w:w w:val="100"/>
          <w:position w:val="0"/>
          <w:shd w:val="clear" w:color="auto" w:fill="auto"/>
          <w:lang w:val="en-US" w:eastAsia="en-US" w:bidi="en-US"/>
        </w:rPr>
        <w:t xml:space="preserve">, in. valoare de </w:t>
      </w:r>
      <w:r>
        <w:rPr>
          <w:color w:val="000000"/>
          <w:spacing w:val="0"/>
          <w:w w:val="100"/>
          <w:position w:val="0"/>
          <w:shd w:val="clear" w:color="auto" w:fill="auto"/>
          <w:lang w:val="ru-RU" w:eastAsia="ru-RU" w:bidi="ru-RU"/>
        </w:rPr>
        <w:t xml:space="preserve">10,4 </w:t>
      </w:r>
      <w:r>
        <w:rPr>
          <w:color w:val="000000"/>
          <w:spacing w:val="0"/>
          <w:w w:val="100"/>
          <w:position w:val="0"/>
          <w:shd w:val="clear" w:color="auto" w:fill="auto"/>
          <w:lang w:val="en-US" w:eastAsia="en-US" w:bidi="en-US"/>
        </w:rPr>
        <w:t>mii lei).</w:t>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 xml:space="preserve">Potrivit datelor din Registrul bunurilor imobile, dreptul de proprietate asupra terenului cu suprafata de </w:t>
      </w:r>
      <w:r>
        <w:rPr>
          <w:color w:val="000000"/>
          <w:spacing w:val="0"/>
          <w:w w:val="100"/>
          <w:position w:val="0"/>
          <w:shd w:val="clear" w:color="auto" w:fill="auto"/>
          <w:lang w:val="ru-RU" w:eastAsia="ru-RU" w:bidi="ru-RU"/>
        </w:rPr>
        <w:t xml:space="preserve">334,4 </w:t>
      </w:r>
      <w:r>
        <w:rPr>
          <w:color w:val="000000"/>
          <w:spacing w:val="0"/>
          <w:w w:val="100"/>
          <w:position w:val="0"/>
          <w:shd w:val="clear" w:color="auto" w:fill="auto"/>
          <w:lang w:val="en-US" w:eastAsia="en-US" w:bidi="en-US"/>
        </w:rPr>
        <w:t>m</w:t>
      </w:r>
      <w:r>
        <w:rPr>
          <w:color w:val="000000"/>
          <w:spacing w:val="0"/>
          <w:w w:val="100"/>
          <w:position w:val="0"/>
          <w:shd w:val="clear" w:color="auto" w:fill="auto"/>
          <w:vertAlign w:val="superscript"/>
          <w:lang w:val="en-US" w:eastAsia="en-US" w:bidi="en-US"/>
        </w:rPr>
        <w:t>2</w:t>
      </w:r>
      <w:r>
        <w:rPr>
          <w:color w:val="000000"/>
          <w:spacing w:val="0"/>
          <w:w w:val="100"/>
          <w:position w:val="0"/>
          <w:shd w:val="clear" w:color="auto" w:fill="auto"/>
          <w:lang w:val="en-US" w:eastAsia="en-US" w:bidi="en-US"/>
        </w:rPr>
        <w:t xml:space="preserve">, pe care este amplasata constructia comerciala a unui agent economic, apartine Statiei Ungheni, pentru folosinta caruia n-a fost incheiat contract si nu s-au calculat regulamentar platile pentru arenda. Totodata, in anul </w:t>
      </w:r>
      <w:r>
        <w:rPr>
          <w:color w:val="000000"/>
          <w:spacing w:val="0"/>
          <w:w w:val="100"/>
          <w:position w:val="0"/>
          <w:shd w:val="clear" w:color="auto" w:fill="auto"/>
          <w:lang w:val="ru-RU" w:eastAsia="ru-RU" w:bidi="ru-RU"/>
        </w:rPr>
        <w:t xml:space="preserve">2009, </w:t>
      </w:r>
      <w:r>
        <w:rPr>
          <w:color w:val="000000"/>
          <w:spacing w:val="0"/>
          <w:w w:val="100"/>
          <w:position w:val="0"/>
          <w:shd w:val="clear" w:color="auto" w:fill="auto"/>
          <w:lang w:val="en-US" w:eastAsia="en-US" w:bidi="en-US"/>
        </w:rPr>
        <w:t xml:space="preserve">acestui agent economic i-au fost transmise in locatiune spatii cu suprafata de </w:t>
      </w:r>
      <w:r>
        <w:rPr>
          <w:color w:val="000000"/>
          <w:spacing w:val="0"/>
          <w:w w:val="100"/>
          <w:position w:val="0"/>
          <w:shd w:val="clear" w:color="auto" w:fill="auto"/>
          <w:lang w:val="ru-RU" w:eastAsia="ru-RU" w:bidi="ru-RU"/>
        </w:rPr>
        <w:t xml:space="preserve">170 </w:t>
      </w:r>
      <w:r>
        <w:rPr>
          <w:color w:val="000000"/>
          <w:spacing w:val="0"/>
          <w:w w:val="100"/>
          <w:position w:val="0"/>
          <w:shd w:val="clear" w:color="auto" w:fill="auto"/>
          <w:lang w:val="en-US" w:eastAsia="en-US" w:bidi="en-US"/>
        </w:rPr>
        <w:t>m</w:t>
      </w:r>
      <w:r>
        <w:rPr>
          <w:color w:val="000000"/>
          <w:spacing w:val="0"/>
          <w:w w:val="100"/>
          <w:position w:val="0"/>
          <w:shd w:val="clear" w:color="auto" w:fill="auto"/>
          <w:vertAlign w:val="superscript"/>
          <w:lang w:val="en-US" w:eastAsia="en-US" w:bidi="en-US"/>
        </w:rPr>
        <w:t>2</w:t>
      </w:r>
      <w:r>
        <w:rPr>
          <w:color w:val="000000"/>
          <w:spacing w:val="0"/>
          <w:w w:val="100"/>
          <w:position w:val="0"/>
          <w:shd w:val="clear" w:color="auto" w:fill="auto"/>
          <w:lang w:val="en-US" w:eastAsia="en-US" w:bidi="en-US"/>
        </w:rPr>
        <w:t>, ca nefiind utilizate in procesul tehnologic de catre Statia Ungheni, in lipsa aprobarii in modul stabilit de catre autoritatea centrala de specialitate.</w:t>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In acest sens conform informatiei prezentate de Serviciul de Informatie si Securitate</w:t>
      </w:r>
      <w:r>
        <w:rPr>
          <w:color w:val="000000"/>
          <w:spacing w:val="0"/>
          <w:w w:val="100"/>
          <w:position w:val="0"/>
          <w:shd w:val="clear" w:color="auto" w:fill="auto"/>
          <w:vertAlign w:val="superscript"/>
          <w:lang w:val="en-US" w:eastAsia="en-US" w:bidi="en-US"/>
        </w:rPr>
        <w:footnoteReference w:id="13"/>
      </w:r>
      <w:r>
        <w:rPr>
          <w:color w:val="000000"/>
          <w:spacing w:val="0"/>
          <w:w w:val="100"/>
          <w:position w:val="0"/>
          <w:shd w:val="clear" w:color="auto" w:fill="auto"/>
          <w:vertAlign w:val="superscript"/>
          <w:lang w:val="en-US" w:eastAsia="en-US" w:bidi="en-US"/>
        </w:rPr>
        <w:t xml:space="preserve"> </w:t>
      </w:r>
      <w:r>
        <w:rPr>
          <w:color w:val="000000"/>
          <w:spacing w:val="0"/>
          <w:w w:val="100"/>
          <w:position w:val="0"/>
          <w:shd w:val="clear" w:color="auto" w:fill="auto"/>
          <w:lang w:val="en-US" w:eastAsia="en-US" w:bidi="en-US"/>
        </w:rPr>
        <w:t>au fost identificate urmatoarele cazuri de instrainare sau privatizare a terenurilor I.S. „CFM” la preturi diminuate:</w:t>
      </w:r>
    </w:p>
    <w:p>
      <w:pPr>
        <w:pStyle w:val="Style17"/>
        <w:keepNext w:val="0"/>
        <w:keepLines w:val="0"/>
        <w:widowControl w:val="0"/>
        <w:numPr>
          <w:ilvl w:val="0"/>
          <w:numId w:val="3"/>
        </w:numPr>
        <w:shd w:val="clear" w:color="auto" w:fill="auto"/>
        <w:tabs>
          <w:tab w:pos="867" w:val="left"/>
        </w:tabs>
        <w:bidi w:val="0"/>
        <w:spacing w:before="0" w:after="0" w:line="230" w:lineRule="auto"/>
        <w:ind w:left="0" w:right="0" w:firstLine="660"/>
        <w:jc w:val="both"/>
      </w:pPr>
      <w:r>
        <w:rPr>
          <w:color w:val="000000"/>
          <w:spacing w:val="0"/>
          <w:w w:val="100"/>
          <w:position w:val="0"/>
          <w:shd w:val="clear" w:color="auto" w:fill="auto"/>
          <w:lang w:val="en-US" w:eastAsia="en-US" w:bidi="en-US"/>
        </w:rPr>
        <w:t xml:space="preserve">achizitionarea de catre persoane fizice a terenului aferent cladirii auxiliare, care se afla la balanta sectorului de drum nr. </w:t>
      </w:r>
      <w:r>
        <w:rPr>
          <w:color w:val="000000"/>
          <w:spacing w:val="0"/>
          <w:w w:val="100"/>
          <w:position w:val="0"/>
          <w:shd w:val="clear" w:color="auto" w:fill="auto"/>
          <w:lang w:val="ru-RU" w:eastAsia="ru-RU" w:bidi="ru-RU"/>
        </w:rPr>
        <w:t xml:space="preserve">10 </w:t>
      </w:r>
      <w:r>
        <w:rPr>
          <w:color w:val="000000"/>
          <w:spacing w:val="0"/>
          <w:w w:val="100"/>
          <w:position w:val="0"/>
          <w:shd w:val="clear" w:color="auto" w:fill="auto"/>
          <w:lang w:val="en-US" w:eastAsia="en-US" w:bidi="en-US"/>
        </w:rPr>
        <w:t>a I.S. „CFM”;</w:t>
      </w:r>
    </w:p>
    <w:p>
      <w:pPr>
        <w:pStyle w:val="Style17"/>
        <w:keepNext w:val="0"/>
        <w:keepLines w:val="0"/>
        <w:widowControl w:val="0"/>
        <w:numPr>
          <w:ilvl w:val="0"/>
          <w:numId w:val="3"/>
        </w:numPr>
        <w:shd w:val="clear" w:color="auto" w:fill="auto"/>
        <w:tabs>
          <w:tab w:pos="867" w:val="left"/>
        </w:tabs>
        <w:bidi w:val="0"/>
        <w:spacing w:before="0" w:after="0" w:line="240" w:lineRule="auto"/>
        <w:ind w:left="0" w:right="0" w:firstLine="660"/>
        <w:jc w:val="both"/>
      </w:pPr>
      <w:r>
        <w:rPr>
          <w:color w:val="000000"/>
          <w:spacing w:val="0"/>
          <w:w w:val="100"/>
          <w:position w:val="0"/>
          <w:shd w:val="clear" w:color="auto" w:fill="auto"/>
          <w:lang w:val="en-US" w:eastAsia="en-US" w:bidi="en-US"/>
        </w:rPr>
        <w:t>preluarea unei parti de teren a parcului garii feroviare internationale Ungheni, precum si a cladirii fostului birou de transmitere din statia Ungheni, in favoarea Biroului Vamal Ungheni, cu incalcarea Regulamentului cu privire la modul de transmitere a intreprinderilor de stat, organizatiilor, institutiilor, subdiviziunilor, cladirilor, constructiilor si altor mijloace fixe;</w:t>
      </w:r>
    </w:p>
    <w:p>
      <w:pPr>
        <w:pStyle w:val="Style17"/>
        <w:keepNext w:val="0"/>
        <w:keepLines w:val="0"/>
        <w:widowControl w:val="0"/>
        <w:numPr>
          <w:ilvl w:val="0"/>
          <w:numId w:val="3"/>
        </w:numPr>
        <w:shd w:val="clear" w:color="auto" w:fill="auto"/>
        <w:tabs>
          <w:tab w:pos="867" w:val="left"/>
        </w:tabs>
        <w:bidi w:val="0"/>
        <w:spacing w:before="0" w:after="0" w:line="230" w:lineRule="auto"/>
        <w:ind w:left="0" w:right="0" w:firstLine="660"/>
        <w:jc w:val="both"/>
      </w:pPr>
      <w:r>
        <w:rPr>
          <w:color w:val="000000"/>
          <w:spacing w:val="0"/>
          <w:w w:val="100"/>
          <w:position w:val="0"/>
          <w:shd w:val="clear" w:color="auto" w:fill="auto"/>
          <w:lang w:val="en-US" w:eastAsia="en-US" w:bidi="en-US"/>
        </w:rPr>
        <w:t>cumpararea de catre intreprinderea privata SA „Bimer” a unei parti din peronul de calatori a garii internationale Ungheni a I.S. „CFM”;</w:t>
      </w:r>
    </w:p>
    <w:p>
      <w:pPr>
        <w:pStyle w:val="Style17"/>
        <w:keepNext w:val="0"/>
        <w:keepLines w:val="0"/>
        <w:widowControl w:val="0"/>
        <w:numPr>
          <w:ilvl w:val="0"/>
          <w:numId w:val="3"/>
        </w:numPr>
        <w:shd w:val="clear" w:color="auto" w:fill="auto"/>
        <w:tabs>
          <w:tab w:pos="870" w:val="left"/>
        </w:tabs>
        <w:bidi w:val="0"/>
        <w:spacing w:before="0" w:after="0" w:line="240" w:lineRule="auto"/>
        <w:ind w:left="0" w:right="0" w:firstLine="660"/>
        <w:jc w:val="both"/>
      </w:pPr>
      <w:r>
        <w:rPr>
          <w:color w:val="000000"/>
          <w:spacing w:val="0"/>
          <w:w w:val="100"/>
          <w:position w:val="0"/>
          <w:shd w:val="clear" w:color="auto" w:fill="auto"/>
          <w:lang w:val="en-US" w:eastAsia="en-US" w:bidi="en-US"/>
        </w:rPr>
        <w:t>achizitionarea terenului limitrof liniilor ele cale ferata din s. Pirlita, de catre SRL „Timplarul”, care in procesul perfectarii actelor de proprietate asupra unui teren, a fost insusita fraudulos o portiune de teren gestionata de I.S. „CFM”;</w:t>
      </w:r>
    </w:p>
    <w:p>
      <w:pPr>
        <w:pStyle w:val="Style17"/>
        <w:keepNext w:val="0"/>
        <w:keepLines w:val="0"/>
        <w:widowControl w:val="0"/>
        <w:numPr>
          <w:ilvl w:val="0"/>
          <w:numId w:val="3"/>
        </w:numPr>
        <w:shd w:val="clear" w:color="auto" w:fill="auto"/>
        <w:tabs>
          <w:tab w:pos="867" w:val="left"/>
        </w:tabs>
        <w:bidi w:val="0"/>
        <w:spacing w:before="0" w:after="0" w:line="240" w:lineRule="auto"/>
        <w:ind w:left="0" w:right="0" w:firstLine="660"/>
        <w:jc w:val="both"/>
      </w:pPr>
      <w:r>
        <w:rPr>
          <w:color w:val="000000"/>
          <w:spacing w:val="0"/>
          <w:w w:val="100"/>
          <w:position w:val="0"/>
          <w:shd w:val="clear" w:color="auto" w:fill="auto"/>
          <w:lang w:val="en-US" w:eastAsia="en-US" w:bidi="en-US"/>
        </w:rPr>
        <w:t>procurarea de catre SA „Autocar-Tranzit” a terenurilor aferente garii feroviare interurbane Ungheni, transmise anterior la balanta statiei Ungheni prin Hotararea de Guvern nr. 351 din 23.02.2005;</w:t>
      </w:r>
    </w:p>
    <w:p>
      <w:pPr>
        <w:pStyle w:val="Style17"/>
        <w:keepNext w:val="0"/>
        <w:keepLines w:val="0"/>
        <w:widowControl w:val="0"/>
        <w:numPr>
          <w:ilvl w:val="0"/>
          <w:numId w:val="3"/>
        </w:numPr>
        <w:shd w:val="clear" w:color="auto" w:fill="auto"/>
        <w:tabs>
          <w:tab w:pos="867" w:val="left"/>
        </w:tabs>
        <w:bidi w:val="0"/>
        <w:spacing w:before="0" w:after="0" w:line="230" w:lineRule="auto"/>
        <w:ind w:left="0" w:right="0" w:firstLine="660"/>
        <w:jc w:val="both"/>
      </w:pPr>
      <w:r>
        <w:rPr>
          <w:color w:val="000000"/>
          <w:spacing w:val="0"/>
          <w:w w:val="100"/>
          <w:position w:val="0"/>
          <w:shd w:val="clear" w:color="auto" w:fill="auto"/>
          <w:lang w:val="en-US" w:eastAsia="en-US" w:bidi="en-US"/>
        </w:rPr>
        <w:t>achizitionarea de catre SA „Miorita-U” a cladirii cafenelei „Mugurel”, amplasata pe o suprafata de 334 m</w:t>
      </w:r>
      <w:r>
        <w:rPr>
          <w:color w:val="000000"/>
          <w:spacing w:val="0"/>
          <w:w w:val="100"/>
          <w:position w:val="0"/>
          <w:shd w:val="clear" w:color="auto" w:fill="auto"/>
          <w:vertAlign w:val="superscript"/>
          <w:lang w:val="en-US" w:eastAsia="en-US" w:bidi="en-US"/>
        </w:rPr>
        <w:t>2</w:t>
      </w:r>
      <w:r>
        <w:rPr>
          <w:color w:val="000000"/>
          <w:spacing w:val="0"/>
          <w:w w:val="100"/>
          <w:position w:val="0"/>
          <w:shd w:val="clear" w:color="auto" w:fill="auto"/>
          <w:lang w:val="en-US" w:eastAsia="en-US" w:bidi="en-US"/>
        </w:rPr>
        <w:t xml:space="preserve"> a peronului garii feroviare internationale Ungheni.</w:t>
      </w:r>
    </w:p>
    <w:p>
      <w:pPr>
        <w:pStyle w:val="Style15"/>
        <w:keepNext/>
        <w:keepLines/>
        <w:widowControl w:val="0"/>
        <w:numPr>
          <w:ilvl w:val="0"/>
          <w:numId w:val="21"/>
        </w:numPr>
        <w:shd w:val="clear" w:color="auto" w:fill="auto"/>
        <w:tabs>
          <w:tab w:pos="982" w:val="left"/>
        </w:tabs>
        <w:bidi w:val="0"/>
        <w:spacing w:before="0" w:after="0" w:line="240" w:lineRule="auto"/>
        <w:ind w:left="0" w:right="0"/>
        <w:jc w:val="both"/>
      </w:pPr>
      <w:bookmarkStart w:id="34" w:name="bookmark34"/>
      <w:bookmarkStart w:id="35" w:name="bookmark35"/>
      <w:r>
        <w:rPr>
          <w:color w:val="000000"/>
          <w:spacing w:val="0"/>
          <w:w w:val="100"/>
          <w:position w:val="0"/>
          <w:shd w:val="clear" w:color="auto" w:fill="auto"/>
          <w:lang w:val="en-US" w:eastAsia="en-US" w:bidi="en-US"/>
        </w:rPr>
        <w:t>Obiecte nefinalizate/ executate necalitativ</w:t>
      </w:r>
      <w:bookmarkEnd w:id="34"/>
      <w:bookmarkEnd w:id="35"/>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 xml:space="preserve">Hotararea Curtii de Conturi nr. 2 din 14.01.2011 mentioneaza ca intru executarea Legii nr.7-XV din 17.02.2005, Guvernul, prin Hotararea nr.581 din 24.05.20079, a declarat constructia liniei de cale ferata „Cahul-Giurgiulesti” ca obiect de importanta nationala, iar functiile de beneficiar al constructiei au fost puse in sarcina Ministerului Transporturilor si Gospodariei Drumurilor. Desi, de facto, functiile de beneficiar si de antreprenor al constructiei tronsonului au fost executate de CFM, finantarea constructiei a fost realizata partial din contul mijloacelor financiare alocate pentru majorarea capitalului social al acesteia. Astfel, conform Legii bugetului de stat pe anul 2007, de la bugetul de stat au fost alocate mijloace financiare in suma de 192,0 mil.lei, iar potrivit Legii bugetului de stat pe </w:t>
      </w:r>
      <w:r>
        <w:rPr>
          <w:color w:val="000000"/>
          <w:spacing w:val="0"/>
          <w:w w:val="100"/>
          <w:position w:val="0"/>
          <w:shd w:val="clear" w:color="auto" w:fill="auto"/>
          <w:lang w:val="en-US" w:eastAsia="en-US" w:bidi="en-US"/>
        </w:rPr>
        <w:t>anul 2008 - 136,1 mil.lei, din care 100,0 mil.lei in vederea constructiei liniei de cale ferata „Cahul-Giurgiulesti”.</w:t>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La situatia din 01.08.2010, valoarea lucrarilor executate la constructia liniei de cale ferata „Cahul-Giurgiulesti” a insumat 502,3 mil.lei, constructia obiectului nefiind finalizata.</w:t>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Hotararea Curtii de Conturi nr. 8 din 26 martie 2018 releva ca 61 de obiecte de investitii si reconstructii capitale au fost incepute pe parcursul anilor 1992 -2012, care insa, nu sunt finalizate pana in prezent, fiind finantate la nivel de 20-70%. In cazul a 12 obiecte, la care lucrarile au fost stopate de la 8 pana la 25 ani, valoarea acestora a fost estimata la cca 0,5 miliarde lei, fapt ce denota ineficienta investitiilor efectuate. Totodata, se mentioneaza ca in cadrul intreprinderii nu se efectueaza monitorizarea investitiilor efectuate, iar inregistrarile in evidenta contabila se transcriu din an in an, in lipsa documentelor confirmative.</w:t>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Testarea de catre audit a 61 de obiecte ale imobilizarilor corporale in curs de execute a denotat urmatoarele:</w:t>
      </w:r>
    </w:p>
    <w:p>
      <w:pPr>
        <w:pStyle w:val="Style17"/>
        <w:keepNext w:val="0"/>
        <w:keepLines w:val="0"/>
        <w:widowControl w:val="0"/>
        <w:numPr>
          <w:ilvl w:val="0"/>
          <w:numId w:val="3"/>
        </w:numPr>
        <w:shd w:val="clear" w:color="auto" w:fill="auto"/>
        <w:tabs>
          <w:tab w:pos="850" w:val="left"/>
        </w:tabs>
        <w:bidi w:val="0"/>
        <w:spacing w:before="0" w:after="0" w:line="240" w:lineRule="auto"/>
        <w:ind w:left="0" w:right="0" w:firstLine="660"/>
        <w:jc w:val="both"/>
      </w:pPr>
      <w:r>
        <w:rPr>
          <w:color w:val="000000"/>
          <w:spacing w:val="0"/>
          <w:w w:val="100"/>
          <w:position w:val="0"/>
          <w:shd w:val="clear" w:color="auto" w:fill="auto"/>
          <w:lang w:val="en-US" w:eastAsia="en-US" w:bidi="en-US"/>
        </w:rPr>
        <w:t>in 9 cazuri (45%) intreprinderea nu dispune de documente justificative care ar argumenta volumele lucrarilor de constructii, montaj si ale celor de proiectare in suma totala de 32,1 mil.lei;</w:t>
      </w:r>
    </w:p>
    <w:p>
      <w:pPr>
        <w:pStyle w:val="Style17"/>
        <w:keepNext w:val="0"/>
        <w:keepLines w:val="0"/>
        <w:widowControl w:val="0"/>
        <w:numPr>
          <w:ilvl w:val="0"/>
          <w:numId w:val="3"/>
        </w:numPr>
        <w:shd w:val="clear" w:color="auto" w:fill="auto"/>
        <w:tabs>
          <w:tab w:pos="850" w:val="left"/>
        </w:tabs>
        <w:bidi w:val="0"/>
        <w:spacing w:before="0" w:after="0" w:line="240" w:lineRule="auto"/>
        <w:ind w:left="0" w:right="0" w:firstLine="660"/>
        <w:jc w:val="both"/>
      </w:pPr>
      <w:r>
        <w:rPr>
          <w:color w:val="000000"/>
          <w:spacing w:val="0"/>
          <w:w w:val="100"/>
          <w:position w:val="0"/>
          <w:shd w:val="clear" w:color="auto" w:fill="auto"/>
          <w:lang w:val="en-US" w:eastAsia="en-US" w:bidi="en-US"/>
        </w:rPr>
        <w:t>pentru 40 de obiecte in suma totala de 26,3 mil.lei, a decazut necesitatea finalizarii lor, ceea ce denota o utilizare ineficienta a mijloacelor financiare, cuprinzand si cele 25 de obiecte in suma totala de 1, 3 mil. lei, la elaborarea proiectelor, care sunt deja depasite;</w:t>
      </w:r>
    </w:p>
    <w:p>
      <w:pPr>
        <w:pStyle w:val="Style17"/>
        <w:keepNext w:val="0"/>
        <w:keepLines w:val="0"/>
        <w:widowControl w:val="0"/>
        <w:numPr>
          <w:ilvl w:val="0"/>
          <w:numId w:val="3"/>
        </w:numPr>
        <w:shd w:val="clear" w:color="auto" w:fill="auto"/>
        <w:tabs>
          <w:tab w:pos="850" w:val="left"/>
        </w:tabs>
        <w:bidi w:val="0"/>
        <w:spacing w:before="0" w:after="0" w:line="240" w:lineRule="auto"/>
        <w:ind w:left="0" w:right="0" w:firstLine="660"/>
        <w:jc w:val="both"/>
      </w:pPr>
      <w:r>
        <w:rPr>
          <w:color w:val="000000"/>
          <w:spacing w:val="0"/>
          <w:w w:val="100"/>
          <w:position w:val="0"/>
          <w:shd w:val="clear" w:color="auto" w:fill="auto"/>
          <w:lang w:val="en-US" w:eastAsia="en-US" w:bidi="en-US"/>
        </w:rPr>
        <w:t>pentru 2 obiecte, desi au fost efectuate investitii capitale in suma totala de 6,3 mil.lei, pana in prezent nu au fost intocmite actele de receptie finala (fiind argumentat prin calitatea redusa a lucrarilor efectuate), si ca rezultat acestea pe parcursul a 15 ani nu au fost transmise beneficiarului;</w:t>
      </w:r>
    </w:p>
    <w:p>
      <w:pPr>
        <w:pStyle w:val="Style17"/>
        <w:keepNext w:val="0"/>
        <w:keepLines w:val="0"/>
        <w:widowControl w:val="0"/>
        <w:numPr>
          <w:ilvl w:val="0"/>
          <w:numId w:val="3"/>
        </w:numPr>
        <w:shd w:val="clear" w:color="auto" w:fill="auto"/>
        <w:tabs>
          <w:tab w:pos="850" w:val="left"/>
        </w:tabs>
        <w:bidi w:val="0"/>
        <w:spacing w:before="0" w:after="0" w:line="240" w:lineRule="auto"/>
        <w:ind w:left="0" w:right="0" w:firstLine="660"/>
        <w:jc w:val="both"/>
      </w:pPr>
      <w:r>
        <w:rPr>
          <w:color w:val="000000"/>
          <w:spacing w:val="0"/>
          <w:w w:val="100"/>
          <w:position w:val="0"/>
          <w:shd w:val="clear" w:color="auto" w:fill="auto"/>
          <w:lang w:val="en-US" w:eastAsia="en-US" w:bidi="en-US"/>
        </w:rPr>
        <w:t>constructia liniei de cale ferata Cahul-Giurgiulesti nu este finalizata, insa se exploateaza pentru testare (doar pentru transportul feroviar de marfuri) si necesita investitii suplimentare pentru finalizarea ei. Insuficienta mijloacelor financiare pentru constructia tronsonului Cahul-Giurgiulesti a conditionat imposibilitatea continuarii si finalizarii constructiei, fapt ce pericliteaza siguranta transportului feroviar.</w:t>
      </w:r>
    </w:p>
    <w:p>
      <w:pPr>
        <w:pStyle w:val="Style17"/>
        <w:keepNext w:val="0"/>
        <w:keepLines w:val="0"/>
        <w:widowControl w:val="0"/>
        <w:numPr>
          <w:ilvl w:val="0"/>
          <w:numId w:val="3"/>
        </w:numPr>
        <w:shd w:val="clear" w:color="auto" w:fill="auto"/>
        <w:tabs>
          <w:tab w:pos="850" w:val="left"/>
        </w:tabs>
        <w:bidi w:val="0"/>
        <w:spacing w:before="0" w:after="0" w:line="240" w:lineRule="auto"/>
        <w:ind w:left="0" w:right="0" w:firstLine="660"/>
        <w:jc w:val="both"/>
      </w:pPr>
      <w:r>
        <w:rPr>
          <w:color w:val="000000"/>
          <w:spacing w:val="0"/>
          <w:w w:val="100"/>
          <w:position w:val="0"/>
          <w:shd w:val="clear" w:color="auto" w:fill="auto"/>
          <w:lang w:val="en-US" w:eastAsia="en-US" w:bidi="en-US"/>
        </w:rPr>
        <w:t>din 650,6 mii traverse din beton armat produse la Uzina de traverse din Balti din cadrul intreprinderii au fost identificate 45,9 mii traverse defectate, fapt ce nu asigura eficienta si eficacitatea mijloacelor investite. Costurile de productie a unei traverse au constituit cca 900 lei, pe cand pretul de cumparare de la alti producatori specializati este de cca 560 lei. Tinand cont de cele relatate, Consiliul de administrate a decis in anul 2015 conservarea Uzinei de traverse din Balti.</w:t>
      </w:r>
    </w:p>
    <w:p>
      <w:pPr>
        <w:pStyle w:val="Style15"/>
        <w:keepNext/>
        <w:keepLines/>
        <w:widowControl w:val="0"/>
        <w:numPr>
          <w:ilvl w:val="0"/>
          <w:numId w:val="21"/>
        </w:numPr>
        <w:shd w:val="clear" w:color="auto" w:fill="auto"/>
        <w:tabs>
          <w:tab w:pos="982" w:val="left"/>
        </w:tabs>
        <w:bidi w:val="0"/>
        <w:spacing w:before="0" w:after="0" w:line="240" w:lineRule="auto"/>
        <w:ind w:left="0" w:right="0"/>
        <w:jc w:val="both"/>
      </w:pPr>
      <w:bookmarkStart w:id="36" w:name="bookmark36"/>
      <w:bookmarkStart w:id="37" w:name="bookmark37"/>
      <w:r>
        <w:rPr>
          <w:color w:val="000000"/>
          <w:spacing w:val="0"/>
          <w:w w:val="100"/>
          <w:position w:val="0"/>
          <w:shd w:val="clear" w:color="auto" w:fill="auto"/>
          <w:lang w:val="en-US" w:eastAsia="en-US" w:bidi="en-US"/>
        </w:rPr>
        <w:t>Active materiale neutilizate mai mult de 10 ani (Stocuri prea mari, vechi)</w:t>
      </w:r>
      <w:bookmarkEnd w:id="36"/>
      <w:bookmarkEnd w:id="37"/>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 xml:space="preserve">Hotararea Curtii de Conturi nr. 8 din 26 martie 2018 mentioneaza ca intreprinderea detine stocuri de marfuri si materiale procurate inca din anii 1980, in suma de 17,1 mil.lei, care sunt depasite, atat ca durata de utilizare/exploatare, cat si ca utilitate. Din stocurile detinute la sfarsitul anului 2016 in valoare totala de 286,0 mil.lei, 42,2 mil.lei se afla in stanga Nistrului, asupra carora intreprinderea nu detine controlul. Prin urmare, sistemul actual de formare a necesitatilor, planificarea si procurarea bunurilor, a generat formari de stocuri inutile/depasite, precum si a conditionat cheltuieli nejustificate ce au sporit cresterea costurilor serviciilor de transport. Situatii similare au fost constate si anterior de Curtea de Conturi. Astfel, prin Hotararea Curtii de Conturi nr. 31 din 8 august 2011 s-a </w:t>
      </w:r>
      <w:r>
        <w:rPr>
          <w:color w:val="000000"/>
          <w:spacing w:val="0"/>
          <w:w w:val="100"/>
          <w:position w:val="0"/>
          <w:shd w:val="clear" w:color="auto" w:fill="auto"/>
          <w:lang w:val="en-US" w:eastAsia="en-US" w:bidi="en-US"/>
        </w:rPr>
        <w:t>mentionat ca sunt admise soldurilor de active materiale neutilizate in procesul tehnologic in cantitati mari pe o perioada indelungata (piese de schimb —11,5 mil.lei).</w:t>
      </w:r>
    </w:p>
    <w:p>
      <w:pPr>
        <w:pStyle w:val="Style1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Mai mult ca atat, in actul de control al Inspectiei Financiare din 08.11.2019 se mentioneaza ca stocurile rezervelor de productie inregistrate la 30.06.2019 constituie 273,993 mil. lei, inclusiv:</w:t>
      </w:r>
    </w:p>
    <w:p>
      <w:pPr>
        <w:pStyle w:val="Style17"/>
        <w:keepNext w:val="0"/>
        <w:keepLines w:val="0"/>
        <w:widowControl w:val="0"/>
        <w:numPr>
          <w:ilvl w:val="0"/>
          <w:numId w:val="23"/>
        </w:numPr>
        <w:shd w:val="clear" w:color="auto" w:fill="auto"/>
        <w:tabs>
          <w:tab w:pos="982" w:val="left"/>
        </w:tabs>
        <w:bidi w:val="0"/>
        <w:spacing w:before="0" w:after="0" w:line="276" w:lineRule="auto"/>
        <w:ind w:left="0" w:right="0" w:firstLine="640"/>
        <w:jc w:val="both"/>
      </w:pPr>
      <w:r>
        <w:rPr>
          <w:color w:val="000000"/>
          <w:spacing w:val="0"/>
          <w:w w:val="100"/>
          <w:position w:val="0"/>
          <w:shd w:val="clear" w:color="auto" w:fill="auto"/>
          <w:lang w:val="en-US" w:eastAsia="en-US" w:bidi="en-US"/>
        </w:rPr>
        <w:t>259,689 mil. lei, materiale;</w:t>
      </w:r>
    </w:p>
    <w:p>
      <w:pPr>
        <w:pStyle w:val="Style17"/>
        <w:keepNext w:val="0"/>
        <w:keepLines w:val="0"/>
        <w:widowControl w:val="0"/>
        <w:numPr>
          <w:ilvl w:val="0"/>
          <w:numId w:val="23"/>
        </w:numPr>
        <w:shd w:val="clear" w:color="auto" w:fill="auto"/>
        <w:tabs>
          <w:tab w:pos="982" w:val="left"/>
        </w:tabs>
        <w:bidi w:val="0"/>
        <w:spacing w:before="0" w:after="0" w:line="276" w:lineRule="auto"/>
        <w:ind w:left="0" w:right="0" w:firstLine="640"/>
        <w:jc w:val="both"/>
      </w:pPr>
      <w:r>
        <w:rPr>
          <w:color w:val="000000"/>
          <w:spacing w:val="0"/>
          <w:w w:val="100"/>
          <w:position w:val="0"/>
          <w:shd w:val="clear" w:color="auto" w:fill="auto"/>
          <w:lang w:val="en-US" w:eastAsia="en-US" w:bidi="en-US"/>
        </w:rPr>
        <w:t>11,058 mil. lei, obiectele de mica valoare si scurta durata (OMVSD) la depozit;</w:t>
      </w:r>
    </w:p>
    <w:p>
      <w:pPr>
        <w:pStyle w:val="Style17"/>
        <w:keepNext w:val="0"/>
        <w:keepLines w:val="0"/>
        <w:widowControl w:val="0"/>
        <w:numPr>
          <w:ilvl w:val="0"/>
          <w:numId w:val="23"/>
        </w:numPr>
        <w:shd w:val="clear" w:color="auto" w:fill="auto"/>
        <w:tabs>
          <w:tab w:pos="982" w:val="left"/>
        </w:tabs>
        <w:bidi w:val="0"/>
        <w:spacing w:before="0" w:after="0" w:line="276" w:lineRule="auto"/>
        <w:ind w:left="0" w:right="0" w:firstLine="640"/>
        <w:jc w:val="both"/>
      </w:pPr>
      <w:r>
        <w:rPr>
          <w:color w:val="000000"/>
          <w:spacing w:val="0"/>
          <w:w w:val="100"/>
          <w:position w:val="0"/>
          <w:shd w:val="clear" w:color="auto" w:fill="auto"/>
          <w:lang w:val="en-US" w:eastAsia="en-US" w:bidi="en-US"/>
        </w:rPr>
        <w:t>688,1 mii lei, productie;</w:t>
      </w:r>
    </w:p>
    <w:p>
      <w:pPr>
        <w:pStyle w:val="Style17"/>
        <w:keepNext w:val="0"/>
        <w:keepLines w:val="0"/>
        <w:widowControl w:val="0"/>
        <w:numPr>
          <w:ilvl w:val="0"/>
          <w:numId w:val="23"/>
        </w:numPr>
        <w:shd w:val="clear" w:color="auto" w:fill="auto"/>
        <w:tabs>
          <w:tab w:pos="982" w:val="left"/>
        </w:tabs>
        <w:bidi w:val="0"/>
        <w:spacing w:before="0" w:after="0" w:line="276" w:lineRule="auto"/>
        <w:ind w:left="0" w:right="0" w:firstLine="640"/>
        <w:jc w:val="both"/>
      </w:pPr>
      <w:r>
        <w:rPr>
          <w:color w:val="000000"/>
          <w:spacing w:val="0"/>
          <w:w w:val="100"/>
          <w:position w:val="0"/>
          <w:shd w:val="clear" w:color="auto" w:fill="auto"/>
          <w:lang w:val="en-US" w:eastAsia="en-US" w:bidi="en-US"/>
        </w:rPr>
        <w:t>2,557 mil. lei, marfuri.</w:t>
      </w:r>
    </w:p>
    <w:p>
      <w:pPr>
        <w:pStyle w:val="Style1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In activele circulante sunt incluse rezervele de productie, stocurile de marfuri, materiale, OMVSD, ramase pe malul stang al Nistrului in suma de 46,861 mil. lei, care nu sunt controlate de catre I.S. „CFM”. De asemenea rezervele de productie includ nelichidita^i in valoare de 537,4 mii lei</w:t>
      </w:r>
      <w:r>
        <w:rPr>
          <w:color w:val="000000"/>
          <w:spacing w:val="0"/>
          <w:w w:val="100"/>
          <w:position w:val="0"/>
          <w:shd w:val="clear" w:color="auto" w:fill="auto"/>
          <w:vertAlign w:val="superscript"/>
          <w:lang w:val="en-US" w:eastAsia="en-US" w:bidi="en-US"/>
        </w:rPr>
        <w:footnoteReference w:id="14"/>
      </w:r>
      <w:r>
        <w:rPr>
          <w:color w:val="000000"/>
          <w:spacing w:val="0"/>
          <w:w w:val="100"/>
          <w:position w:val="0"/>
          <w:shd w:val="clear" w:color="auto" w:fill="auto"/>
          <w:lang w:val="en-US" w:eastAsia="en-US" w:bidi="en-US"/>
        </w:rPr>
        <w:t>.</w:t>
      </w:r>
    </w:p>
    <w:p>
      <w:pPr>
        <w:pStyle w:val="Style15"/>
        <w:keepNext/>
        <w:keepLines/>
        <w:widowControl w:val="0"/>
        <w:numPr>
          <w:ilvl w:val="0"/>
          <w:numId w:val="21"/>
        </w:numPr>
        <w:shd w:val="clear" w:color="auto" w:fill="auto"/>
        <w:tabs>
          <w:tab w:pos="956" w:val="left"/>
        </w:tabs>
        <w:bidi w:val="0"/>
        <w:spacing w:before="0" w:after="0" w:line="240" w:lineRule="auto"/>
        <w:ind w:left="0" w:right="0" w:firstLine="640"/>
        <w:jc w:val="both"/>
      </w:pPr>
      <w:bookmarkStart w:id="38" w:name="bookmark38"/>
      <w:bookmarkStart w:id="39" w:name="bookmark39"/>
      <w:r>
        <w:rPr>
          <w:color w:val="000000"/>
          <w:spacing w:val="0"/>
          <w:w w:val="100"/>
          <w:position w:val="0"/>
          <w:shd w:val="clear" w:color="auto" w:fill="auto"/>
          <w:lang w:val="en-US" w:eastAsia="en-US" w:bidi="en-US"/>
        </w:rPr>
        <w:t>Cheltuieli neintemeiate, neregulamentare si lipsa procedurilor de control intern.</w:t>
      </w:r>
      <w:bookmarkEnd w:id="38"/>
      <w:bookmarkEnd w:id="39"/>
    </w:p>
    <w:p>
      <w:pPr>
        <w:pStyle w:val="Style1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In rezultatul inspectarii de catre Inspectia Financiara, prin actul din 08.07.2016 au fost stabilite urmatoarele fapte:</w:t>
      </w:r>
    </w:p>
    <w:p>
      <w:pPr>
        <w:pStyle w:val="Style17"/>
        <w:keepNext w:val="0"/>
        <w:keepLines w:val="0"/>
        <w:widowControl w:val="0"/>
        <w:numPr>
          <w:ilvl w:val="0"/>
          <w:numId w:val="3"/>
        </w:numPr>
        <w:shd w:val="clear" w:color="auto" w:fill="auto"/>
        <w:tabs>
          <w:tab w:pos="1416" w:val="left"/>
        </w:tabs>
        <w:bidi w:val="0"/>
        <w:spacing w:before="0" w:after="0" w:line="240" w:lineRule="auto"/>
        <w:ind w:left="0" w:right="0" w:firstLine="640"/>
        <w:jc w:val="both"/>
      </w:pPr>
      <w:r>
        <w:rPr>
          <w:color w:val="000000"/>
          <w:spacing w:val="0"/>
          <w:w w:val="100"/>
          <w:position w:val="0"/>
          <w:shd w:val="clear" w:color="auto" w:fill="auto"/>
          <w:lang w:val="en-US" w:eastAsia="en-US" w:bidi="en-US"/>
        </w:rPr>
        <w:t>Desi, in cadrul Directiei juridice a I.S. „CFM”, in anul 2015 activau 9 juristi, care conform atributiilor de serviciu acorda asistenta juridica si apara interesele I.S. „CFM” in instantele judecatoresti, la data de 23.12.2014, I.S. „CFM” a incheiat contractul de asistenta juridica cu Biroul asociat de avocati „Popa &amp; Asociatii”, ultimul asumandu-si obligatia sa acorde servicii de reprezentare, consultanta si asistenta juridica in baza de abonament, in volum ce nu va depasi 1200 ore pe an, costul acestui abonament constituind 30000 EURO. Astfel, in perioada anului 2015, in lipsa actelor de acordare a serviciilor, contabilitatea I.S. „CFM” a atribuit la cheltuieli serviciile juridice acordate de Biroul asociat de avocati „Popa &amp; Asociatii” in suma de 203,7 mii lei.</w:t>
      </w:r>
    </w:p>
    <w:p>
      <w:pPr>
        <w:pStyle w:val="Style17"/>
        <w:keepNext w:val="0"/>
        <w:keepLines w:val="0"/>
        <w:widowControl w:val="0"/>
        <w:numPr>
          <w:ilvl w:val="0"/>
          <w:numId w:val="3"/>
        </w:numPr>
        <w:shd w:val="clear" w:color="auto" w:fill="auto"/>
        <w:tabs>
          <w:tab w:pos="1416" w:val="left"/>
        </w:tabs>
        <w:bidi w:val="0"/>
        <w:spacing w:before="0" w:after="0" w:line="240" w:lineRule="auto"/>
        <w:ind w:left="0" w:right="0" w:firstLine="640"/>
        <w:jc w:val="both"/>
      </w:pPr>
      <w:r>
        <w:rPr>
          <w:color w:val="000000"/>
          <w:spacing w:val="0"/>
          <w:w w:val="100"/>
          <w:position w:val="0"/>
          <w:shd w:val="clear" w:color="auto" w:fill="auto"/>
          <w:lang w:val="en-US" w:eastAsia="en-US" w:bidi="en-US"/>
        </w:rPr>
        <w:t>Au fost constatate nereguli in domeniul retribuirii muncii ce au dus la calcularea si achitarea neregulamentara a unor plati salariale in suma totala de 66,386 mil. lei, achitate in lipsa Regulamentului privind premierea angajatilor, care urma sa cuprinda indicatori de performanta si marimile de premiere, precum si in lipsa documentarii volumelor de lucrari indeplinite suplimentar atributiilor din fisa postului pentru indeplinirea obligatiunilor de munca a salariatilor temporar absenti.</w:t>
      </w:r>
    </w:p>
    <w:p>
      <w:pPr>
        <w:pStyle w:val="Style17"/>
        <w:keepNext w:val="0"/>
        <w:keepLines w:val="0"/>
        <w:widowControl w:val="0"/>
        <w:numPr>
          <w:ilvl w:val="0"/>
          <w:numId w:val="3"/>
        </w:numPr>
        <w:shd w:val="clear" w:color="auto" w:fill="auto"/>
        <w:tabs>
          <w:tab w:pos="1416" w:val="left"/>
        </w:tabs>
        <w:bidi w:val="0"/>
        <w:spacing w:before="0" w:after="0" w:line="240" w:lineRule="auto"/>
        <w:ind w:left="0" w:right="0" w:firstLine="640"/>
        <w:jc w:val="both"/>
      </w:pPr>
      <w:r>
        <w:rPr>
          <w:color w:val="000000"/>
          <w:spacing w:val="0"/>
          <w:w w:val="100"/>
          <w:position w:val="0"/>
          <w:shd w:val="clear" w:color="auto" w:fill="auto"/>
          <w:lang w:val="en-US" w:eastAsia="en-US" w:bidi="en-US"/>
        </w:rPr>
        <w:t>Neinregistrarea integrala a drepturilor asupra bunurilor imobile, inclusiv asupra terenurilor aferente acestora, la organele cadastrale si in evidenta contabila, determina riscul neasigurarii integritatii patrimoniului public (541 de terenuri cu suprafata totala de 10358,90 ha, 3797 unitati de mijloace fixe cu valoarea de bilant de 103,6 mil. lei, amplasate pe teritoriul din stanga Nistrului, care de facto nu pot fi gestionate);</w:t>
      </w:r>
    </w:p>
    <w:p>
      <w:pPr>
        <w:pStyle w:val="Style15"/>
        <w:keepNext/>
        <w:keepLines/>
        <w:widowControl w:val="0"/>
        <w:numPr>
          <w:ilvl w:val="0"/>
          <w:numId w:val="21"/>
        </w:numPr>
        <w:shd w:val="clear" w:color="auto" w:fill="auto"/>
        <w:tabs>
          <w:tab w:pos="972" w:val="left"/>
        </w:tabs>
        <w:bidi w:val="0"/>
        <w:spacing w:before="0" w:after="0" w:line="240" w:lineRule="auto"/>
        <w:ind w:left="0" w:right="0" w:firstLine="640"/>
        <w:jc w:val="both"/>
      </w:pPr>
      <w:bookmarkStart w:id="40" w:name="bookmark40"/>
      <w:bookmarkStart w:id="41" w:name="bookmark41"/>
      <w:r>
        <w:rPr>
          <w:color w:val="000000"/>
          <w:spacing w:val="0"/>
          <w:w w:val="100"/>
          <w:position w:val="0"/>
          <w:shd w:val="clear" w:color="auto" w:fill="auto"/>
          <w:lang w:val="en-US" w:eastAsia="en-US" w:bidi="en-US"/>
        </w:rPr>
        <w:t>Casari dubioase</w:t>
      </w:r>
      <w:bookmarkEnd w:id="40"/>
      <w:bookmarkEnd w:id="41"/>
    </w:p>
    <w:p>
      <w:pPr>
        <w:pStyle w:val="Style1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Urmare a inspectarii tematice privind gestionarea patrimoniului public efectuata de Inspectia Financiara in anul 2016 la Depoul de vagoane frigorifere Basarabeasca, au fost constatate urmatoarele incalcari:</w:t>
      </w:r>
    </w:p>
    <w:p>
      <w:pPr>
        <w:pStyle w:val="Style17"/>
        <w:keepNext w:val="0"/>
        <w:keepLines w:val="0"/>
        <w:widowControl w:val="0"/>
        <w:numPr>
          <w:ilvl w:val="0"/>
          <w:numId w:val="3"/>
        </w:numPr>
        <w:shd w:val="clear" w:color="auto" w:fill="auto"/>
        <w:tabs>
          <w:tab w:pos="943" w:val="left"/>
        </w:tabs>
        <w:bidi w:val="0"/>
        <w:spacing w:before="0" w:after="0" w:line="240" w:lineRule="auto"/>
        <w:ind w:left="0" w:right="0" w:firstLine="640"/>
        <w:jc w:val="both"/>
      </w:pPr>
      <w:r>
        <w:rPr>
          <w:color w:val="000000"/>
          <w:spacing w:val="0"/>
          <w:w w:val="100"/>
          <w:position w:val="0"/>
          <w:shd w:val="clear" w:color="auto" w:fill="auto"/>
          <w:lang w:val="en-US" w:eastAsia="en-US" w:bidi="en-US"/>
        </w:rPr>
        <w:t xml:space="preserve">Cu derogare de la prevederile pct. 14 din Regulamentul privind casarea bunurilor uzate, raportate la mijloacele fixe aprobat prin Hotararea Guvernului nr. 500 din 12.05.1998, a fost efectuata demontarea obiectelor, agregatelor, materialelor de la 4 vagoane ABP, scoase din exploatare in decembrie 2009, insa procedure de casare nefiind </w:t>
      </w:r>
      <w:r>
        <w:rPr>
          <w:color w:val="000000"/>
          <w:spacing w:val="0"/>
          <w:w w:val="100"/>
          <w:position w:val="0"/>
          <w:shd w:val="clear" w:color="auto" w:fill="auto"/>
          <w:lang w:val="en-US" w:eastAsia="en-US" w:bidi="en-US"/>
        </w:rPr>
        <w:t>petrecuta. Valoarea neajunsurilor de bunuri materiale constituie suma de 12837,0 lei - conform datelor evidentei contabile si 425,3 mii lei - conform preturilor de piata din aprilie 2008. ’ ’ ’ ’</w:t>
      </w:r>
    </w:p>
    <w:p>
      <w:pPr>
        <w:pStyle w:val="Style17"/>
        <w:keepNext w:val="0"/>
        <w:keepLines w:val="0"/>
        <w:widowControl w:val="0"/>
        <w:numPr>
          <w:ilvl w:val="0"/>
          <w:numId w:val="3"/>
        </w:numPr>
        <w:shd w:val="clear" w:color="auto" w:fill="auto"/>
        <w:tabs>
          <w:tab w:pos="974" w:val="left"/>
        </w:tabs>
        <w:bidi w:val="0"/>
        <w:spacing w:before="0" w:after="0" w:line="223" w:lineRule="auto"/>
        <w:ind w:left="0" w:right="0" w:firstLine="660"/>
        <w:jc w:val="both"/>
      </w:pPr>
      <w:r>
        <w:rPr>
          <w:color w:val="000000"/>
          <w:spacing w:val="0"/>
          <w:w w:val="100"/>
          <w:position w:val="0"/>
          <w:shd w:val="clear" w:color="auto" w:fill="auto"/>
          <w:lang w:val="en-US" w:eastAsia="en-US" w:bidi="en-US"/>
        </w:rPr>
        <w:t>Mai mult ca atat, 6 vagoane constatate ca lipsuri, de catre serviciul contabil n-au</w:t>
      </w:r>
    </w:p>
    <w:p>
      <w:pPr>
        <w:pStyle w:val="Style17"/>
        <w:keepNext w:val="0"/>
        <w:keepLines w:val="0"/>
        <w:widowControl w:val="0"/>
        <w:shd w:val="clear" w:color="auto" w:fill="auto"/>
        <w:tabs>
          <w:tab w:pos="5549" w:val="left"/>
        </w:tabs>
        <w:bidi w:val="0"/>
        <w:spacing w:before="0" w:after="0" w:line="240" w:lineRule="auto"/>
        <w:ind w:left="0" w:right="0" w:firstLine="0"/>
        <w:jc w:val="both"/>
      </w:pPr>
      <w:r>
        <w:rPr>
          <w:color w:val="000000"/>
          <w:spacing w:val="0"/>
          <w:w w:val="100"/>
          <w:position w:val="0"/>
          <w:shd w:val="clear" w:color="auto" w:fill="auto"/>
          <w:lang w:val="en-US" w:eastAsia="en-US" w:bidi="en-US"/>
        </w:rPr>
        <w:t xml:space="preserve">fost reflectate in evidenta contabila cu valoare de intrare in suma de 1,583 mil. lei, ceea ce a dus la denaturarea datelor contabile, precum si contabilizarea prejudiciului adus I.S. „CFM”. </w:t>
      </w:r>
      <w:r>
        <w:rPr>
          <w:color w:val="000000"/>
          <w:spacing w:val="0"/>
          <w:w w:val="100"/>
          <w:position w:val="0"/>
          <w:shd w:val="clear" w:color="auto" w:fill="auto"/>
          <w:vertAlign w:val="superscript"/>
          <w:lang w:val="en-US" w:eastAsia="en-US" w:bidi="en-US"/>
        </w:rPr>
        <w:footnoteReference w:id="15"/>
      </w:r>
      <w:r>
        <w:rPr>
          <w:color w:val="000000"/>
          <w:spacing w:val="0"/>
          <w:w w:val="100"/>
          <w:position w:val="0"/>
          <w:shd w:val="clear" w:color="auto" w:fill="auto"/>
          <w:lang w:val="en-US" w:eastAsia="en-US" w:bidi="en-US"/>
        </w:rPr>
        <w:tab/>
        <w:t>’</w:t>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Hotararea Curtii de Conturi nr. 68 din 17 decembrie 2020 releva urmatoarele:</w:t>
      </w:r>
    </w:p>
    <w:p>
      <w:pPr>
        <w:pStyle w:val="Style17"/>
        <w:keepNext w:val="0"/>
        <w:keepLines w:val="0"/>
        <w:widowControl w:val="0"/>
        <w:numPr>
          <w:ilvl w:val="0"/>
          <w:numId w:val="3"/>
        </w:numPr>
        <w:shd w:val="clear" w:color="auto" w:fill="auto"/>
        <w:tabs>
          <w:tab w:pos="850" w:val="left"/>
        </w:tabs>
        <w:bidi w:val="0"/>
        <w:spacing w:before="0" w:after="0" w:line="240" w:lineRule="auto"/>
        <w:ind w:left="0" w:right="0" w:firstLine="660"/>
        <w:jc w:val="both"/>
      </w:pPr>
      <w:r>
        <w:rPr>
          <w:color w:val="000000"/>
          <w:spacing w:val="0"/>
          <w:w w:val="100"/>
          <w:position w:val="0"/>
          <w:shd w:val="clear" w:color="auto" w:fill="auto"/>
          <w:lang w:val="en-US" w:eastAsia="en-US" w:bidi="en-US"/>
        </w:rPr>
        <w:t>intocmirea intr-o maniera generala a 25 acte de predare-primire a bunurilor in locatiune, fara indicarea datelor aferente starii bunului, numarului cadastral, costului de intrare, valorii contabile si uzurii/amortizarii si valorii reziduale, fapt care determina riscurile unor dispute viitoare pe aspectele mentionate. De remarcat ca 63 de raporturi contractuale cu locatiunea au decurs cu abateri de la angajamentele asumate de locatari si au generat dispute nesolutionate pana in prezent si creante compromise in valoare totala de 19,986 mil. lei. Probele colectate de audit releva ca, in perioada 2018 - 2019, I.S. „CFM”, ca rezultat al casarii si dezmembrarii unor mijloace fixe, precum si altor bunuri (sumar de roti si alte active circulante ce contin metale feroase), a comercializat neconform activele (materialele) obtinute sub forma de metale feroase (circa 66,6 mii tone cu obtinerea veniturilor din acestea in suma totala de 168,095 mil. lei), in lipsa deciziilor si acceptului Consiliului de administrate.</w:t>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Astfel, din cauza neindeplinirii atributiilor regulamentare mentionate supra de catre top- managementul I.S. „CFM”, Curtea de Conturi considera ca au fost create premise si riscuri sporite de neasigurare a integritatii si folosirii conforme a bunurilor materia le ale intreprinderii.</w:t>
      </w:r>
    </w:p>
    <w:p>
      <w:pPr>
        <w:pStyle w:val="Style15"/>
        <w:keepNext/>
        <w:keepLines/>
        <w:widowControl w:val="0"/>
        <w:numPr>
          <w:ilvl w:val="0"/>
          <w:numId w:val="21"/>
        </w:numPr>
        <w:shd w:val="clear" w:color="auto" w:fill="auto"/>
        <w:tabs>
          <w:tab w:pos="982" w:val="left"/>
        </w:tabs>
        <w:bidi w:val="0"/>
        <w:spacing w:before="0" w:after="0" w:line="240" w:lineRule="auto"/>
        <w:ind w:left="0" w:right="0"/>
        <w:jc w:val="both"/>
      </w:pPr>
      <w:bookmarkStart w:id="42" w:name="bookmark42"/>
      <w:bookmarkStart w:id="43" w:name="bookmark43"/>
      <w:r>
        <w:rPr>
          <w:color w:val="000000"/>
          <w:spacing w:val="0"/>
          <w:w w:val="100"/>
          <w:position w:val="0"/>
          <w:shd w:val="clear" w:color="auto" w:fill="auto"/>
          <w:lang w:val="en-US" w:eastAsia="en-US" w:bidi="en-US"/>
        </w:rPr>
        <w:t>Alte cazuri de administrare deficienta</w:t>
      </w:r>
      <w:bookmarkEnd w:id="42"/>
      <w:bookmarkEnd w:id="43"/>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In cadrul inspectarii efectuate de Inspectia Financiare in anul 2016, s-a stabilit ca politica de preturi aplicata de catre factorii de conducere a I.S. „CFM” pe parcursul anilor 2014-2015 a fost una dezavantajoasa. Astfel, pentru transportarea marfurilor pe cale ferata in/din Portul International Liber Giurgiulesti au fost aplicate tarife locale net inferioare tarifelor internationale prevazute in politica tarifara (elaborata in conformitate cu Conventia Tarifara a administratiilor feroviare ale statelor - participante la Comunitatea Statelor Independente din 17.02.1993), prin ce I.S. „CFM” a ratat incasarea veniturilor in suma de 59,004 mil. lei.</w:t>
      </w:r>
      <w:r>
        <w:rPr>
          <w:color w:val="000000"/>
          <w:spacing w:val="0"/>
          <w:w w:val="100"/>
          <w:position w:val="0"/>
          <w:shd w:val="clear" w:color="auto" w:fill="auto"/>
          <w:vertAlign w:val="superscript"/>
          <w:lang w:val="en-US" w:eastAsia="en-US" w:bidi="en-US"/>
        </w:rPr>
        <w:footnoteReference w:id="16"/>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In rezultatul auditului Curtii de Conturi din 2018 s-a stabilit ca intreprinderea detinea in gestiune 5 baze de odihna cu valoarea initiala totala de 4,2 mil.lei, cu o suprafata totala de 4761,4 m</w:t>
      </w:r>
      <w:r>
        <w:rPr>
          <w:color w:val="000000"/>
          <w:spacing w:val="0"/>
          <w:w w:val="100"/>
          <w:position w:val="0"/>
          <w:shd w:val="clear" w:color="auto" w:fill="auto"/>
          <w:vertAlign w:val="superscript"/>
          <w:lang w:val="en-US" w:eastAsia="en-US" w:bidi="en-US"/>
        </w:rPr>
        <w:t>2</w:t>
      </w:r>
      <w:r>
        <w:rPr>
          <w:color w:val="000000"/>
          <w:spacing w:val="0"/>
          <w:w w:val="100"/>
          <w:position w:val="0"/>
          <w:shd w:val="clear" w:color="auto" w:fill="auto"/>
          <w:lang w:val="en-US" w:eastAsia="en-US" w:bidi="en-US"/>
        </w:rPr>
        <w:t>. Astfel, observatiile fizice efectuate denota existenta unor probleme si iregularitati, ce se exprima prin: neasigurarea intretinerii corespunzatoare a bazelor de odihna, neexploatarea si nerepararea indelungata a acestora, ceea ce conduce la dezintegrarea si pierderea imobilelor date in folosinta. Desi bazele de odihna nu functioneaza si nu contribuie la acumularea resurselor de venit pentru functionarea profitabila a intreprinderii, in perioada de referinta au fost suportate cheltuieli de intretinere in suma totala de 1,4 mil.lei.</w:t>
      </w:r>
      <w:r>
        <w:rPr>
          <w:color w:val="000000"/>
          <w:spacing w:val="0"/>
          <w:w w:val="100"/>
          <w:position w:val="0"/>
          <w:shd w:val="clear" w:color="auto" w:fill="auto"/>
          <w:vertAlign w:val="superscript"/>
          <w:lang w:val="en-US" w:eastAsia="en-US" w:bidi="en-US"/>
        </w:rPr>
        <w:footnoteReference w:id="17"/>
      </w:r>
      <w:r>
        <w:rPr>
          <w:color w:val="000000"/>
          <w:spacing w:val="0"/>
          <w:w w:val="100"/>
          <w:position w:val="0"/>
          <w:shd w:val="clear" w:color="auto" w:fill="auto"/>
          <w:lang w:val="en-US" w:eastAsia="en-US" w:bidi="en-US"/>
        </w:rPr>
        <w:t xml:space="preserve"> Ulterior, in cadrul auditului Curtii de Conturi din anul 2020, s-a stabilit ca patru obiecte de agrement (baze de odihna) din gestiunea I.S. „CFM” nu au</w:t>
      </w:r>
    </w:p>
    <w:p>
      <w:pPr>
        <w:pStyle w:val="Style17"/>
        <w:keepNext w:val="0"/>
        <w:keepLines w:val="0"/>
        <w:widowControl w:val="0"/>
        <w:shd w:val="clear" w:color="auto" w:fill="auto"/>
        <w:tabs>
          <w:tab w:pos="1862" w:val="left"/>
        </w:tabs>
        <w:bidi w:val="0"/>
        <w:spacing w:before="0" w:after="0" w:line="240" w:lineRule="auto"/>
        <w:ind w:left="0" w:right="0" w:firstLine="0"/>
        <w:jc w:val="both"/>
      </w:pPr>
      <w:r>
        <w:rPr>
          <w:color w:val="000000"/>
          <w:spacing w:val="0"/>
          <w:w w:val="100"/>
          <w:position w:val="0"/>
          <w:shd w:val="clear" w:color="auto" w:fill="auto"/>
          <w:lang w:val="en-US" w:eastAsia="en-US" w:bidi="en-US"/>
        </w:rPr>
        <w:t xml:space="preserve">functionat si au generat, in perioada auditata </w:t>
      </w:r>
      <w:r>
        <w:rPr>
          <w:color w:val="000000"/>
          <w:spacing w:val="0"/>
          <w:w w:val="100"/>
          <w:position w:val="0"/>
          <w:shd w:val="clear" w:color="auto" w:fill="auto"/>
          <w:lang w:val="ru-RU" w:eastAsia="ru-RU" w:bidi="ru-RU"/>
        </w:rPr>
        <w:t xml:space="preserve">2018 - 2019, </w:t>
      </w:r>
      <w:r>
        <w:rPr>
          <w:color w:val="000000"/>
          <w:spacing w:val="0"/>
          <w:w w:val="100"/>
          <w:position w:val="0"/>
          <w:shd w:val="clear" w:color="auto" w:fill="auto"/>
          <w:lang w:val="en-US" w:eastAsia="en-US" w:bidi="en-US"/>
        </w:rPr>
        <w:t xml:space="preserve">cheltuieli de intretinere curenta in suma totala de </w:t>
      </w:r>
      <w:r>
        <w:rPr>
          <w:color w:val="000000"/>
          <w:spacing w:val="0"/>
          <w:w w:val="100"/>
          <w:position w:val="0"/>
          <w:shd w:val="clear" w:color="auto" w:fill="auto"/>
          <w:lang w:val="ru-RU" w:eastAsia="ru-RU" w:bidi="ru-RU"/>
        </w:rPr>
        <w:t xml:space="preserve">1,079 </w:t>
      </w:r>
      <w:r>
        <w:rPr>
          <w:color w:val="000000"/>
          <w:spacing w:val="0"/>
          <w:w w:val="100"/>
          <w:position w:val="0"/>
          <w:shd w:val="clear" w:color="auto" w:fill="auto"/>
          <w:lang w:val="en-US" w:eastAsia="en-US" w:bidi="en-US"/>
        </w:rPr>
        <w:t xml:space="preserve">mil. lei. Tipografia intreprinderii, desi reprezenta o sursa generatoare de venit, nu a functionat in perioada auditata si nu a produs beneficii economice, fiind suportate cheltuieli de intretinere a acesteia in suma totala de </w:t>
      </w:r>
      <w:r>
        <w:rPr>
          <w:color w:val="000000"/>
          <w:spacing w:val="0"/>
          <w:w w:val="100"/>
          <w:position w:val="0"/>
          <w:shd w:val="clear" w:color="auto" w:fill="auto"/>
          <w:lang w:val="ru-RU" w:eastAsia="ru-RU" w:bidi="ru-RU"/>
        </w:rPr>
        <w:t xml:space="preserve">1135,2 </w:t>
      </w:r>
      <w:r>
        <w:rPr>
          <w:color w:val="000000"/>
          <w:spacing w:val="0"/>
          <w:w w:val="100"/>
          <w:position w:val="0"/>
          <w:shd w:val="clear" w:color="auto" w:fill="auto"/>
          <w:lang w:val="en-US" w:eastAsia="en-US" w:bidi="en-US"/>
        </w:rPr>
        <w:t xml:space="preserve">mii lei. Cei </w:t>
      </w:r>
      <w:r>
        <w:rPr>
          <w:color w:val="000000"/>
          <w:spacing w:val="0"/>
          <w:w w:val="100"/>
          <w:position w:val="0"/>
          <w:shd w:val="clear" w:color="auto" w:fill="auto"/>
          <w:lang w:val="ru-RU" w:eastAsia="ru-RU" w:bidi="ru-RU"/>
        </w:rPr>
        <w:t xml:space="preserve">47307,58 </w:t>
      </w:r>
      <w:r>
        <w:rPr>
          <w:color w:val="000000"/>
          <w:spacing w:val="0"/>
          <w:w w:val="100"/>
          <w:position w:val="0"/>
          <w:shd w:val="clear" w:color="auto" w:fill="auto"/>
          <w:lang w:val="en-US" w:eastAsia="en-US" w:bidi="en-US"/>
        </w:rPr>
        <w:t>m</w:t>
      </w:r>
      <w:r>
        <w:rPr>
          <w:color w:val="000000"/>
          <w:spacing w:val="0"/>
          <w:w w:val="100"/>
          <w:position w:val="0"/>
          <w:shd w:val="clear" w:color="auto" w:fill="auto"/>
          <w:vertAlign w:val="superscript"/>
          <w:lang w:val="en-US" w:eastAsia="en-US" w:bidi="en-US"/>
        </w:rPr>
        <w:t>2</w:t>
      </w:r>
      <w:r>
        <w:rPr>
          <w:color w:val="000000"/>
          <w:spacing w:val="0"/>
          <w:w w:val="100"/>
          <w:position w:val="0"/>
          <w:shd w:val="clear" w:color="auto" w:fill="auto"/>
          <w:lang w:val="en-US" w:eastAsia="en-US" w:bidi="en-US"/>
        </w:rPr>
        <w:t xml:space="preserve"> de spatii libere neutilizate in perioada </w:t>
      </w:r>
      <w:r>
        <w:rPr>
          <w:color w:val="000000"/>
          <w:spacing w:val="0"/>
          <w:w w:val="100"/>
          <w:position w:val="0"/>
          <w:shd w:val="clear" w:color="auto" w:fill="auto"/>
          <w:lang w:val="ru-RU" w:eastAsia="ru-RU" w:bidi="ru-RU"/>
        </w:rPr>
        <w:t xml:space="preserve">2018 - 2019 </w:t>
      </w:r>
      <w:r>
        <w:rPr>
          <w:color w:val="000000"/>
          <w:spacing w:val="0"/>
          <w:w w:val="100"/>
          <w:position w:val="0"/>
          <w:shd w:val="clear" w:color="auto" w:fill="auto"/>
          <w:lang w:val="en-US" w:eastAsia="en-US" w:bidi="en-US"/>
        </w:rPr>
        <w:t xml:space="preserve">au generat cheltuieli de intretinere curenta in suma totala de </w:t>
      </w:r>
      <w:r>
        <w:rPr>
          <w:color w:val="000000"/>
          <w:spacing w:val="0"/>
          <w:w w:val="100"/>
          <w:position w:val="0"/>
          <w:shd w:val="clear" w:color="auto" w:fill="auto"/>
          <w:lang w:val="ru-RU" w:eastAsia="ru-RU" w:bidi="ru-RU"/>
        </w:rPr>
        <w:t xml:space="preserve">4,728 </w:t>
      </w:r>
      <w:r>
        <w:rPr>
          <w:color w:val="000000"/>
          <w:spacing w:val="0"/>
          <w:w w:val="100"/>
          <w:position w:val="0"/>
          <w:shd w:val="clear" w:color="auto" w:fill="auto"/>
          <w:lang w:val="en-US" w:eastAsia="en-US" w:bidi="en-US"/>
        </w:rPr>
        <w:t>mil. lei, nefiind obtinute posibile beneficii economice. Ca urmare a probelor colectate de audit s-a constatat ca, din cauza lipsei unei:</w:t>
        <w:tab/>
      </w:r>
      <w:r>
        <w:rPr>
          <w:color w:val="000000"/>
          <w:spacing w:val="0"/>
          <w:w w:val="100"/>
          <w:position w:val="0"/>
          <w:shd w:val="clear" w:color="auto" w:fill="auto"/>
          <w:lang w:val="ru-RU" w:eastAsia="ru-RU" w:bidi="ru-RU"/>
        </w:rPr>
        <w:t xml:space="preserve">1) </w:t>
      </w:r>
      <w:r>
        <w:rPr>
          <w:color w:val="000000"/>
          <w:spacing w:val="0"/>
          <w:w w:val="100"/>
          <w:position w:val="0"/>
          <w:shd w:val="clear" w:color="auto" w:fill="auto"/>
          <w:lang w:val="en-US" w:eastAsia="en-US" w:bidi="en-US"/>
        </w:rPr>
        <w:t xml:space="preserve">inventarieri regulamentare si exhaustive, </w:t>
      </w:r>
      <w:r>
        <w:rPr>
          <w:color w:val="000000"/>
          <w:spacing w:val="0"/>
          <w:w w:val="100"/>
          <w:position w:val="0"/>
          <w:shd w:val="clear" w:color="auto" w:fill="auto"/>
          <w:lang w:val="ru-RU" w:eastAsia="ru-RU" w:bidi="ru-RU"/>
        </w:rPr>
        <w:t xml:space="preserve">2) </w:t>
      </w:r>
      <w:r>
        <w:rPr>
          <w:color w:val="000000"/>
          <w:spacing w:val="0"/>
          <w:w w:val="100"/>
          <w:position w:val="0"/>
          <w:shd w:val="clear" w:color="auto" w:fill="auto"/>
          <w:lang w:val="en-US" w:eastAsia="en-US" w:bidi="en-US"/>
        </w:rPr>
        <w:t>scheme clare de</w:t>
      </w:r>
    </w:p>
    <w:p>
      <w:pPr>
        <w:pStyle w:val="Style17"/>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 xml:space="preserve">subsidiere/sustinere a investitiilor in reparatiile curent/capitale, sau </w:t>
      </w:r>
      <w:r>
        <w:rPr>
          <w:color w:val="000000"/>
          <w:spacing w:val="0"/>
          <w:w w:val="100"/>
          <w:position w:val="0"/>
          <w:shd w:val="clear" w:color="auto" w:fill="auto"/>
          <w:lang w:val="ru-RU" w:eastAsia="ru-RU" w:bidi="ru-RU"/>
        </w:rPr>
        <w:t xml:space="preserve">3) </w:t>
      </w:r>
      <w:r>
        <w:rPr>
          <w:color w:val="000000"/>
          <w:spacing w:val="0"/>
          <w:w w:val="100"/>
          <w:position w:val="0"/>
          <w:shd w:val="clear" w:color="auto" w:fill="auto"/>
          <w:lang w:val="en-US" w:eastAsia="en-US" w:bidi="en-US"/>
        </w:rPr>
        <w:t>planului de afaceri axat pe obtinerea beneficiilor din activitatea cu activele neutilizate, o parte din bunurile</w:t>
      </w:r>
    </w:p>
    <w:p>
      <w:pPr>
        <w:pStyle w:val="Style17"/>
        <w:keepNext w:val="0"/>
        <w:keepLines w:val="0"/>
        <w:widowControl w:val="0"/>
        <w:shd w:val="clear" w:color="auto" w:fill="auto"/>
        <w:tabs>
          <w:tab w:pos="510" w:val="left"/>
        </w:tabs>
        <w:bidi w:val="0"/>
        <w:spacing w:before="0" w:after="0" w:line="240" w:lineRule="auto"/>
        <w:ind w:left="0" w:right="0" w:firstLine="0"/>
        <w:jc w:val="both"/>
      </w:pPr>
      <w:r>
        <w:rPr>
          <w:color w:val="000000"/>
          <w:spacing w:val="0"/>
          <w:w w:val="100"/>
          <w:position w:val="0"/>
          <w:shd w:val="clear" w:color="auto" w:fill="auto"/>
          <w:lang w:val="en-US" w:eastAsia="en-US" w:bidi="en-US"/>
        </w:rPr>
        <w:t>I.S.</w:t>
        <w:tab/>
        <w:t xml:space="preserve">„CFM” (cca </w:t>
      </w:r>
      <w:r>
        <w:rPr>
          <w:color w:val="000000"/>
          <w:spacing w:val="0"/>
          <w:w w:val="100"/>
          <w:position w:val="0"/>
          <w:shd w:val="clear" w:color="auto" w:fill="auto"/>
          <w:lang w:val="ru-RU" w:eastAsia="ru-RU" w:bidi="ru-RU"/>
        </w:rPr>
        <w:t xml:space="preserve">477 </w:t>
      </w:r>
      <w:r>
        <w:rPr>
          <w:color w:val="000000"/>
          <w:spacing w:val="0"/>
          <w:w w:val="100"/>
          <w:position w:val="0"/>
          <w:shd w:val="clear" w:color="auto" w:fill="auto"/>
          <w:lang w:val="en-US" w:eastAsia="en-US" w:bidi="en-US"/>
        </w:rPr>
        <w:t xml:space="preserve">mijloace fixe la valoarea de bilant de </w:t>
      </w:r>
      <w:r>
        <w:rPr>
          <w:color w:val="000000"/>
          <w:spacing w:val="0"/>
          <w:w w:val="100"/>
          <w:position w:val="0"/>
          <w:shd w:val="clear" w:color="auto" w:fill="auto"/>
          <w:lang w:val="ru-RU" w:eastAsia="ru-RU" w:bidi="ru-RU"/>
        </w:rPr>
        <w:t xml:space="preserve">10,935 </w:t>
      </w:r>
      <w:r>
        <w:rPr>
          <w:color w:val="000000"/>
          <w:spacing w:val="0"/>
          <w:w w:val="100"/>
          <w:position w:val="0"/>
          <w:shd w:val="clear" w:color="auto" w:fill="auto"/>
          <w:lang w:val="en-US" w:eastAsia="en-US" w:bidi="en-US"/>
        </w:rPr>
        <w:t xml:space="preserve">mil. lei), raportate la mijloace fixe, contrar spiritului legal de gestiune nu produc beneficii economice si se afla intr-un continuu proces de uzare si degradare, fapt care poate genera pierderea irecuperabila a unor elemente importante din cadrul patrimoniului statului. </w:t>
      </w:r>
      <w:r>
        <w:rPr>
          <w:color w:val="000000"/>
          <w:spacing w:val="0"/>
          <w:w w:val="100"/>
          <w:position w:val="0"/>
          <w:shd w:val="clear" w:color="auto" w:fill="auto"/>
          <w:vertAlign w:val="superscript"/>
          <w:lang w:val="ru-RU" w:eastAsia="ru-RU" w:bidi="ru-RU"/>
        </w:rPr>
        <w:footnoteReference w:id="18"/>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Auditul a constatat repetat ca baza de odihna „Garoafa rosie” aflata pe teritoriul Ucrainei, or. Zatoka, a fost administrata contrar spiritului legal de buna gestiune. Astfel, intreprinderea nu detine informatii reale la momentul actual despre starea si existenta fizica a bunurilor aferente bazei de odihna „Garoafa rosie” de pe teritoriul Ucrainei, or. Zatoka, dat fiind ca inventarierea acestora nu a fost efectuata in ultimii zece ani consecutivi.</w:t>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 xml:space="preserve">Probele colectate de audit denota ca, din cauza contabilizarii necorespunzatoare a fondului locativ transmis si privatizat de mai multi ani de catre actualii sau fostii salariati ai intreprinderii, acesta a fost raportat in situatiile financiare neconform, ca investitii imobiliare detinute si controlate de I.S. „CFM” pentru a fi oferite in leasing operational sau in vederea cresterii in timp a valorii bunurilor. Mentinerea in evidenta contabila a bunurilor imobile mentionate anterior, privatizate si necontrolate de intreprindere, precum si netransmiterea conforma a acestora au conditionat majorarea neintemeiata a activelor I.S. „CFM” si asumarea tuturor angajamentelor de cheltuieli si a responsabilitatilor de gestionare si intretinere. Totodata, a fost atestat ca pastrarea responsabilitatilor de gestionare a fondului locativ privatizat a generat acoperirea din contul I.S. „CFM”, pana la sfarsitul anului </w:t>
      </w:r>
      <w:r>
        <w:rPr>
          <w:color w:val="000000"/>
          <w:spacing w:val="0"/>
          <w:w w:val="100"/>
          <w:position w:val="0"/>
          <w:shd w:val="clear" w:color="auto" w:fill="auto"/>
          <w:lang w:val="ru-RU" w:eastAsia="ru-RU" w:bidi="ru-RU"/>
        </w:rPr>
        <w:t xml:space="preserve">2019, </w:t>
      </w:r>
      <w:r>
        <w:rPr>
          <w:color w:val="000000"/>
          <w:spacing w:val="0"/>
          <w:w w:val="100"/>
          <w:position w:val="0"/>
          <w:shd w:val="clear" w:color="auto" w:fill="auto"/>
          <w:lang w:val="en-US" w:eastAsia="en-US" w:bidi="en-US"/>
        </w:rPr>
        <w:t xml:space="preserve">a unor datorii ale locatarilor la serviciile comunale (apa, canalizare, energie electrica si termica etc.), in suma totala de </w:t>
      </w:r>
      <w:r>
        <w:rPr>
          <w:color w:val="000000"/>
          <w:spacing w:val="0"/>
          <w:w w:val="100"/>
          <w:position w:val="0"/>
          <w:shd w:val="clear" w:color="auto" w:fill="auto"/>
          <w:lang w:val="ru-RU" w:eastAsia="ru-RU" w:bidi="ru-RU"/>
        </w:rPr>
        <w:t xml:space="preserve">5,801 </w:t>
      </w:r>
      <w:r>
        <w:rPr>
          <w:color w:val="000000"/>
          <w:spacing w:val="0"/>
          <w:w w:val="100"/>
          <w:position w:val="0"/>
          <w:shd w:val="clear" w:color="auto" w:fill="auto"/>
          <w:lang w:val="en-US" w:eastAsia="en-US" w:bidi="en-US"/>
        </w:rPr>
        <w:t>mil. lei, care nu au fost stinse pana in prezent.</w:t>
      </w:r>
      <w:r>
        <w:rPr>
          <w:color w:val="000000"/>
          <w:spacing w:val="0"/>
          <w:w w:val="100"/>
          <w:position w:val="0"/>
          <w:shd w:val="clear" w:color="auto" w:fill="auto"/>
          <w:vertAlign w:val="superscript"/>
          <w:lang w:val="en-US" w:eastAsia="en-US" w:bidi="en-US"/>
        </w:rPr>
        <w:footnoteReference w:id="19"/>
      </w:r>
    </w:p>
    <w:p>
      <w:pPr>
        <w:pStyle w:val="Style17"/>
        <w:keepNext w:val="0"/>
        <w:keepLines w:val="0"/>
        <w:widowControl w:val="0"/>
        <w:numPr>
          <w:ilvl w:val="0"/>
          <w:numId w:val="19"/>
        </w:numPr>
        <w:shd w:val="clear" w:color="auto" w:fill="auto"/>
        <w:tabs>
          <w:tab w:pos="1030" w:val="left"/>
        </w:tabs>
        <w:bidi w:val="0"/>
        <w:spacing w:before="0" w:after="0" w:line="240" w:lineRule="auto"/>
        <w:ind w:left="0" w:right="0" w:firstLine="660"/>
        <w:jc w:val="both"/>
      </w:pPr>
      <w:r>
        <w:rPr>
          <w:b/>
          <w:bCs/>
          <w:color w:val="000000"/>
          <w:spacing w:val="0"/>
          <w:w w:val="100"/>
          <w:position w:val="0"/>
          <w:shd w:val="clear" w:color="auto" w:fill="auto"/>
          <w:lang w:val="en-US" w:eastAsia="en-US" w:bidi="en-US"/>
        </w:rPr>
        <w:t>Contracte dubioase</w:t>
      </w:r>
    </w:p>
    <w:p>
      <w:pPr>
        <w:pStyle w:val="Style15"/>
        <w:keepNext/>
        <w:keepLines/>
        <w:widowControl w:val="0"/>
        <w:numPr>
          <w:ilvl w:val="0"/>
          <w:numId w:val="25"/>
        </w:numPr>
        <w:shd w:val="clear" w:color="auto" w:fill="auto"/>
        <w:tabs>
          <w:tab w:pos="952" w:val="left"/>
        </w:tabs>
        <w:bidi w:val="0"/>
        <w:spacing w:before="0" w:after="0" w:line="240" w:lineRule="auto"/>
        <w:ind w:left="0" w:right="0"/>
        <w:jc w:val="both"/>
      </w:pPr>
      <w:bookmarkStart w:id="44" w:name="bookmark44"/>
      <w:bookmarkStart w:id="45" w:name="bookmark45"/>
      <w:r>
        <w:rPr>
          <w:color w:val="000000"/>
          <w:spacing w:val="0"/>
          <w:w w:val="100"/>
          <w:position w:val="0"/>
          <w:shd w:val="clear" w:color="auto" w:fill="auto"/>
          <w:lang w:val="en-US" w:eastAsia="en-US" w:bidi="en-US"/>
        </w:rPr>
        <w:t>Contracte privind amenajarea intersectiilor la nivel cu drumurile publice incheiate cu SRL „Justar Tehno”, SRL „Demid Com” si SRO „ADOTEL - HEX”</w:t>
      </w:r>
      <w:bookmarkEnd w:id="44"/>
      <w:bookmarkEnd w:id="45"/>
    </w:p>
    <w:p>
      <w:pPr>
        <w:pStyle w:val="Style17"/>
        <w:keepNext w:val="0"/>
        <w:keepLines w:val="0"/>
        <w:widowControl w:val="0"/>
        <w:shd w:val="clear" w:color="auto" w:fill="auto"/>
        <w:tabs>
          <w:tab w:pos="6518" w:val="left"/>
        </w:tabs>
        <w:bidi w:val="0"/>
        <w:spacing w:before="0" w:after="0" w:line="240" w:lineRule="auto"/>
        <w:ind w:left="0" w:right="0" w:firstLine="660"/>
        <w:jc w:val="both"/>
      </w:pPr>
      <w:r>
        <w:rPr>
          <w:color w:val="000000"/>
          <w:spacing w:val="0"/>
          <w:w w:val="100"/>
          <w:position w:val="0"/>
          <w:shd w:val="clear" w:color="auto" w:fill="auto"/>
          <w:lang w:val="en-US" w:eastAsia="en-US" w:bidi="en-US"/>
        </w:rPr>
        <w:t>In anul 2013, pentru amenajarea intersectiilor la nivel cu drumurile publice, din mijloacele fondului rutier, I.S. „CFM” i-au fost alocate 20 mil. lei. Valoarea alocatiei a fost determinata reiesind din costul estimativ apreciat de reprezentantul I.S. „CFM”, ca fiind necesara pentru lucrarile de modernizare a 20 puncte rutiere de trecere cu calea ferata si instalarea barierelor automate, (procesul-verbal al sedintei fondului rutier din 03.12.2012)</w:t>
      </w:r>
      <w:r>
        <w:rPr>
          <w:color w:val="000000"/>
          <w:spacing w:val="0"/>
          <w:w w:val="100"/>
          <w:position w:val="0"/>
          <w:shd w:val="clear" w:color="auto" w:fill="auto"/>
          <w:vertAlign w:val="superscript"/>
          <w:lang w:val="en-US" w:eastAsia="en-US" w:bidi="en-US"/>
        </w:rPr>
        <w:footnoteReference w:id="20"/>
      </w:r>
      <w:r>
        <w:rPr>
          <w:color w:val="000000"/>
          <w:spacing w:val="0"/>
          <w:w w:val="100"/>
          <w:position w:val="0"/>
          <w:shd w:val="clear" w:color="auto" w:fill="auto"/>
          <w:lang w:val="en-US" w:eastAsia="en-US" w:bidi="en-US"/>
        </w:rPr>
        <w:t>.</w:t>
        <w:tab/>
        <w:t>’ ’</w:t>
      </w:r>
    </w:p>
    <w:p>
      <w:pPr>
        <w:pStyle w:val="Style15"/>
        <w:keepNext/>
        <w:keepLines/>
        <w:widowControl w:val="0"/>
        <w:numPr>
          <w:ilvl w:val="1"/>
          <w:numId w:val="25"/>
        </w:numPr>
        <w:shd w:val="clear" w:color="auto" w:fill="auto"/>
        <w:tabs>
          <w:tab w:pos="1179" w:val="left"/>
        </w:tabs>
        <w:bidi w:val="0"/>
        <w:spacing w:before="0" w:after="0" w:line="240" w:lineRule="auto"/>
        <w:ind w:left="0" w:right="0"/>
        <w:jc w:val="both"/>
      </w:pPr>
      <w:bookmarkStart w:id="46" w:name="bookmark46"/>
      <w:bookmarkStart w:id="47" w:name="bookmark47"/>
      <w:r>
        <w:rPr>
          <w:color w:val="000000"/>
          <w:spacing w:val="0"/>
          <w:w w:val="100"/>
          <w:position w:val="0"/>
          <w:shd w:val="clear" w:color="auto" w:fill="auto"/>
          <w:lang w:val="en-US" w:eastAsia="en-US" w:bidi="en-US"/>
        </w:rPr>
        <w:t>Contractul incheiat cu SRL „Justar Tehno”</w:t>
      </w:r>
      <w:bookmarkEnd w:id="46"/>
      <w:bookmarkEnd w:id="47"/>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La data de 17.05.2013 I.S. „CFM” a incheiat contract cu SRL „Justar Tehno” privind achizitionarea si instalarea sistemelor de supraveghere video la 20 de intersectii ale caii ferate la nivel cu drumurile publice. Suma totala a contractului fiind de 567,4 mii lei inclusiv TVA. I.S. „CFM” a transferat SRL „Justar Tehno” 1a 26.06.2013 suma de 170,2 mii lei, ce constituie 30% plata in avans conform pct. 3.4 al contractului.</w:t>
      </w:r>
      <w:r>
        <w:rPr>
          <w:color w:val="000000"/>
          <w:spacing w:val="0"/>
          <w:w w:val="100"/>
          <w:position w:val="0"/>
          <w:shd w:val="clear" w:color="auto" w:fill="auto"/>
          <w:vertAlign w:val="superscript"/>
          <w:lang w:val="en-US" w:eastAsia="en-US" w:bidi="en-US"/>
        </w:rPr>
        <w:footnoteReference w:id="21"/>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In cadrul inspectarii financiare din 08.11.2019 nu au fost prezentate documente contabile, care ar confirma executarea lucrarilor de catre catre „Justar - Tehno” SRL in suma de 279,7 mii lei.</w:t>
      </w:r>
    </w:p>
    <w:p>
      <w:pPr>
        <w:pStyle w:val="Style15"/>
        <w:keepNext/>
        <w:keepLines/>
        <w:widowControl w:val="0"/>
        <w:numPr>
          <w:ilvl w:val="1"/>
          <w:numId w:val="25"/>
        </w:numPr>
        <w:shd w:val="clear" w:color="auto" w:fill="auto"/>
        <w:tabs>
          <w:tab w:pos="1179" w:val="left"/>
        </w:tabs>
        <w:bidi w:val="0"/>
        <w:spacing w:before="0" w:after="0" w:line="240" w:lineRule="auto"/>
        <w:ind w:left="0" w:right="0"/>
        <w:jc w:val="both"/>
      </w:pPr>
      <w:bookmarkStart w:id="48" w:name="bookmark48"/>
      <w:bookmarkStart w:id="49" w:name="bookmark49"/>
      <w:r>
        <w:rPr>
          <w:color w:val="000000"/>
          <w:spacing w:val="0"/>
          <w:w w:val="100"/>
          <w:position w:val="0"/>
          <w:shd w:val="clear" w:color="auto" w:fill="auto"/>
          <w:lang w:val="en-US" w:eastAsia="en-US" w:bidi="en-US"/>
        </w:rPr>
        <w:t>Contractele incheiate cu SRL „Demid Com” si SRO „ADOTEL - HEX”</w:t>
      </w:r>
      <w:bookmarkEnd w:id="48"/>
      <w:bookmarkEnd w:id="49"/>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Pentru contractarea lucrarilor de modernizare a punctelor rutiere de trecere cu calea ferata si instalarea barierelor automate, in lipsa suportului financiar, la data de 17.10.2014</w:t>
      </w:r>
    </w:p>
    <w:p>
      <w:pPr>
        <w:pStyle w:val="Style17"/>
        <w:keepNext w:val="0"/>
        <w:keepLines w:val="0"/>
        <w:widowControl w:val="0"/>
        <w:shd w:val="clear" w:color="auto" w:fill="auto"/>
        <w:tabs>
          <w:tab w:pos="505" w:val="left"/>
        </w:tabs>
        <w:bidi w:val="0"/>
        <w:spacing w:before="0" w:after="0" w:line="240" w:lineRule="auto"/>
        <w:ind w:left="0" w:right="0" w:firstLine="0"/>
        <w:jc w:val="both"/>
      </w:pPr>
      <w:r>
        <w:rPr>
          <w:color w:val="000000"/>
          <w:spacing w:val="0"/>
          <w:w w:val="100"/>
          <w:position w:val="0"/>
          <w:shd w:val="clear" w:color="auto" w:fill="auto"/>
          <w:lang w:val="en-US" w:eastAsia="en-US" w:bidi="en-US"/>
        </w:rPr>
        <w:t>I.S.</w:t>
        <w:tab/>
        <w:t>„CFM” a incheiat contractul de antrepriza cu SRL „Demid Com” in suma de 67,536 mil. lei, depasind alocatiile garantate cu 47,536 mil. lei. SRL „Demid Com” in calitate de antreprenor general a fost unicul participant desemnat castigator la data de 22.09.2014. Conform clauzelor contractului subantreprenor (producator) pentru livrarea utilajului a fost contractat agentul economic SRO „ADOTEL - HEX”, cu sediul in Slovacia. Intru asigurarea acoperirii financiare a lucrarilor de modernizare a punctelor rutiere de trecere cu calea ferata si instalarea barierelor automate fara personal de serviciu, I.S. „CFM” a contractat la data de 11.03.2015 un credit bancar de la BC „Victoriabank” SA in suma de 2,0 mil. euro</w:t>
      </w:r>
      <w:r>
        <w:rPr>
          <w:color w:val="000000"/>
          <w:spacing w:val="0"/>
          <w:w w:val="100"/>
          <w:position w:val="0"/>
          <w:shd w:val="clear" w:color="auto" w:fill="auto"/>
          <w:vertAlign w:val="superscript"/>
          <w:lang w:val="en-US" w:eastAsia="en-US" w:bidi="en-US"/>
        </w:rPr>
        <w:footnoteReference w:id="22"/>
      </w:r>
      <w:r>
        <w:rPr>
          <w:color w:val="000000"/>
          <w:spacing w:val="0"/>
          <w:w w:val="100"/>
          <w:position w:val="0"/>
          <w:shd w:val="clear" w:color="auto" w:fill="auto"/>
          <w:lang w:val="en-US" w:eastAsia="en-US" w:bidi="en-US"/>
        </w:rPr>
        <w:t>.</w:t>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In perioada 01.01.2016 - 30.06.2019, au fost suportate cheltuieli suplimentare pentru achitarea dobanzii de 7,5% anual la creditul contractat in suma de 3,476 mil. lei, acestea influentand negativ asupra situatiei economico-financiare a I.S. „CFM”.</w:t>
      </w:r>
      <w:r>
        <w:rPr>
          <w:color w:val="000000"/>
          <w:spacing w:val="0"/>
          <w:w w:val="100"/>
          <w:position w:val="0"/>
          <w:shd w:val="clear" w:color="auto" w:fill="auto"/>
          <w:vertAlign w:val="superscript"/>
          <w:lang w:val="en-US" w:eastAsia="en-US" w:bidi="en-US"/>
        </w:rPr>
        <w:footnoteReference w:id="23"/>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Mai mult ca atat, din creditul contractat, la data de 21.05.2015, I.S. „CFM” a transferat subantreprenorului SRO „ADOTEL - HEX” suma de 13,317 mil. lei, pentru echipament tehnologic, care pana la momentul inspectarii nu a fost livrat catre I.S. „CFM”. De asemenea, in perioada 21.05.2015-14.08.2015, din mijloacele alocate din fondul rutier,</w:t>
      </w:r>
    </w:p>
    <w:p>
      <w:pPr>
        <w:pStyle w:val="Style17"/>
        <w:keepNext w:val="0"/>
        <w:keepLines w:val="0"/>
        <w:widowControl w:val="0"/>
        <w:shd w:val="clear" w:color="auto" w:fill="auto"/>
        <w:tabs>
          <w:tab w:pos="500" w:val="left"/>
        </w:tabs>
        <w:bidi w:val="0"/>
        <w:spacing w:before="0" w:after="0" w:line="240" w:lineRule="auto"/>
        <w:ind w:left="0" w:right="0" w:firstLine="0"/>
        <w:jc w:val="both"/>
      </w:pPr>
      <w:r>
        <w:rPr>
          <w:color w:val="000000"/>
          <w:spacing w:val="0"/>
          <w:w w:val="100"/>
          <w:position w:val="0"/>
          <w:shd w:val="clear" w:color="auto" w:fill="auto"/>
          <w:lang w:val="en-US" w:eastAsia="en-US" w:bidi="en-US"/>
        </w:rPr>
        <w:t>I.S.</w:t>
        <w:tab/>
        <w:t>„CFM” a transferat in avans catre SRL „Demid Com” suma de 8,278 mil. lei, pentru executarea lucrarilor de manopera prevazute in contract.</w:t>
      </w:r>
      <w:r>
        <w:rPr>
          <w:color w:val="000000"/>
          <w:spacing w:val="0"/>
          <w:w w:val="100"/>
          <w:position w:val="0"/>
          <w:shd w:val="clear" w:color="auto" w:fill="auto"/>
          <w:vertAlign w:val="superscript"/>
          <w:lang w:val="en-US" w:eastAsia="en-US" w:bidi="en-US"/>
        </w:rPr>
        <w:footnoteReference w:id="24"/>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De mentionat ca din creditul contractat, la data de 21.05.2015, I.S. „CFM” a transferat SRO „ADOTEL - HEX” cu sediul in Slovacia pentru livrarea echipamentului tehnologic suma de 678 096 Euro sau 13,317 mil. lei, dar pana la momentul inspectarii financiare echipamentul nu a fost primit. De asemenea, in cadrul inspectarii financiare din 08.11.2019 nu au fost prezentate documente contabile care ar confirma executarea lucrarilor de catre „Demid - Com” SRL in suma de 8,278 mil. lei.</w:t>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 xml:space="preserve">In concluzie, Inspectia constata caracterul </w:t>
      </w:r>
      <w:r>
        <w:rPr>
          <w:i/>
          <w:iCs/>
          <w:color w:val="000000"/>
          <w:spacing w:val="0"/>
          <w:w w:val="100"/>
          <w:position w:val="0"/>
          <w:shd w:val="clear" w:color="auto" w:fill="auto"/>
          <w:lang w:val="en-US" w:eastAsia="en-US" w:bidi="en-US"/>
        </w:rPr>
        <w:t>dubios</w:t>
      </w:r>
      <w:r>
        <w:rPr>
          <w:color w:val="000000"/>
          <w:spacing w:val="0"/>
          <w:w w:val="100"/>
          <w:position w:val="0"/>
          <w:shd w:val="clear" w:color="auto" w:fill="auto"/>
          <w:lang w:val="en-US" w:eastAsia="en-US" w:bidi="en-US"/>
        </w:rPr>
        <w:t xml:space="preserve"> al administrarii resurselor financiare alocate pentru amenajarea intersectiilor la nivel cu calea ferata, tendinta de gestionare frauduloasa, care implica cheltuieli nejustificate documentar ceea ce contravine legislatiei in vigoare, principiului economicitatii si transparentei utilizarii banilor publici cat si ai resurselor financiare proprii.</w:t>
      </w:r>
      <w:r>
        <w:rPr>
          <w:color w:val="000000"/>
          <w:spacing w:val="0"/>
          <w:w w:val="100"/>
          <w:position w:val="0"/>
          <w:shd w:val="clear" w:color="auto" w:fill="auto"/>
          <w:vertAlign w:val="superscript"/>
          <w:lang w:val="en-US" w:eastAsia="en-US" w:bidi="en-US"/>
        </w:rPr>
        <w:footnoteReference w:id="25"/>
      </w:r>
    </w:p>
    <w:p>
      <w:pPr>
        <w:pStyle w:val="Style15"/>
        <w:keepNext/>
        <w:keepLines/>
        <w:widowControl w:val="0"/>
        <w:numPr>
          <w:ilvl w:val="0"/>
          <w:numId w:val="25"/>
        </w:numPr>
        <w:shd w:val="clear" w:color="auto" w:fill="auto"/>
        <w:tabs>
          <w:tab w:pos="961" w:val="left"/>
        </w:tabs>
        <w:bidi w:val="0"/>
        <w:spacing w:before="0" w:after="0" w:line="240" w:lineRule="auto"/>
        <w:ind w:left="0" w:right="0"/>
        <w:jc w:val="both"/>
        <w:sectPr>
          <w:headerReference w:type="default" r:id="rId22"/>
          <w:footerReference w:type="default" r:id="rId23"/>
          <w:headerReference w:type="first" r:id="rId24"/>
          <w:footerReference w:type="first" r:id="rId25"/>
          <w:footnotePr>
            <w:pos w:val="pageBottom"/>
            <w:numFmt w:val="decimal"/>
            <w:numStart w:val="8"/>
            <w:numRestart w:val="continuous"/>
            <w15:footnoteColumns w:val="1"/>
          </w:footnotePr>
          <w:pgSz w:w="11900" w:h="16840"/>
          <w:pgMar w:top="578" w:left="1162" w:right="457" w:bottom="823" w:header="0" w:footer="3" w:gutter="0"/>
          <w:cols w:space="720"/>
          <w:noEndnote/>
          <w:titlePg/>
          <w:rtlGutter w:val="0"/>
          <w:docGrid w:linePitch="360"/>
        </w:sectPr>
      </w:pPr>
      <w:bookmarkStart w:id="50" w:name="bookmark50"/>
      <w:bookmarkStart w:id="51" w:name="bookmark51"/>
      <w:r>
        <w:rPr>
          <w:color w:val="000000"/>
          <w:spacing w:val="0"/>
          <w:w w:val="100"/>
          <w:position w:val="0"/>
          <w:shd w:val="clear" w:color="auto" w:fill="auto"/>
          <w:lang w:val="en-US" w:eastAsia="en-US" w:bidi="en-US"/>
        </w:rPr>
        <w:t>Contractul de reconstruct si modernizare a parcului de locomotive incheiat cu S.C. „Remar” S.A.</w:t>
      </w:r>
      <w:bookmarkEnd w:id="50"/>
      <w:bookmarkEnd w:id="51"/>
    </w:p>
    <w:p>
      <w:pPr>
        <w:pStyle w:val="Style1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 xml:space="preserve">Pentru lucrarile de reconstructie si modernizare a </w:t>
      </w:r>
      <w:r>
        <w:rPr>
          <w:color w:val="000000"/>
          <w:spacing w:val="0"/>
          <w:w w:val="100"/>
          <w:position w:val="0"/>
          <w:shd w:val="clear" w:color="auto" w:fill="auto"/>
          <w:lang w:val="ru-RU" w:eastAsia="ru-RU" w:bidi="ru-RU"/>
        </w:rPr>
        <w:t xml:space="preserve">5 </w:t>
      </w:r>
      <w:r>
        <w:rPr>
          <w:color w:val="000000"/>
          <w:spacing w:val="0"/>
          <w:w w:val="100"/>
          <w:position w:val="0"/>
          <w:shd w:val="clear" w:color="auto" w:fill="auto"/>
          <w:lang w:val="en-US" w:eastAsia="en-US" w:bidi="en-US"/>
        </w:rPr>
        <w:t xml:space="preserve">trenuri diesel D1 (trenul compus din </w:t>
      </w:r>
      <w:r>
        <w:rPr>
          <w:color w:val="000000"/>
          <w:spacing w:val="0"/>
          <w:w w:val="100"/>
          <w:position w:val="0"/>
          <w:shd w:val="clear" w:color="auto" w:fill="auto"/>
          <w:lang w:val="ru-RU" w:eastAsia="ru-RU" w:bidi="ru-RU"/>
        </w:rPr>
        <w:t xml:space="preserve">2 </w:t>
      </w:r>
      <w:r>
        <w:rPr>
          <w:color w:val="000000"/>
          <w:spacing w:val="0"/>
          <w:w w:val="100"/>
          <w:position w:val="0"/>
          <w:shd w:val="clear" w:color="auto" w:fill="auto"/>
          <w:lang w:val="en-US" w:eastAsia="en-US" w:bidi="en-US"/>
        </w:rPr>
        <w:t xml:space="preserve">vagoane motoare si </w:t>
      </w:r>
      <w:r>
        <w:rPr>
          <w:color w:val="000000"/>
          <w:spacing w:val="0"/>
          <w:w w:val="100"/>
          <w:position w:val="0"/>
          <w:shd w:val="clear" w:color="auto" w:fill="auto"/>
          <w:lang w:val="ru-RU" w:eastAsia="ru-RU" w:bidi="ru-RU"/>
        </w:rPr>
        <w:t xml:space="preserve">2 </w:t>
      </w:r>
      <w:r>
        <w:rPr>
          <w:color w:val="000000"/>
          <w:spacing w:val="0"/>
          <w:w w:val="100"/>
          <w:position w:val="0"/>
          <w:shd w:val="clear" w:color="auto" w:fill="auto"/>
          <w:lang w:val="en-US" w:eastAsia="en-US" w:bidi="en-US"/>
        </w:rPr>
        <w:t xml:space="preserve">vagoane remorca) executate in perioada anilor </w:t>
      </w:r>
      <w:r>
        <w:rPr>
          <w:color w:val="000000"/>
          <w:spacing w:val="0"/>
          <w:w w:val="100"/>
          <w:position w:val="0"/>
          <w:shd w:val="clear" w:color="auto" w:fill="auto"/>
          <w:lang w:val="ru-RU" w:eastAsia="ru-RU" w:bidi="ru-RU"/>
        </w:rPr>
        <w:t xml:space="preserve">2012-2013 </w:t>
      </w:r>
      <w:r>
        <w:rPr>
          <w:color w:val="000000"/>
          <w:spacing w:val="0"/>
          <w:w w:val="100"/>
          <w:position w:val="0"/>
          <w:shd w:val="clear" w:color="auto" w:fill="auto"/>
          <w:lang w:val="en-US" w:eastAsia="en-US" w:bidi="en-US"/>
        </w:rPr>
        <w:t xml:space="preserve">de catre firma Electroputere VFU Pascani S.A., Romania, I.S. „CFM” a suportat cheltuieli in suma de </w:t>
      </w:r>
      <w:r>
        <w:rPr>
          <w:color w:val="000000"/>
          <w:spacing w:val="0"/>
          <w:w w:val="100"/>
          <w:position w:val="0"/>
          <w:shd w:val="clear" w:color="auto" w:fill="auto"/>
          <w:lang w:val="ru-RU" w:eastAsia="ru-RU" w:bidi="ru-RU"/>
        </w:rPr>
        <w:t xml:space="preserve">210,487 </w:t>
      </w:r>
      <w:r>
        <w:rPr>
          <w:color w:val="000000"/>
          <w:spacing w:val="0"/>
          <w:w w:val="100"/>
          <w:position w:val="0"/>
          <w:shd w:val="clear" w:color="auto" w:fill="auto"/>
          <w:lang w:val="en-US" w:eastAsia="en-US" w:bidi="en-US"/>
        </w:rPr>
        <w:t xml:space="preserve">mil. lei. Este necesar de mentionat ca, banii cheltuiti pentru modernizarea trenurilor au fost obtinuti din credit contractat in suma de </w:t>
      </w:r>
      <w:r>
        <w:rPr>
          <w:color w:val="000000"/>
          <w:spacing w:val="0"/>
          <w:w w:val="100"/>
          <w:position w:val="0"/>
          <w:shd w:val="clear" w:color="auto" w:fill="auto"/>
          <w:lang w:val="ru-RU" w:eastAsia="ru-RU" w:bidi="ru-RU"/>
        </w:rPr>
        <w:t xml:space="preserve">13,0 </w:t>
      </w:r>
      <w:r>
        <w:rPr>
          <w:color w:val="000000"/>
          <w:spacing w:val="0"/>
          <w:w w:val="100"/>
          <w:position w:val="0"/>
          <w:shd w:val="clear" w:color="auto" w:fill="auto"/>
          <w:lang w:val="en-US" w:eastAsia="en-US" w:bidi="en-US"/>
        </w:rPr>
        <w:t xml:space="preserve">mil. euro. Contractarea acestui credit a dus la suportarea de catre I.S. „CFM” a cheltuielilor suplimentare pentru asigurarea bunurilor imobile gajate in suma de </w:t>
      </w:r>
      <w:r>
        <w:rPr>
          <w:color w:val="000000"/>
          <w:spacing w:val="0"/>
          <w:w w:val="100"/>
          <w:position w:val="0"/>
          <w:shd w:val="clear" w:color="auto" w:fill="auto"/>
          <w:lang w:val="ru-RU" w:eastAsia="ru-RU" w:bidi="ru-RU"/>
        </w:rPr>
        <w:t xml:space="preserve">348,0 </w:t>
      </w:r>
      <w:r>
        <w:rPr>
          <w:color w:val="000000"/>
          <w:spacing w:val="0"/>
          <w:w w:val="100"/>
          <w:position w:val="0"/>
          <w:shd w:val="clear" w:color="auto" w:fill="auto"/>
          <w:lang w:val="en-US" w:eastAsia="en-US" w:bidi="en-US"/>
        </w:rPr>
        <w:t xml:space="preserve">mii lei (anul </w:t>
      </w:r>
      <w:r>
        <w:rPr>
          <w:color w:val="000000"/>
          <w:spacing w:val="0"/>
          <w:w w:val="100"/>
          <w:position w:val="0"/>
          <w:shd w:val="clear" w:color="auto" w:fill="auto"/>
          <w:lang w:val="ru-RU" w:eastAsia="ru-RU" w:bidi="ru-RU"/>
        </w:rPr>
        <w:t xml:space="preserve">2014) </w:t>
      </w:r>
      <w:r>
        <w:rPr>
          <w:color w:val="000000"/>
          <w:spacing w:val="0"/>
          <w:w w:val="100"/>
          <w:position w:val="0"/>
          <w:shd w:val="clear" w:color="auto" w:fill="auto"/>
          <w:lang w:val="en-US" w:eastAsia="en-US" w:bidi="en-US"/>
        </w:rPr>
        <w:t xml:space="preserve">si achitarea dobanzii anuale (de </w:t>
      </w:r>
      <w:r>
        <w:rPr>
          <w:color w:val="000000"/>
          <w:spacing w:val="0"/>
          <w:w w:val="100"/>
          <w:position w:val="0"/>
          <w:shd w:val="clear" w:color="auto" w:fill="auto"/>
          <w:lang w:val="ru-RU" w:eastAsia="ru-RU" w:bidi="ru-RU"/>
        </w:rPr>
        <w:t xml:space="preserve">7%) </w:t>
      </w:r>
      <w:r>
        <w:rPr>
          <w:color w:val="000000"/>
          <w:spacing w:val="0"/>
          <w:w w:val="100"/>
          <w:position w:val="0"/>
          <w:shd w:val="clear" w:color="auto" w:fill="auto"/>
          <w:lang w:val="en-US" w:eastAsia="en-US" w:bidi="en-US"/>
        </w:rPr>
        <w:t xml:space="preserve">in suma de </w:t>
      </w:r>
      <w:r>
        <w:rPr>
          <w:color w:val="000000"/>
          <w:spacing w:val="0"/>
          <w:w w:val="100"/>
          <w:position w:val="0"/>
          <w:shd w:val="clear" w:color="auto" w:fill="auto"/>
          <w:lang w:val="ru-RU" w:eastAsia="ru-RU" w:bidi="ru-RU"/>
        </w:rPr>
        <w:t xml:space="preserve">21,435 </w:t>
      </w:r>
      <w:r>
        <w:rPr>
          <w:color w:val="000000"/>
          <w:spacing w:val="0"/>
          <w:w w:val="100"/>
          <w:position w:val="0"/>
          <w:shd w:val="clear" w:color="auto" w:fill="auto"/>
          <w:lang w:val="en-US" w:eastAsia="en-US" w:bidi="en-US"/>
        </w:rPr>
        <w:t xml:space="preserve">mil. lei </w:t>
      </w:r>
      <w:r>
        <w:rPr>
          <w:color w:val="000000"/>
          <w:spacing w:val="0"/>
          <w:w w:val="100"/>
          <w:position w:val="0"/>
          <w:shd w:val="clear" w:color="auto" w:fill="auto"/>
          <w:lang w:val="ru-RU" w:eastAsia="ru-RU" w:bidi="ru-RU"/>
        </w:rPr>
        <w:t xml:space="preserve">(2014 - </w:t>
      </w:r>
      <w:r>
        <w:rPr>
          <w:color w:val="000000"/>
          <w:spacing w:val="0"/>
          <w:w w:val="100"/>
          <w:position w:val="0"/>
          <w:shd w:val="clear" w:color="auto" w:fill="auto"/>
          <w:lang w:val="en-US" w:eastAsia="en-US" w:bidi="en-US"/>
        </w:rPr>
        <w:t xml:space="preserve">trimestrul I anul </w:t>
      </w:r>
      <w:r>
        <w:rPr>
          <w:color w:val="000000"/>
          <w:spacing w:val="0"/>
          <w:w w:val="100"/>
          <w:position w:val="0"/>
          <w:shd w:val="clear" w:color="auto" w:fill="auto"/>
          <w:lang w:val="ru-RU" w:eastAsia="ru-RU" w:bidi="ru-RU"/>
        </w:rPr>
        <w:t xml:space="preserve">2016). </w:t>
      </w:r>
      <w:r>
        <w:rPr>
          <w:color w:val="000000"/>
          <w:spacing w:val="0"/>
          <w:w w:val="100"/>
          <w:position w:val="0"/>
          <w:shd w:val="clear" w:color="auto" w:fill="auto"/>
          <w:lang w:val="en-US" w:eastAsia="en-US" w:bidi="en-US"/>
        </w:rPr>
        <w:t xml:space="preserve">De asemenea, in perioada anilor </w:t>
      </w:r>
      <w:r>
        <w:rPr>
          <w:color w:val="000000"/>
          <w:spacing w:val="0"/>
          <w:w w:val="100"/>
          <w:position w:val="0"/>
          <w:shd w:val="clear" w:color="auto" w:fill="auto"/>
          <w:lang w:val="ru-RU" w:eastAsia="ru-RU" w:bidi="ru-RU"/>
        </w:rPr>
        <w:t xml:space="preserve">2013-2015, </w:t>
      </w:r>
      <w:r>
        <w:rPr>
          <w:color w:val="000000"/>
          <w:spacing w:val="0"/>
          <w:w w:val="100"/>
          <w:position w:val="0"/>
          <w:shd w:val="clear" w:color="auto" w:fill="auto"/>
          <w:lang w:val="en-US" w:eastAsia="en-US" w:bidi="en-US"/>
        </w:rPr>
        <w:t xml:space="preserve">I.S. „CFM” a inregistrat pierderi din diferenta de curs valutar in suma de </w:t>
      </w:r>
      <w:r>
        <w:rPr>
          <w:color w:val="000000"/>
          <w:spacing w:val="0"/>
          <w:w w:val="100"/>
          <w:position w:val="0"/>
          <w:shd w:val="clear" w:color="auto" w:fill="auto"/>
          <w:lang w:val="ru-RU" w:eastAsia="ru-RU" w:bidi="ru-RU"/>
        </w:rPr>
        <w:t xml:space="preserve">17,959 </w:t>
      </w:r>
      <w:r>
        <w:rPr>
          <w:color w:val="000000"/>
          <w:spacing w:val="0"/>
          <w:w w:val="100"/>
          <w:position w:val="0"/>
          <w:shd w:val="clear" w:color="auto" w:fill="auto"/>
          <w:lang w:val="en-US" w:eastAsia="en-US" w:bidi="en-US"/>
        </w:rPr>
        <w:t>mil. lei.</w:t>
      </w:r>
      <w:r>
        <w:rPr>
          <w:color w:val="000000"/>
          <w:spacing w:val="0"/>
          <w:w w:val="100"/>
          <w:position w:val="0"/>
          <w:shd w:val="clear" w:color="auto" w:fill="auto"/>
          <w:vertAlign w:val="superscript"/>
          <w:lang w:val="en-US" w:eastAsia="en-US" w:bidi="en-US"/>
        </w:rPr>
        <w:t>32</w:t>
      </w:r>
    </w:p>
    <w:p>
      <w:pPr>
        <w:pStyle w:val="Style1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 xml:space="preserve">In acest sens, la data de </w:t>
      </w:r>
      <w:r>
        <w:rPr>
          <w:color w:val="000000"/>
          <w:spacing w:val="0"/>
          <w:w w:val="100"/>
          <w:position w:val="0"/>
          <w:shd w:val="clear" w:color="auto" w:fill="auto"/>
          <w:lang w:val="ru-RU" w:eastAsia="ru-RU" w:bidi="ru-RU"/>
        </w:rPr>
        <w:t xml:space="preserve">16.10.2013, </w:t>
      </w:r>
      <w:r>
        <w:rPr>
          <w:color w:val="000000"/>
          <w:spacing w:val="0"/>
          <w:w w:val="100"/>
          <w:position w:val="0"/>
          <w:shd w:val="clear" w:color="auto" w:fill="auto"/>
          <w:lang w:val="en-US" w:eastAsia="en-US" w:bidi="en-US"/>
        </w:rPr>
        <w:t>Inspectia Financiara a informat Centrul National Anticoruptie privind incheierea dezavantajoasa a contractelor de reconstructie si modernizare a vagoanelor de calatori, si ca incheierea lor a fost favorizata de conducerea</w:t>
      </w:r>
    </w:p>
    <w:p>
      <w:pPr>
        <w:pStyle w:val="Style17"/>
        <w:keepNext w:val="0"/>
        <w:keepLines w:val="0"/>
        <w:widowControl w:val="0"/>
        <w:shd w:val="clear" w:color="auto" w:fill="auto"/>
        <w:tabs>
          <w:tab w:pos="500" w:val="left"/>
        </w:tabs>
        <w:bidi w:val="0"/>
        <w:spacing w:before="0" w:after="0" w:line="240" w:lineRule="auto"/>
        <w:ind w:left="0" w:right="0" w:firstLine="0"/>
        <w:jc w:val="both"/>
      </w:pPr>
      <w:r>
        <w:rPr>
          <w:color w:val="000000"/>
          <w:spacing w:val="0"/>
          <w:w w:val="100"/>
          <w:position w:val="0"/>
          <w:shd w:val="clear" w:color="auto" w:fill="auto"/>
          <w:lang w:val="en-US" w:eastAsia="en-US" w:bidi="en-US"/>
        </w:rPr>
        <w:t>I.S.</w:t>
        <w:tab/>
        <w:t>„Calea Ferata din Moldova” din acea perioada, opinie confirmata prin urmatoarele argumente:</w:t>
      </w:r>
    </w:p>
    <w:p>
      <w:pPr>
        <w:pStyle w:val="Style17"/>
        <w:keepNext w:val="0"/>
        <w:keepLines w:val="0"/>
        <w:widowControl w:val="0"/>
        <w:numPr>
          <w:ilvl w:val="0"/>
          <w:numId w:val="3"/>
        </w:numPr>
        <w:shd w:val="clear" w:color="auto" w:fill="auto"/>
        <w:tabs>
          <w:tab w:pos="910" w:val="left"/>
        </w:tabs>
        <w:bidi w:val="0"/>
        <w:spacing w:before="0" w:after="0" w:line="240" w:lineRule="auto"/>
        <w:ind w:left="0" w:right="0" w:firstLine="640"/>
        <w:jc w:val="both"/>
      </w:pPr>
      <w:r>
        <w:rPr>
          <w:color w:val="000000"/>
          <w:spacing w:val="0"/>
          <w:w w:val="100"/>
          <w:position w:val="0"/>
          <w:shd w:val="clear" w:color="auto" w:fill="auto"/>
          <w:lang w:val="en-US" w:eastAsia="en-US" w:bidi="en-US"/>
        </w:rPr>
        <w:t xml:space="preserve">conflictul de interese al directorului general al I.S, „Calea Ferata din Moldova” care, in perioada precedenta numirii in functie </w:t>
      </w:r>
      <w:r>
        <w:rPr>
          <w:color w:val="000000"/>
          <w:spacing w:val="0"/>
          <w:w w:val="100"/>
          <w:position w:val="0"/>
          <w:shd w:val="clear" w:color="auto" w:fill="auto"/>
          <w:lang w:val="ru-RU" w:eastAsia="ru-RU" w:bidi="ru-RU"/>
        </w:rPr>
        <w:t xml:space="preserve">(2002-2011), </w:t>
      </w:r>
      <w:r>
        <w:rPr>
          <w:color w:val="000000"/>
          <w:spacing w:val="0"/>
          <w:w w:val="100"/>
          <w:position w:val="0"/>
          <w:shd w:val="clear" w:color="auto" w:fill="auto"/>
          <w:lang w:val="en-US" w:eastAsia="en-US" w:bidi="en-US"/>
        </w:rPr>
        <w:t>potrivit unui CV postat pe site- ul Ministerului Transporturilor si Infrastructurii Drumurilor a detinut functia de presedinte al S.C. „Grampet” S.A. (Romania). Agentul economic mentionat, la momentul incheierii contractelor cu I.S. „Calea Ferata din Moldova”, se afla in consortiu cu compania romaneasca S.C. „Remar” S.A. (actual Electroputere VFU Pascani). Astfel, activitatea precedenta in S.C. „Grampet” S.A. a directorului general al I.S. „Calea Ferata din Moldova” si semnarea contractelor cu S.C. „Remar” S.A. denota un vadit conflict de interese, fapt ce compromite obiectivitatea si impartialitatea acestuia;</w:t>
      </w:r>
    </w:p>
    <w:p>
      <w:pPr>
        <w:pStyle w:val="Style17"/>
        <w:keepNext w:val="0"/>
        <w:keepLines w:val="0"/>
        <w:widowControl w:val="0"/>
        <w:numPr>
          <w:ilvl w:val="0"/>
          <w:numId w:val="3"/>
        </w:numPr>
        <w:shd w:val="clear" w:color="auto" w:fill="auto"/>
        <w:tabs>
          <w:tab w:pos="910" w:val="left"/>
        </w:tabs>
        <w:bidi w:val="0"/>
        <w:spacing w:before="0" w:after="0" w:line="240" w:lineRule="auto"/>
        <w:ind w:left="0" w:right="0" w:firstLine="640"/>
        <w:jc w:val="both"/>
      </w:pPr>
      <w:r>
        <w:rPr>
          <w:color w:val="000000"/>
          <w:spacing w:val="0"/>
          <w:w w:val="100"/>
          <w:position w:val="0"/>
          <w:shd w:val="clear" w:color="auto" w:fill="auto"/>
          <w:lang w:val="en-US" w:eastAsia="en-US" w:bidi="en-US"/>
        </w:rPr>
        <w:t>existenta mai multor companii capabile sa efectueze modernizarea trenurilor diesel de tip Dl pentru identificarea carora intreprinderea nu a organizat proceduri de contractare a serviciilor cum ar fi: procedura de licitatie deschisa, procedura de negociere cu operatorii economici preferati, dialog competitiv s.a., care ar fi asigurat respectarea principiului transparentei procesului decizional si posibilitatea achizitionarii serviciilor in conditii mai avantajoase. Spre exemplu, in procesul inspectarii, s-a depistat existenta unei oferte parvenite de la concernul „Ganz Motor Kft” (Ungaria) care, conform informatiilor de pe site-ul oficial, detine o experienta de 160 de ani in productia de componente pentru materialul rulant feroviar, iar din corespondenta intreprinderii s-a stabilit ca si aceasta Companie si-a manifestat interesul pentru incheierea unui contract de cooperare privind modernizarea trenurilor diesel Dl precum si modernizarea motoarelor principale prin repararea capitala a acestora, oferta care, inexplicabil a fost neglijata.</w:t>
      </w:r>
    </w:p>
    <w:p>
      <w:pPr>
        <w:pStyle w:val="Style17"/>
        <w:keepNext w:val="0"/>
        <w:keepLines w:val="0"/>
        <w:widowControl w:val="0"/>
        <w:numPr>
          <w:ilvl w:val="0"/>
          <w:numId w:val="3"/>
        </w:numPr>
        <w:shd w:val="clear" w:color="auto" w:fill="auto"/>
        <w:tabs>
          <w:tab w:pos="910" w:val="left"/>
        </w:tabs>
        <w:bidi w:val="0"/>
        <w:spacing w:before="0" w:after="0" w:line="240" w:lineRule="auto"/>
        <w:ind w:left="0" w:right="0" w:firstLine="640"/>
        <w:jc w:val="both"/>
      </w:pPr>
      <w:r>
        <w:rPr>
          <w:color w:val="000000"/>
          <w:spacing w:val="0"/>
          <w:w w:val="100"/>
          <w:position w:val="0"/>
          <w:shd w:val="clear" w:color="auto" w:fill="auto"/>
          <w:lang w:val="en-US" w:eastAsia="en-US" w:bidi="en-US"/>
        </w:rPr>
        <w:t xml:space="preserve">lipsa unei valori contractuale fixe si concrete a pretului unitar pentru serviciul de modernizare a garniturii prototip, aceasta urmand a fi stabilita „post calcul”, cu confirmarea consumurilor de catre beneficiar. Urmeaza de mentionat ca lipsa unor repere concrete a pretului de achizitie impune riscul de majorare exagerata post factum la infinit a serviciilor de modernizare a primului tren (prototip) care sta la baza contractarii serviciilor pentru garniturile ulterioare. Totodata, desi intreprinderea urma sa renoveze o mare parte a parcului de locomotive si sa investeasca in acest scop sume considerabile, contrar prevederilor contractuale, lucrarile au fost initiate in lipsa proiectului de </w:t>
      </w:r>
      <w:r>
        <w:rPr>
          <w:color w:val="000000"/>
          <w:spacing w:val="0"/>
          <w:w w:val="100"/>
          <w:position w:val="0"/>
          <w:shd w:val="clear" w:color="auto" w:fill="auto"/>
          <w:lang w:val="en-US" w:eastAsia="en-US" w:bidi="en-US"/>
        </w:rPr>
        <w:t>modernizare care urma sa contina informatia detaliata privind etapele lucrarilor si costul acestora.</w:t>
      </w:r>
      <w:r>
        <w:rPr>
          <w:color w:val="000000"/>
          <w:spacing w:val="0"/>
          <w:w w:val="100"/>
          <w:position w:val="0"/>
          <w:shd w:val="clear" w:color="auto" w:fill="auto"/>
          <w:vertAlign w:val="superscript"/>
          <w:lang w:val="en-US" w:eastAsia="en-US" w:bidi="en-US"/>
        </w:rPr>
        <w:footnoteReference w:id="26"/>
      </w:r>
    </w:p>
    <w:p>
      <w:pPr>
        <w:pStyle w:val="Style1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 xml:space="preserve">Prin urmare, conform actului Inspectiei Financiare din </w:t>
      </w:r>
      <w:r>
        <w:rPr>
          <w:color w:val="000000"/>
          <w:spacing w:val="0"/>
          <w:w w:val="100"/>
          <w:position w:val="0"/>
          <w:shd w:val="clear" w:color="auto" w:fill="auto"/>
          <w:lang w:val="ru-RU" w:eastAsia="ru-RU" w:bidi="ru-RU"/>
        </w:rPr>
        <w:t xml:space="preserve">08.07.2016 </w:t>
      </w:r>
      <w:r>
        <w:rPr>
          <w:color w:val="000000"/>
          <w:spacing w:val="0"/>
          <w:w w:val="100"/>
          <w:position w:val="0"/>
          <w:shd w:val="clear" w:color="auto" w:fill="auto"/>
          <w:lang w:val="en-US" w:eastAsia="en-US" w:bidi="en-US"/>
        </w:rPr>
        <w:t xml:space="preserve">investitiile efectuate pentru modernizarea trenurilor s-au dovedit a fi neeficiente, dat fiind faptul ca transportul de calatori anual inregistreaza pierderi. Mai mult ca atat, din cele </w:t>
      </w:r>
      <w:r>
        <w:rPr>
          <w:color w:val="000000"/>
          <w:spacing w:val="0"/>
          <w:w w:val="100"/>
          <w:position w:val="0"/>
          <w:shd w:val="clear" w:color="auto" w:fill="auto"/>
          <w:lang w:val="ru-RU" w:eastAsia="ru-RU" w:bidi="ru-RU"/>
        </w:rPr>
        <w:t xml:space="preserve">5 </w:t>
      </w:r>
      <w:r>
        <w:rPr>
          <w:color w:val="000000"/>
          <w:spacing w:val="0"/>
          <w:w w:val="100"/>
          <w:position w:val="0"/>
          <w:shd w:val="clear" w:color="auto" w:fill="auto"/>
          <w:lang w:val="en-US" w:eastAsia="en-US" w:bidi="en-US"/>
        </w:rPr>
        <w:t xml:space="preserve">trenuri diesel modernizate doar unul functiona la momentul inspectarii, celelalte </w:t>
      </w:r>
      <w:r>
        <w:rPr>
          <w:color w:val="000000"/>
          <w:spacing w:val="0"/>
          <w:w w:val="100"/>
          <w:position w:val="0"/>
          <w:shd w:val="clear" w:color="auto" w:fill="auto"/>
          <w:lang w:val="ru-RU" w:eastAsia="ru-RU" w:bidi="ru-RU"/>
        </w:rPr>
        <w:t xml:space="preserve">4 </w:t>
      </w:r>
      <w:r>
        <w:rPr>
          <w:color w:val="000000"/>
          <w:spacing w:val="0"/>
          <w:w w:val="100"/>
          <w:position w:val="0"/>
          <w:shd w:val="clear" w:color="auto" w:fill="auto"/>
          <w:lang w:val="en-US" w:eastAsia="en-US" w:bidi="en-US"/>
        </w:rPr>
        <w:t xml:space="preserve">trenuri nu puteau fi exploatate din cauza unor defectiuni tehnice care nu puteau fi inlaturate de catre specialistii depoului I.S. „CFM”. </w:t>
      </w:r>
      <w:r>
        <w:rPr>
          <w:color w:val="000000"/>
          <w:spacing w:val="0"/>
          <w:w w:val="100"/>
          <w:position w:val="0"/>
          <w:shd w:val="clear" w:color="auto" w:fill="auto"/>
          <w:vertAlign w:val="superscript"/>
          <w:lang w:val="ru-RU" w:eastAsia="ru-RU" w:bidi="ru-RU"/>
        </w:rPr>
        <w:footnoteReference w:id="27"/>
      </w:r>
    </w:p>
    <w:p>
      <w:pPr>
        <w:pStyle w:val="Style1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Conform ultimelor informatii prezentate de SIS</w:t>
      </w:r>
      <w:r>
        <w:rPr>
          <w:color w:val="000000"/>
          <w:spacing w:val="0"/>
          <w:w w:val="100"/>
          <w:position w:val="0"/>
          <w:shd w:val="clear" w:color="auto" w:fill="auto"/>
          <w:vertAlign w:val="superscript"/>
          <w:lang w:val="en-US" w:eastAsia="en-US" w:bidi="en-US"/>
        </w:rPr>
        <w:footnoteReference w:id="28"/>
      </w:r>
      <w:r>
        <w:rPr>
          <w:color w:val="000000"/>
          <w:spacing w:val="0"/>
          <w:w w:val="100"/>
          <w:position w:val="0"/>
          <w:shd w:val="clear" w:color="auto" w:fill="auto"/>
          <w:lang w:val="en-US" w:eastAsia="en-US" w:bidi="en-US"/>
        </w:rPr>
        <w:t>, la momentul actual I.S. „CFM” se afla in imposibilitatea beneficierii de trenurile modernizate - din 5 unitati modernizate, in stare functionala sunt doar 2, care circula pe ruta „Chi§inau-Ungheni” si „Chisinau- Bender”. Celelalte 3 garnituri sunt defectate, doua fiind cu defectiuni minore (la o locomotiva este iesita din functiune cutia de viteze; la alta sistemul de incalzire). Un caz mai grav reprezinta locomotiva incendiata in martie 2014, la scurt timp dupa modernizare, acestea nefiind pana in prezent restaurata din cauza insuficientei de mijloace financiare.</w:t>
      </w:r>
    </w:p>
    <w:p>
      <w:pPr>
        <w:pStyle w:val="Style17"/>
        <w:keepNext w:val="0"/>
        <w:keepLines w:val="0"/>
        <w:widowControl w:val="0"/>
        <w:numPr>
          <w:ilvl w:val="0"/>
          <w:numId w:val="25"/>
        </w:numPr>
        <w:shd w:val="clear" w:color="auto" w:fill="auto"/>
        <w:tabs>
          <w:tab w:pos="951" w:val="left"/>
        </w:tabs>
        <w:bidi w:val="0"/>
        <w:spacing w:before="0" w:after="0" w:line="240" w:lineRule="auto"/>
        <w:ind w:left="0" w:right="0" w:firstLine="640"/>
        <w:jc w:val="both"/>
      </w:pPr>
      <w:r>
        <w:rPr>
          <w:b/>
          <w:bCs/>
          <w:color w:val="000000"/>
          <w:spacing w:val="0"/>
          <w:w w:val="100"/>
          <w:position w:val="0"/>
          <w:shd w:val="clear" w:color="auto" w:fill="auto"/>
          <w:lang w:val="en-US" w:eastAsia="en-US" w:bidi="en-US"/>
        </w:rPr>
        <w:t>Contracte locatiune vagoane incheiate cu SC “Transpac-Service” SRL si SC „Dincomex” S.R.L.</w:t>
      </w:r>
    </w:p>
    <w:p>
      <w:pPr>
        <w:pStyle w:val="Style15"/>
        <w:keepNext/>
        <w:keepLines/>
        <w:widowControl w:val="0"/>
        <w:numPr>
          <w:ilvl w:val="1"/>
          <w:numId w:val="25"/>
        </w:numPr>
        <w:shd w:val="clear" w:color="auto" w:fill="auto"/>
        <w:tabs>
          <w:tab w:pos="1183" w:val="left"/>
        </w:tabs>
        <w:bidi w:val="0"/>
        <w:spacing w:before="0" w:after="0" w:line="240" w:lineRule="auto"/>
        <w:ind w:left="0" w:right="0" w:firstLine="640"/>
        <w:jc w:val="both"/>
      </w:pPr>
      <w:bookmarkStart w:id="52" w:name="bookmark52"/>
      <w:bookmarkStart w:id="53" w:name="bookmark53"/>
      <w:r>
        <w:rPr>
          <w:color w:val="000000"/>
          <w:spacing w:val="0"/>
          <w:w w:val="100"/>
          <w:position w:val="0"/>
          <w:shd w:val="clear" w:color="auto" w:fill="auto"/>
          <w:lang w:val="en-US" w:eastAsia="en-US" w:bidi="en-US"/>
        </w:rPr>
        <w:t>Contractul incheiat cu SC “Transpac-Service” SRL</w:t>
      </w:r>
      <w:bookmarkEnd w:id="52"/>
      <w:bookmarkEnd w:id="53"/>
    </w:p>
    <w:p>
      <w:pPr>
        <w:pStyle w:val="Style1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 xml:space="preserve">Potrivit informatiilor prezentate de I.S. „CFM” la data de 26.09.2005, intre I.S. „CFM” si SC „Transpac-Service” SRL a fost incheiat contractul nr. 83000521, conform art. 8 din Codul transportului feroviar al Republicii Moldova, privind locatiunea semivagoanelor si containerelor pentru transportarea marfurilor pe caile ferate din statele membre. La randul sau, SC “Transpac-Service” SRL, a incheiat un contract de sublocatiune cu </w:t>
      </w:r>
      <w:r>
        <w:rPr>
          <w:color w:val="000000"/>
          <w:spacing w:val="0"/>
          <w:w w:val="100"/>
          <w:position w:val="0"/>
          <w:shd w:val="clear" w:color="auto" w:fill="auto"/>
          <w:lang w:val="ru-RU" w:eastAsia="ru-RU" w:bidi="ru-RU"/>
        </w:rPr>
        <w:t xml:space="preserve">ЗАО «Желдорэкспедиция-2000» </w:t>
      </w:r>
      <w:r>
        <w:rPr>
          <w:color w:val="000000"/>
          <w:spacing w:val="0"/>
          <w:w w:val="100"/>
          <w:position w:val="0"/>
          <w:shd w:val="clear" w:color="auto" w:fill="auto"/>
          <w:lang w:val="en-US" w:eastAsia="en-US" w:bidi="en-US"/>
        </w:rPr>
        <w:t>pe un termen de pana la 31.12.2010.</w:t>
      </w:r>
    </w:p>
    <w:p>
      <w:pPr>
        <w:pStyle w:val="Style1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Ulterior, in anul 2009, din numarul total de 94 de semivagoane, 43 au fost confiscate de catre Federatia Rusa, in momentul traversarii frontierei acestui stat.</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en-US" w:eastAsia="en-US" w:bidi="en-US"/>
        </w:rPr>
        <w:t>La data de 30.11.2010, I.S. „CFM” a depus cerere de chemare in judecata impotriva SC „Transpac-Service” SRL cu privire la incasarea sumei. Prin Decizia Curtii Supreme de Justitie din 20 februarie 2013 s-a decis de a incasa de la SC ”Transpac-Service” SRL in beneficiul I.S. „CFM” prejudiciul material in marime de 1 217 285 lei si taxa de stat in marime de 36 518 lei, iar actiunea SC “Transpac-Service” SRL a fost respinsa ca neintemeiata (incasarea venitului ratat).</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en-US" w:eastAsia="en-US" w:bidi="en-US"/>
        </w:rPr>
        <w:t>La data de 07.04.2014, SC ”Transpac-Service” SRL a fost radiata din Registrul de stat in rezultatul lichidarii, conform Hotararii Curtii de Apel Chisinau nr. 2i-157/14 din 25.02.2015. In temeiul aceleiasi Hotarari, s-a considerat ca stinse toate creantele creditoriale si debitoare ale SC ”Transpac-Service” SRL si respectiv I.S. „CFM” nu si-a restituit prejudiciul material pretins.</w:t>
      </w:r>
      <w:r>
        <w:rPr>
          <w:color w:val="000000"/>
          <w:spacing w:val="0"/>
          <w:w w:val="100"/>
          <w:position w:val="0"/>
          <w:shd w:val="clear" w:color="auto" w:fill="auto"/>
          <w:vertAlign w:val="superscript"/>
          <w:lang w:val="en-US" w:eastAsia="en-US" w:bidi="en-US"/>
        </w:rPr>
        <w:footnoteReference w:id="29"/>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en-US" w:eastAsia="en-US" w:bidi="en-US"/>
        </w:rPr>
        <w:t>La acest subiect, Comisia de ancheta tine sa mentioneze ca raportul Hotararii Curtii de Conturi nr. 31 din 8 august 2011 sustine ca:</w:t>
      </w:r>
    </w:p>
    <w:p>
      <w:pPr>
        <w:pStyle w:val="Style17"/>
        <w:keepNext w:val="0"/>
        <w:keepLines w:val="0"/>
        <w:widowControl w:val="0"/>
        <w:shd w:val="clear" w:color="auto" w:fill="auto"/>
        <w:bidi w:val="0"/>
        <w:spacing w:before="0" w:after="0" w:line="240" w:lineRule="auto"/>
        <w:ind w:left="0" w:right="0" w:firstLine="720"/>
        <w:jc w:val="both"/>
        <w:sectPr>
          <w:headerReference w:type="default" r:id="rId26"/>
          <w:footerReference w:type="default" r:id="rId27"/>
          <w:headerReference w:type="first" r:id="rId28"/>
          <w:footerReference w:type="first" r:id="rId29"/>
          <w:footnotePr>
            <w:pos w:val="pageBottom"/>
            <w:numFmt w:val="decimal"/>
            <w:numStart w:val="8"/>
            <w:numRestart w:val="continuous"/>
            <w15:footnoteColumns w:val="1"/>
          </w:footnotePr>
          <w:pgSz w:w="11900" w:h="16840"/>
          <w:pgMar w:top="578" w:left="1162" w:right="457" w:bottom="823" w:header="0" w:footer="3" w:gutter="0"/>
          <w:cols w:space="720"/>
          <w:noEndnote/>
          <w:titlePg/>
          <w:rtlGutter w:val="0"/>
          <w:docGrid w:linePitch="360"/>
        </w:sectPr>
      </w:pPr>
      <w:r>
        <w:rPr>
          <w:rFonts w:ascii="Calibri" w:eastAsia="Calibri" w:hAnsi="Calibri" w:cs="Calibri"/>
          <w:color w:val="000000"/>
          <w:spacing w:val="0"/>
          <w:w w:val="100"/>
          <w:position w:val="0"/>
          <w:sz w:val="28"/>
          <w:szCs w:val="28"/>
          <w:shd w:val="clear" w:color="auto" w:fill="auto"/>
          <w:lang w:val="en-US" w:eastAsia="en-US" w:bidi="en-US"/>
        </w:rPr>
        <w:t xml:space="preserve">- </w:t>
      </w:r>
      <w:r>
        <w:rPr>
          <w:color w:val="000000"/>
          <w:spacing w:val="0"/>
          <w:w w:val="100"/>
          <w:position w:val="0"/>
          <w:shd w:val="clear" w:color="auto" w:fill="auto"/>
          <w:lang w:val="en-US" w:eastAsia="en-US" w:bidi="en-US"/>
        </w:rPr>
        <w:t xml:space="preserve">Din motivul neachitarii platii pentru vagoanele date in locatiune, I.S. „CFM” a reziliat contractele unilateral, inclusiv cu S.R.L. „Transpac-Service”, in momentul aflarii vagoanelor inchiriate pe teritoriul altor state. Ca urmare, I.S. „CFM” a intreprins actiuni de restituire a acestor vagoane pe teritoriul caii ferate din Moldova, asumandu-si suportarea </w:t>
      </w:r>
    </w:p>
    <w:p>
      <w:pPr>
        <w:pStyle w:val="Style17"/>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 xml:space="preserve">cheltuielilor ce tin de aceste actiuni. Astfel, in anul </w:t>
      </w:r>
      <w:r>
        <w:rPr>
          <w:color w:val="000000"/>
          <w:spacing w:val="0"/>
          <w:w w:val="100"/>
          <w:position w:val="0"/>
          <w:shd w:val="clear" w:color="auto" w:fill="auto"/>
          <w:lang w:val="ru-RU" w:eastAsia="ru-RU" w:bidi="ru-RU"/>
        </w:rPr>
        <w:t xml:space="preserve">2009, </w:t>
      </w:r>
      <w:r>
        <w:rPr>
          <w:color w:val="000000"/>
          <w:spacing w:val="0"/>
          <w:w w:val="100"/>
          <w:position w:val="0"/>
          <w:shd w:val="clear" w:color="auto" w:fill="auto"/>
          <w:lang w:val="en-US" w:eastAsia="en-US" w:bidi="en-US"/>
        </w:rPr>
        <w:t xml:space="preserve">I.S. „CFM” a suportat cheltuieli in suma de </w:t>
      </w:r>
      <w:r>
        <w:rPr>
          <w:color w:val="000000"/>
          <w:spacing w:val="0"/>
          <w:w w:val="100"/>
          <w:position w:val="0"/>
          <w:shd w:val="clear" w:color="auto" w:fill="auto"/>
          <w:lang w:val="ru-RU" w:eastAsia="ru-RU" w:bidi="ru-RU"/>
        </w:rPr>
        <w:t xml:space="preserve">2,447 </w:t>
      </w:r>
      <w:r>
        <w:rPr>
          <w:color w:val="000000"/>
          <w:spacing w:val="0"/>
          <w:w w:val="100"/>
          <w:position w:val="0"/>
          <w:shd w:val="clear" w:color="auto" w:fill="auto"/>
          <w:lang w:val="en-US" w:eastAsia="en-US" w:bidi="en-US"/>
        </w:rPr>
        <w:t xml:space="preserve">mil. lei aferente intoarcerii vagoanelor de pe teritoriul altor tari, precum si cheltuieli ce tin de plata pentru serviciile de broker si vamuirea vagoanelor in suma de </w:t>
      </w:r>
      <w:r>
        <w:rPr>
          <w:color w:val="000000"/>
          <w:spacing w:val="0"/>
          <w:w w:val="100"/>
          <w:position w:val="0"/>
          <w:shd w:val="clear" w:color="auto" w:fill="auto"/>
          <w:lang w:val="ru-RU" w:eastAsia="ru-RU" w:bidi="ru-RU"/>
        </w:rPr>
        <w:t xml:space="preserve">106,1 </w:t>
      </w:r>
      <w:r>
        <w:rPr>
          <w:color w:val="000000"/>
          <w:spacing w:val="0"/>
          <w:w w:val="100"/>
          <w:position w:val="0"/>
          <w:shd w:val="clear" w:color="auto" w:fill="auto"/>
          <w:lang w:val="en-US" w:eastAsia="en-US" w:bidi="en-US"/>
        </w:rPr>
        <w:t xml:space="preserve">mii lei, majorandu-se cu aceeasi suma </w:t>
      </w:r>
      <w:r>
        <w:rPr>
          <w:color w:val="000000"/>
          <w:spacing w:val="0"/>
          <w:w w:val="100"/>
          <w:position w:val="0"/>
          <w:shd w:val="clear" w:color="auto" w:fill="auto"/>
          <w:lang w:val="ru-RU" w:eastAsia="ru-RU" w:bidi="ru-RU"/>
        </w:rPr>
        <w:t xml:space="preserve">(2,553 </w:t>
      </w:r>
      <w:r>
        <w:rPr>
          <w:color w:val="000000"/>
          <w:spacing w:val="0"/>
          <w:w w:val="100"/>
          <w:position w:val="0"/>
          <w:shd w:val="clear" w:color="auto" w:fill="auto"/>
          <w:lang w:val="en-US" w:eastAsia="en-US" w:bidi="en-US"/>
        </w:rPr>
        <w:t xml:space="preserve">mil. lei) creantele din darea in locatiune a vagoanelor la </w:t>
      </w:r>
      <w:r>
        <w:rPr>
          <w:color w:val="000000"/>
          <w:spacing w:val="0"/>
          <w:w w:val="100"/>
          <w:position w:val="0"/>
          <w:shd w:val="clear" w:color="auto" w:fill="auto"/>
          <w:lang w:val="ru-RU" w:eastAsia="ru-RU" w:bidi="ru-RU"/>
        </w:rPr>
        <w:t xml:space="preserve">31.12.2009. </w:t>
      </w:r>
      <w:r>
        <w:rPr>
          <w:color w:val="000000"/>
          <w:spacing w:val="0"/>
          <w:w w:val="100"/>
          <w:position w:val="0"/>
          <w:shd w:val="clear" w:color="auto" w:fill="auto"/>
          <w:lang w:val="en-US" w:eastAsia="en-US" w:bidi="en-US"/>
        </w:rPr>
        <w:t xml:space="preserve">Din vagoanele aflate in locatiune, un vagon n-a fost restituit pana la </w:t>
      </w:r>
      <w:r>
        <w:rPr>
          <w:color w:val="000000"/>
          <w:spacing w:val="0"/>
          <w:w w:val="100"/>
          <w:position w:val="0"/>
          <w:shd w:val="clear" w:color="auto" w:fill="auto"/>
          <w:lang w:val="ru-RU" w:eastAsia="ru-RU" w:bidi="ru-RU"/>
        </w:rPr>
        <w:t xml:space="preserve">31.12.2010. </w:t>
      </w:r>
      <w:r>
        <w:rPr>
          <w:color w:val="000000"/>
          <w:spacing w:val="0"/>
          <w:w w:val="100"/>
          <w:position w:val="0"/>
          <w:shd w:val="clear" w:color="auto" w:fill="auto"/>
          <w:lang w:val="en-US" w:eastAsia="en-US" w:bidi="en-US"/>
        </w:rPr>
        <w:t>Auditul a constatat ca in contractele de locatiune nu a fost stabilita partea ce va efectua platile pentru intoarcerea vagoanelor pe calea ferata din Moldova, ceea ce a determinat suportarea acestor cheltuieli de catre I.S. „CFM” si formarea litigiilor;</w:t>
      </w:r>
    </w:p>
    <w:p>
      <w:pPr>
        <w:pStyle w:val="Style17"/>
        <w:keepNext w:val="0"/>
        <w:keepLines w:val="0"/>
        <w:widowControl w:val="0"/>
        <w:shd w:val="clear" w:color="auto" w:fill="auto"/>
        <w:bidi w:val="0"/>
        <w:spacing w:before="0" w:after="0" w:line="240" w:lineRule="auto"/>
        <w:ind w:left="0" w:right="0" w:firstLine="660"/>
        <w:jc w:val="both"/>
      </w:pPr>
      <w:r>
        <w:rPr>
          <w:rFonts w:ascii="Calibri" w:eastAsia="Calibri" w:hAnsi="Calibri" w:cs="Calibri"/>
          <w:color w:val="000000"/>
          <w:spacing w:val="0"/>
          <w:w w:val="100"/>
          <w:position w:val="0"/>
          <w:sz w:val="28"/>
          <w:szCs w:val="28"/>
          <w:shd w:val="clear" w:color="auto" w:fill="auto"/>
          <w:lang w:val="ru-RU" w:eastAsia="ru-RU" w:bidi="ru-RU"/>
        </w:rPr>
        <w:t xml:space="preserve">- </w:t>
      </w:r>
      <w:r>
        <w:rPr>
          <w:color w:val="000000"/>
          <w:spacing w:val="0"/>
          <w:w w:val="100"/>
          <w:position w:val="0"/>
          <w:shd w:val="clear" w:color="auto" w:fill="auto"/>
          <w:lang w:val="en-US" w:eastAsia="en-US" w:bidi="en-US"/>
        </w:rPr>
        <w:t xml:space="preserve">creantele dubioase formate in suma de </w:t>
      </w:r>
      <w:r>
        <w:rPr>
          <w:color w:val="000000"/>
          <w:spacing w:val="0"/>
          <w:w w:val="100"/>
          <w:position w:val="0"/>
          <w:shd w:val="clear" w:color="auto" w:fill="auto"/>
          <w:lang w:val="ru-RU" w:eastAsia="ru-RU" w:bidi="ru-RU"/>
        </w:rPr>
        <w:t xml:space="preserve">14,0 </w:t>
      </w:r>
      <w:r>
        <w:rPr>
          <w:color w:val="000000"/>
          <w:spacing w:val="0"/>
          <w:w w:val="100"/>
          <w:position w:val="0"/>
          <w:shd w:val="clear" w:color="auto" w:fill="auto"/>
          <w:lang w:val="en-US" w:eastAsia="en-US" w:bidi="en-US"/>
        </w:rPr>
        <w:t xml:space="preserve">mil.lei, inclusiv </w:t>
      </w:r>
      <w:r>
        <w:rPr>
          <w:color w:val="000000"/>
          <w:spacing w:val="0"/>
          <w:w w:val="100"/>
          <w:position w:val="0"/>
          <w:shd w:val="clear" w:color="auto" w:fill="auto"/>
          <w:lang w:val="ru-RU" w:eastAsia="ru-RU" w:bidi="ru-RU"/>
        </w:rPr>
        <w:t xml:space="preserve">7,3 </w:t>
      </w:r>
      <w:r>
        <w:rPr>
          <w:color w:val="000000"/>
          <w:spacing w:val="0"/>
          <w:w w:val="100"/>
          <w:position w:val="0"/>
          <w:shd w:val="clear" w:color="auto" w:fill="auto"/>
          <w:lang w:val="en-US" w:eastAsia="en-US" w:bidi="en-US"/>
        </w:rPr>
        <w:t xml:space="preserve">mil.lei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 xml:space="preserve">de la darea in arenda a vagoanelor pe motiv ca lipseste probabilitatea achitarii lor, intreprinderea a creat rezerve prin Ordinul din </w:t>
      </w:r>
      <w:r>
        <w:rPr>
          <w:color w:val="000000"/>
          <w:spacing w:val="0"/>
          <w:w w:val="100"/>
          <w:position w:val="0"/>
          <w:shd w:val="clear" w:color="auto" w:fill="auto"/>
          <w:lang w:val="ru-RU" w:eastAsia="ru-RU" w:bidi="ru-RU"/>
        </w:rPr>
        <w:t xml:space="preserve">02.11.2010, </w:t>
      </w:r>
      <w:r>
        <w:rPr>
          <w:color w:val="000000"/>
          <w:spacing w:val="0"/>
          <w:w w:val="100"/>
          <w:position w:val="0"/>
          <w:shd w:val="clear" w:color="auto" w:fill="auto"/>
          <w:lang w:val="en-US" w:eastAsia="en-US" w:bidi="en-US"/>
        </w:rPr>
        <w:t xml:space="preserve">bazat pe Hotararea Consiliului de administratie din </w:t>
      </w:r>
      <w:r>
        <w:rPr>
          <w:color w:val="000000"/>
          <w:spacing w:val="0"/>
          <w:w w:val="100"/>
          <w:position w:val="0"/>
          <w:shd w:val="clear" w:color="auto" w:fill="auto"/>
          <w:lang w:val="ru-RU" w:eastAsia="ru-RU" w:bidi="ru-RU"/>
        </w:rPr>
        <w:t xml:space="preserve">14.09.2010, </w:t>
      </w:r>
      <w:r>
        <w:rPr>
          <w:color w:val="000000"/>
          <w:spacing w:val="0"/>
          <w:w w:val="100"/>
          <w:position w:val="0"/>
          <w:shd w:val="clear" w:color="auto" w:fill="auto"/>
          <w:lang w:val="en-US" w:eastAsia="en-US" w:bidi="en-US"/>
        </w:rPr>
        <w:t>atribuindu-le la cheltuieli.</w:t>
      </w:r>
    </w:p>
    <w:p>
      <w:pPr>
        <w:pStyle w:val="Style15"/>
        <w:keepNext/>
        <w:keepLines/>
        <w:widowControl w:val="0"/>
        <w:numPr>
          <w:ilvl w:val="1"/>
          <w:numId w:val="25"/>
        </w:numPr>
        <w:shd w:val="clear" w:color="auto" w:fill="auto"/>
        <w:tabs>
          <w:tab w:pos="1203" w:val="left"/>
        </w:tabs>
        <w:bidi w:val="0"/>
        <w:spacing w:before="0" w:after="0" w:line="240" w:lineRule="auto"/>
        <w:ind w:left="0" w:right="0"/>
        <w:jc w:val="both"/>
      </w:pPr>
      <w:bookmarkStart w:id="54" w:name="bookmark54"/>
      <w:bookmarkStart w:id="55" w:name="bookmark55"/>
      <w:r>
        <w:rPr>
          <w:color w:val="000000"/>
          <w:spacing w:val="0"/>
          <w:w w:val="100"/>
          <w:position w:val="0"/>
          <w:shd w:val="clear" w:color="auto" w:fill="auto"/>
          <w:lang w:val="en-US" w:eastAsia="en-US" w:bidi="en-US"/>
        </w:rPr>
        <w:t>Contractul incheiat cu SC „Dincomex” S.R.L.</w:t>
      </w:r>
      <w:bookmarkEnd w:id="54"/>
      <w:bookmarkEnd w:id="55"/>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 xml:space="preserve">Din informatiei prezentate in actul Inspectiei Financiare din </w:t>
      </w:r>
      <w:r>
        <w:rPr>
          <w:color w:val="000000"/>
          <w:spacing w:val="0"/>
          <w:w w:val="100"/>
          <w:position w:val="0"/>
          <w:shd w:val="clear" w:color="auto" w:fill="auto"/>
          <w:lang w:val="ru-RU" w:eastAsia="ru-RU" w:bidi="ru-RU"/>
        </w:rPr>
        <w:t xml:space="preserve">08.11.2019, </w:t>
      </w:r>
      <w:r>
        <w:rPr>
          <w:color w:val="000000"/>
          <w:spacing w:val="0"/>
          <w:w w:val="100"/>
          <w:position w:val="0"/>
          <w:shd w:val="clear" w:color="auto" w:fill="auto"/>
          <w:lang w:val="en-US" w:eastAsia="en-US" w:bidi="en-US"/>
        </w:rPr>
        <w:t xml:space="preserve">s-a stabilit ca in baza contractului de locatiune nr. </w:t>
      </w:r>
      <w:r>
        <w:rPr>
          <w:color w:val="000000"/>
          <w:spacing w:val="0"/>
          <w:w w:val="100"/>
          <w:position w:val="0"/>
          <w:shd w:val="clear" w:color="auto" w:fill="auto"/>
          <w:lang w:val="ru-RU" w:eastAsia="ru-RU" w:bidi="ru-RU"/>
        </w:rPr>
        <w:t xml:space="preserve">8300005 </w:t>
      </w:r>
      <w:r>
        <w:rPr>
          <w:color w:val="000000"/>
          <w:spacing w:val="0"/>
          <w:w w:val="100"/>
          <w:position w:val="0"/>
          <w:shd w:val="clear" w:color="auto" w:fill="auto"/>
          <w:lang w:val="en-US" w:eastAsia="en-US" w:bidi="en-US"/>
        </w:rPr>
        <w:t xml:space="preserve">incheiat la </w:t>
      </w:r>
      <w:r>
        <w:rPr>
          <w:color w:val="000000"/>
          <w:spacing w:val="0"/>
          <w:w w:val="100"/>
          <w:position w:val="0"/>
          <w:shd w:val="clear" w:color="auto" w:fill="auto"/>
          <w:lang w:val="ru-RU" w:eastAsia="ru-RU" w:bidi="ru-RU"/>
        </w:rPr>
        <w:t xml:space="preserve">16.04.2010, </w:t>
      </w:r>
      <w:r>
        <w:rPr>
          <w:color w:val="000000"/>
          <w:spacing w:val="0"/>
          <w:w w:val="100"/>
          <w:position w:val="0"/>
          <w:shd w:val="clear" w:color="auto" w:fill="auto"/>
          <w:lang w:val="en-US" w:eastAsia="en-US" w:bidi="en-US"/>
        </w:rPr>
        <w:t xml:space="preserve">I.S. „CFM” in calitate de locator si SC „Dincomex” S.R.L. (in continuare Firma), s-a obligat sa transmita in folosinta temporara contra plata </w:t>
      </w:r>
      <w:r>
        <w:rPr>
          <w:color w:val="000000"/>
          <w:spacing w:val="0"/>
          <w:w w:val="100"/>
          <w:position w:val="0"/>
          <w:shd w:val="clear" w:color="auto" w:fill="auto"/>
          <w:lang w:val="ru-RU" w:eastAsia="ru-RU" w:bidi="ru-RU"/>
        </w:rPr>
        <w:t xml:space="preserve">57 </w:t>
      </w:r>
      <w:r>
        <w:rPr>
          <w:color w:val="000000"/>
          <w:spacing w:val="0"/>
          <w:w w:val="100"/>
          <w:position w:val="0"/>
          <w:shd w:val="clear" w:color="auto" w:fill="auto"/>
          <w:lang w:val="en-US" w:eastAsia="en-US" w:bidi="en-US"/>
        </w:rPr>
        <w:t xml:space="preserve">cisterne pentru transportarea produselor petroliere, iar Firma in calitate de locatar si-a asumat obligatiunea de a achita chiria la timp si in volum deplin. La data de </w:t>
      </w:r>
      <w:r>
        <w:rPr>
          <w:color w:val="000000"/>
          <w:spacing w:val="0"/>
          <w:w w:val="100"/>
          <w:position w:val="0"/>
          <w:shd w:val="clear" w:color="auto" w:fill="auto"/>
          <w:lang w:val="ru-RU" w:eastAsia="ru-RU" w:bidi="ru-RU"/>
        </w:rPr>
        <w:t xml:space="preserve">28.06.2013, </w:t>
      </w:r>
      <w:r>
        <w:rPr>
          <w:color w:val="000000"/>
          <w:spacing w:val="0"/>
          <w:w w:val="100"/>
          <w:position w:val="0"/>
          <w:shd w:val="clear" w:color="auto" w:fill="auto"/>
          <w:lang w:val="en-US" w:eastAsia="en-US" w:bidi="en-US"/>
        </w:rPr>
        <w:t xml:space="preserve">a fost semnat Acordul aditional nr.4 prin care SC „Dincomex” S.R.L. si-a asumat obligatia de a achita datoriile pentru chirie, acumulate anterior, conform graficului de esalonare prevazut in punctul </w:t>
      </w:r>
      <w:r>
        <w:rPr>
          <w:color w:val="000000"/>
          <w:spacing w:val="0"/>
          <w:w w:val="100"/>
          <w:position w:val="0"/>
          <w:shd w:val="clear" w:color="auto" w:fill="auto"/>
          <w:lang w:val="ru-RU" w:eastAsia="ru-RU" w:bidi="ru-RU"/>
        </w:rPr>
        <w:t xml:space="preserve">3 </w:t>
      </w:r>
      <w:r>
        <w:rPr>
          <w:color w:val="000000"/>
          <w:spacing w:val="0"/>
          <w:w w:val="100"/>
          <w:position w:val="0"/>
          <w:shd w:val="clear" w:color="auto" w:fill="auto"/>
          <w:lang w:val="en-US" w:eastAsia="en-US" w:bidi="en-US"/>
        </w:rPr>
        <w:t>al acordului mentionat, concomitent cu platile curente pentru chirie.</w:t>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 xml:space="preserve">Ulterior, in conditiile in care SC „Dincomex” SRL in mod sistematic a incalcat prevederile contractuale, acumuland datorii pentru neachitarea la timp si in mod deplin. In rezultat, prin cererea de chemare in judecata nr. H-4/2631 din </w:t>
      </w:r>
      <w:r>
        <w:rPr>
          <w:color w:val="000000"/>
          <w:spacing w:val="0"/>
          <w:w w:val="100"/>
          <w:position w:val="0"/>
          <w:shd w:val="clear" w:color="auto" w:fill="auto"/>
          <w:lang w:val="ru-RU" w:eastAsia="ru-RU" w:bidi="ru-RU"/>
        </w:rPr>
        <w:t xml:space="preserve">28.10.2014, </w:t>
      </w:r>
      <w:r>
        <w:rPr>
          <w:color w:val="000000"/>
          <w:spacing w:val="0"/>
          <w:w w:val="100"/>
          <w:position w:val="0"/>
          <w:shd w:val="clear" w:color="auto" w:fill="auto"/>
          <w:lang w:val="en-US" w:eastAsia="en-US" w:bidi="en-US"/>
        </w:rPr>
        <w:t xml:space="preserve">depusa la Judecatoria sect. Rascani, mun. Chisinau, I.S. „CFM” in calitate de reclamant a solicitat incasarea datoriei in suma totala de </w:t>
      </w:r>
      <w:r>
        <w:rPr>
          <w:color w:val="000000"/>
          <w:spacing w:val="0"/>
          <w:w w:val="100"/>
          <w:position w:val="0"/>
          <w:shd w:val="clear" w:color="auto" w:fill="auto"/>
          <w:lang w:val="ru-RU" w:eastAsia="ru-RU" w:bidi="ru-RU"/>
        </w:rPr>
        <w:t xml:space="preserve">7,660 </w:t>
      </w:r>
      <w:r>
        <w:rPr>
          <w:color w:val="000000"/>
          <w:spacing w:val="0"/>
          <w:w w:val="100"/>
          <w:position w:val="0"/>
          <w:shd w:val="clear" w:color="auto" w:fill="auto"/>
          <w:lang w:val="en-US" w:eastAsia="en-US" w:bidi="en-US"/>
        </w:rPr>
        <w:t xml:space="preserve">mil. lei de la SC „Dincomex” SRL, dintre care </w:t>
      </w:r>
      <w:r>
        <w:rPr>
          <w:color w:val="000000"/>
          <w:spacing w:val="0"/>
          <w:w w:val="100"/>
          <w:position w:val="0"/>
          <w:shd w:val="clear" w:color="auto" w:fill="auto"/>
          <w:lang w:val="ru-RU" w:eastAsia="ru-RU" w:bidi="ru-RU"/>
        </w:rPr>
        <w:t xml:space="preserve">7,261 </w:t>
      </w:r>
      <w:r>
        <w:rPr>
          <w:color w:val="000000"/>
          <w:spacing w:val="0"/>
          <w:w w:val="100"/>
          <w:position w:val="0"/>
          <w:shd w:val="clear" w:color="auto" w:fill="auto"/>
          <w:lang w:val="en-US" w:eastAsia="en-US" w:bidi="en-US"/>
        </w:rPr>
        <w:t xml:space="preserve">mil. lei in baza contractului de locatiune nr. </w:t>
      </w:r>
      <w:r>
        <w:rPr>
          <w:color w:val="000000"/>
          <w:spacing w:val="0"/>
          <w:w w:val="100"/>
          <w:position w:val="0"/>
          <w:shd w:val="clear" w:color="auto" w:fill="auto"/>
          <w:lang w:val="ru-RU" w:eastAsia="ru-RU" w:bidi="ru-RU"/>
        </w:rPr>
        <w:t xml:space="preserve">8300005 </w:t>
      </w:r>
      <w:r>
        <w:rPr>
          <w:color w:val="000000"/>
          <w:spacing w:val="0"/>
          <w:w w:val="100"/>
          <w:position w:val="0"/>
          <w:shd w:val="clear" w:color="auto" w:fill="auto"/>
          <w:lang w:val="en-US" w:eastAsia="en-US" w:bidi="en-US"/>
        </w:rPr>
        <w:t xml:space="preserve">din </w:t>
      </w:r>
      <w:r>
        <w:rPr>
          <w:color w:val="000000"/>
          <w:spacing w:val="0"/>
          <w:w w:val="100"/>
          <w:position w:val="0"/>
          <w:shd w:val="clear" w:color="auto" w:fill="auto"/>
          <w:lang w:val="ru-RU" w:eastAsia="ru-RU" w:bidi="ru-RU"/>
        </w:rPr>
        <w:t xml:space="preserve">16.04.2010 </w:t>
      </w:r>
      <w:r>
        <w:rPr>
          <w:color w:val="000000"/>
          <w:spacing w:val="0"/>
          <w:w w:val="100"/>
          <w:position w:val="0"/>
          <w:shd w:val="clear" w:color="auto" w:fill="auto"/>
          <w:lang w:val="en-US" w:eastAsia="en-US" w:bidi="en-US"/>
        </w:rPr>
        <w:t xml:space="preserve">si </w:t>
      </w:r>
      <w:r>
        <w:rPr>
          <w:color w:val="000000"/>
          <w:spacing w:val="0"/>
          <w:w w:val="100"/>
          <w:position w:val="0"/>
          <w:shd w:val="clear" w:color="auto" w:fill="auto"/>
          <w:lang w:val="ru-RU" w:eastAsia="ru-RU" w:bidi="ru-RU"/>
        </w:rPr>
        <w:t xml:space="preserve">398,4 </w:t>
      </w:r>
      <w:r>
        <w:rPr>
          <w:color w:val="000000"/>
          <w:spacing w:val="0"/>
          <w:w w:val="100"/>
          <w:position w:val="0"/>
          <w:shd w:val="clear" w:color="auto" w:fill="auto"/>
          <w:lang w:val="en-US" w:eastAsia="en-US" w:bidi="en-US"/>
        </w:rPr>
        <w:t xml:space="preserve">mii lei in baza contractului de locatiune nr. </w:t>
      </w:r>
      <w:r>
        <w:rPr>
          <w:color w:val="000000"/>
          <w:spacing w:val="0"/>
          <w:w w:val="100"/>
          <w:position w:val="0"/>
          <w:shd w:val="clear" w:color="auto" w:fill="auto"/>
          <w:lang w:val="ru-RU" w:eastAsia="ru-RU" w:bidi="ru-RU"/>
        </w:rPr>
        <w:t xml:space="preserve">8300239 </w:t>
      </w:r>
      <w:r>
        <w:rPr>
          <w:color w:val="000000"/>
          <w:spacing w:val="0"/>
          <w:w w:val="100"/>
          <w:position w:val="0"/>
          <w:shd w:val="clear" w:color="auto" w:fill="auto"/>
          <w:lang w:val="en-US" w:eastAsia="en-US" w:bidi="en-US"/>
        </w:rPr>
        <w:t xml:space="preserve">din </w:t>
      </w:r>
      <w:r>
        <w:rPr>
          <w:color w:val="000000"/>
          <w:spacing w:val="0"/>
          <w:w w:val="100"/>
          <w:position w:val="0"/>
          <w:shd w:val="clear" w:color="auto" w:fill="auto"/>
          <w:lang w:val="ru-RU" w:eastAsia="ru-RU" w:bidi="ru-RU"/>
        </w:rPr>
        <w:t>03.06.2011.</w:t>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 xml:space="preserve">Astfel, in baza Titlului executoriu din </w:t>
      </w:r>
      <w:r>
        <w:rPr>
          <w:color w:val="000000"/>
          <w:spacing w:val="0"/>
          <w:w w:val="100"/>
          <w:position w:val="0"/>
          <w:shd w:val="clear" w:color="auto" w:fill="auto"/>
          <w:lang w:val="ru-RU" w:eastAsia="ru-RU" w:bidi="ru-RU"/>
        </w:rPr>
        <w:t xml:space="preserve">30.03.2016, </w:t>
      </w:r>
      <w:r>
        <w:rPr>
          <w:color w:val="000000"/>
          <w:spacing w:val="0"/>
          <w:w w:val="100"/>
          <w:position w:val="0"/>
          <w:shd w:val="clear" w:color="auto" w:fill="auto"/>
          <w:lang w:val="en-US" w:eastAsia="en-US" w:bidi="en-US"/>
        </w:rPr>
        <w:t xml:space="preserve">s-a decis incasarea de la Firma a sumei </w:t>
      </w:r>
      <w:r>
        <w:rPr>
          <w:color w:val="000000"/>
          <w:spacing w:val="0"/>
          <w:w w:val="100"/>
          <w:position w:val="0"/>
          <w:shd w:val="clear" w:color="auto" w:fill="auto"/>
          <w:lang w:val="ru-RU" w:eastAsia="ru-RU" w:bidi="ru-RU"/>
        </w:rPr>
        <w:t xml:space="preserve">7,660 </w:t>
      </w:r>
      <w:r>
        <w:rPr>
          <w:color w:val="000000"/>
          <w:spacing w:val="0"/>
          <w:w w:val="100"/>
          <w:position w:val="0"/>
          <w:shd w:val="clear" w:color="auto" w:fill="auto"/>
          <w:lang w:val="en-US" w:eastAsia="en-US" w:bidi="en-US"/>
        </w:rPr>
        <w:t xml:space="preserve">mil. lei, ulterior a fost emis de catre Judecatoria Chisinau sediul Centru la </w:t>
      </w:r>
      <w:r>
        <w:rPr>
          <w:color w:val="000000"/>
          <w:spacing w:val="0"/>
          <w:w w:val="100"/>
          <w:position w:val="0"/>
          <w:shd w:val="clear" w:color="auto" w:fill="auto"/>
          <w:lang w:val="ru-RU" w:eastAsia="ru-RU" w:bidi="ru-RU"/>
        </w:rPr>
        <w:t xml:space="preserve">01.10.2018 </w:t>
      </w:r>
      <w:r>
        <w:rPr>
          <w:color w:val="000000"/>
          <w:spacing w:val="0"/>
          <w:w w:val="100"/>
          <w:position w:val="0"/>
          <w:shd w:val="clear" w:color="auto" w:fill="auto"/>
          <w:lang w:val="en-US" w:eastAsia="en-US" w:bidi="en-US"/>
        </w:rPr>
        <w:t xml:space="preserve">un nou Titlu executoriu pentru suma de </w:t>
      </w:r>
      <w:r>
        <w:rPr>
          <w:color w:val="000000"/>
          <w:spacing w:val="0"/>
          <w:w w:val="100"/>
          <w:position w:val="0"/>
          <w:shd w:val="clear" w:color="auto" w:fill="auto"/>
          <w:lang w:val="ru-RU" w:eastAsia="ru-RU" w:bidi="ru-RU"/>
        </w:rPr>
        <w:t xml:space="preserve">6,266 </w:t>
      </w:r>
      <w:r>
        <w:rPr>
          <w:color w:val="000000"/>
          <w:spacing w:val="0"/>
          <w:w w:val="100"/>
          <w:position w:val="0"/>
          <w:shd w:val="clear" w:color="auto" w:fill="auto"/>
          <w:lang w:val="en-US" w:eastAsia="en-US" w:bidi="en-US"/>
        </w:rPr>
        <w:t xml:space="preserve">mil. lei. Pana la data de </w:t>
      </w:r>
      <w:r>
        <w:rPr>
          <w:color w:val="000000"/>
          <w:spacing w:val="0"/>
          <w:w w:val="100"/>
          <w:position w:val="0"/>
          <w:shd w:val="clear" w:color="auto" w:fill="auto"/>
          <w:lang w:val="ru-RU" w:eastAsia="ru-RU" w:bidi="ru-RU"/>
        </w:rPr>
        <w:t xml:space="preserve">30.06.2019, </w:t>
      </w:r>
      <w:r>
        <w:rPr>
          <w:color w:val="000000"/>
          <w:spacing w:val="0"/>
          <w:w w:val="100"/>
          <w:position w:val="0"/>
          <w:shd w:val="clear" w:color="auto" w:fill="auto"/>
          <w:lang w:val="en-US" w:eastAsia="en-US" w:bidi="en-US"/>
        </w:rPr>
        <w:t xml:space="preserve">de catre persoanele responsabile n-au fost intreprinse masuri legale si eficiente privind incasarea acesteia. </w:t>
      </w:r>
      <w:r>
        <w:rPr>
          <w:color w:val="000000"/>
          <w:spacing w:val="0"/>
          <w:w w:val="100"/>
          <w:position w:val="0"/>
          <w:shd w:val="clear" w:color="auto" w:fill="auto"/>
          <w:vertAlign w:val="superscript"/>
          <w:lang w:val="ru-RU" w:eastAsia="ru-RU" w:bidi="ru-RU"/>
        </w:rPr>
        <w:t>37</w:t>
      </w:r>
    </w:p>
    <w:p>
      <w:pPr>
        <w:pStyle w:val="Style17"/>
        <w:keepNext w:val="0"/>
        <w:keepLines w:val="0"/>
        <w:widowControl w:val="0"/>
        <w:numPr>
          <w:ilvl w:val="0"/>
          <w:numId w:val="25"/>
        </w:numPr>
        <w:shd w:val="clear" w:color="auto" w:fill="auto"/>
        <w:tabs>
          <w:tab w:pos="865" w:val="left"/>
        </w:tabs>
        <w:bidi w:val="0"/>
        <w:spacing w:before="0" w:after="160" w:line="240" w:lineRule="auto"/>
        <w:ind w:left="0" w:right="0" w:firstLine="660"/>
        <w:jc w:val="both"/>
      </w:pPr>
      <w:r>
        <w:rPr>
          <w:b/>
          <w:bCs/>
          <w:color w:val="000000"/>
          <w:spacing w:val="0"/>
          <w:w w:val="100"/>
          <w:position w:val="0"/>
          <w:shd w:val="clear" w:color="auto" w:fill="auto"/>
          <w:lang w:val="en-US" w:eastAsia="en-US" w:bidi="en-US"/>
        </w:rPr>
        <w:t>Contracte sisteme IT incheiate cu SC „Katia Expert Consulting” S.R.L., SRL „BASS Systems”, SRL „DSS-Group”</w:t>
      </w:r>
    </w:p>
    <w:p>
      <w:pPr>
        <w:pStyle w:val="Style15"/>
        <w:keepNext/>
        <w:keepLines/>
        <w:widowControl w:val="0"/>
        <w:numPr>
          <w:ilvl w:val="1"/>
          <w:numId w:val="25"/>
        </w:numPr>
        <w:shd w:val="clear" w:color="auto" w:fill="auto"/>
        <w:tabs>
          <w:tab w:pos="1194" w:val="left"/>
        </w:tabs>
        <w:bidi w:val="0"/>
        <w:spacing w:before="0" w:after="160" w:line="240" w:lineRule="auto"/>
        <w:ind w:left="0" w:right="0"/>
        <w:jc w:val="both"/>
      </w:pPr>
      <w:bookmarkStart w:id="56" w:name="bookmark56"/>
      <w:bookmarkStart w:id="57" w:name="bookmark57"/>
      <w:r>
        <w:rPr>
          <w:color w:val="000000"/>
          <w:spacing w:val="0"/>
          <w:w w:val="100"/>
          <w:position w:val="0"/>
          <w:shd w:val="clear" w:color="auto" w:fill="auto"/>
          <w:lang w:val="en-US" w:eastAsia="en-US" w:bidi="en-US"/>
        </w:rPr>
        <w:t>Contractul incheiat cu SC „Katia Expert Consulting” S.R.L.</w:t>
      </w:r>
      <w:bookmarkEnd w:id="56"/>
      <w:bookmarkEnd w:id="57"/>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 xml:space="preserve">Conform actului Inspectiei financiare din 08.07. 2016, potrivit clauzelor contractului de vanzare - cumparare echipamente nr. [APC.2012.02]/[25.01.2012] (8400402) din 25.01.2012, incheiat intre I.S. „CFM” si SC „Katia Expert Consulting” S.R.L., I.S. „CFM” in calitate de cumparatorul a procurat 10 echipamente „KIT Terminal” pentru eliberarea de tichete conform conditiilor acceptate de comun acord intre parti la pret de 8250,0 EUR. La data de 01.06.2012, a fost incheiat Acordul aditional nr. 1 la contractul mentionat mai sus. Prin prevederile acestuia s-a confirmat solicitarea de achizitie a unui echipament IT in </w:t>
      </w:r>
      <w:r>
        <w:rPr>
          <w:color w:val="000000"/>
          <w:spacing w:val="0"/>
          <w:w w:val="100"/>
          <w:position w:val="0"/>
          <w:shd w:val="clear" w:color="auto" w:fill="auto"/>
          <w:lang w:val="en-US" w:eastAsia="en-US" w:bidi="en-US"/>
        </w:rPr>
        <w:t xml:space="preserve">suma de </w:t>
      </w:r>
      <w:r>
        <w:rPr>
          <w:color w:val="000000"/>
          <w:spacing w:val="0"/>
          <w:w w:val="100"/>
          <w:position w:val="0"/>
          <w:shd w:val="clear" w:color="auto" w:fill="auto"/>
          <w:lang w:val="ru-RU" w:eastAsia="ru-RU" w:bidi="ru-RU"/>
        </w:rPr>
        <w:t xml:space="preserve">10000,0 </w:t>
      </w:r>
      <w:r>
        <w:rPr>
          <w:color w:val="000000"/>
          <w:spacing w:val="0"/>
          <w:w w:val="100"/>
          <w:position w:val="0"/>
          <w:shd w:val="clear" w:color="auto" w:fill="auto"/>
          <w:lang w:val="en-US" w:eastAsia="en-US" w:bidi="en-US"/>
        </w:rPr>
        <w:t xml:space="preserve">EUR. La data de </w:t>
      </w:r>
      <w:r>
        <w:rPr>
          <w:color w:val="000000"/>
          <w:spacing w:val="0"/>
          <w:w w:val="100"/>
          <w:position w:val="0"/>
          <w:shd w:val="clear" w:color="auto" w:fill="auto"/>
          <w:lang w:val="ru-RU" w:eastAsia="ru-RU" w:bidi="ru-RU"/>
        </w:rPr>
        <w:t xml:space="preserve">25.01.2012 </w:t>
      </w:r>
      <w:r>
        <w:rPr>
          <w:color w:val="000000"/>
          <w:spacing w:val="0"/>
          <w:w w:val="100"/>
          <w:position w:val="0"/>
          <w:shd w:val="clear" w:color="auto" w:fill="auto"/>
          <w:lang w:val="en-US" w:eastAsia="en-US" w:bidi="en-US"/>
        </w:rPr>
        <w:t xml:space="preserve">intre I.S. „CFM” si SC „Katia Expert Consulting” S.R.L. (in continuare Societate) a fost incheiat contractul nr. [APC.2012.01]/[25.01.2012] </w:t>
      </w:r>
      <w:r>
        <w:rPr>
          <w:color w:val="000000"/>
          <w:spacing w:val="0"/>
          <w:w w:val="100"/>
          <w:position w:val="0"/>
          <w:shd w:val="clear" w:color="auto" w:fill="auto"/>
          <w:lang w:val="ru-RU" w:eastAsia="ru-RU" w:bidi="ru-RU"/>
        </w:rPr>
        <w:t xml:space="preserve">(8400403), </w:t>
      </w:r>
      <w:r>
        <w:rPr>
          <w:color w:val="000000"/>
          <w:spacing w:val="0"/>
          <w:w w:val="100"/>
          <w:position w:val="0"/>
          <w:shd w:val="clear" w:color="auto" w:fill="auto"/>
          <w:lang w:val="en-US" w:eastAsia="en-US" w:bidi="en-US"/>
        </w:rPr>
        <w:t xml:space="preserve">obiectul caruia il constituie dreptul de utilizare a Programului (Aplicatie PMS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 xml:space="preserve">Aplicatie ticketing cu </w:t>
      </w:r>
      <w:r>
        <w:rPr>
          <w:color w:val="000000"/>
          <w:spacing w:val="0"/>
          <w:w w:val="100"/>
          <w:position w:val="0"/>
          <w:shd w:val="clear" w:color="auto" w:fill="auto"/>
          <w:lang w:val="ru-RU" w:eastAsia="ru-RU" w:bidi="ru-RU"/>
        </w:rPr>
        <w:t xml:space="preserve">10 </w:t>
      </w:r>
      <w:r>
        <w:rPr>
          <w:color w:val="000000"/>
          <w:spacing w:val="0"/>
          <w:w w:val="100"/>
          <w:position w:val="0"/>
          <w:shd w:val="clear" w:color="auto" w:fill="auto"/>
          <w:lang w:val="en-US" w:eastAsia="en-US" w:bidi="en-US"/>
        </w:rPr>
        <w:t xml:space="preserve">utilizatori) si implementarea acesteia conform termenelor si conditiilor agreate in contract. Pretul contractului este de </w:t>
      </w:r>
      <w:r>
        <w:rPr>
          <w:color w:val="000000"/>
          <w:spacing w:val="0"/>
          <w:w w:val="100"/>
          <w:position w:val="0"/>
          <w:shd w:val="clear" w:color="auto" w:fill="auto"/>
          <w:lang w:val="ru-RU" w:eastAsia="ru-RU" w:bidi="ru-RU"/>
        </w:rPr>
        <w:t xml:space="preserve">125000,0 </w:t>
      </w:r>
      <w:r>
        <w:rPr>
          <w:color w:val="000000"/>
          <w:spacing w:val="0"/>
          <w:w w:val="100"/>
          <w:position w:val="0"/>
          <w:shd w:val="clear" w:color="auto" w:fill="auto"/>
          <w:lang w:val="en-US" w:eastAsia="en-US" w:bidi="en-US"/>
        </w:rPr>
        <w:t>EUR.</w:t>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 xml:space="preserve">In urma incheierii contractelor mentionate mai sus, conform informatiei din raportul Inspectiei Financiare din </w:t>
      </w:r>
      <w:r>
        <w:rPr>
          <w:color w:val="000000"/>
          <w:spacing w:val="0"/>
          <w:w w:val="100"/>
          <w:position w:val="0"/>
          <w:shd w:val="clear" w:color="auto" w:fill="auto"/>
          <w:lang w:val="ru-RU" w:eastAsia="ru-RU" w:bidi="ru-RU"/>
        </w:rPr>
        <w:t xml:space="preserve">08.07.2016, </w:t>
      </w:r>
      <w:r>
        <w:rPr>
          <w:color w:val="000000"/>
          <w:spacing w:val="0"/>
          <w:w w:val="100"/>
          <w:position w:val="0"/>
          <w:shd w:val="clear" w:color="auto" w:fill="auto"/>
          <w:lang w:val="en-US" w:eastAsia="en-US" w:bidi="en-US"/>
        </w:rPr>
        <w:t xml:space="preserve">I.S. „CFM” a efectuat cheltuieli ineficiente in suma de </w:t>
      </w:r>
      <w:r>
        <w:rPr>
          <w:color w:val="000000"/>
          <w:spacing w:val="0"/>
          <w:w w:val="100"/>
          <w:position w:val="0"/>
          <w:shd w:val="clear" w:color="auto" w:fill="auto"/>
          <w:lang w:val="ru-RU" w:eastAsia="ru-RU" w:bidi="ru-RU"/>
        </w:rPr>
        <w:t xml:space="preserve">2,005 </w:t>
      </w:r>
      <w:r>
        <w:rPr>
          <w:color w:val="000000"/>
          <w:spacing w:val="0"/>
          <w:w w:val="100"/>
          <w:position w:val="0"/>
          <w:shd w:val="clear" w:color="auto" w:fill="auto"/>
          <w:lang w:val="en-US" w:eastAsia="en-US" w:bidi="en-US"/>
        </w:rPr>
        <w:t xml:space="preserve">mil. lei, suportate pentru procurarea a </w:t>
      </w:r>
      <w:r>
        <w:rPr>
          <w:color w:val="000000"/>
          <w:spacing w:val="0"/>
          <w:w w:val="100"/>
          <w:position w:val="0"/>
          <w:shd w:val="clear" w:color="auto" w:fill="auto"/>
          <w:lang w:val="ru-RU" w:eastAsia="ru-RU" w:bidi="ru-RU"/>
        </w:rPr>
        <w:t xml:space="preserve">10 </w:t>
      </w:r>
      <w:r>
        <w:rPr>
          <w:color w:val="000000"/>
          <w:spacing w:val="0"/>
          <w:w w:val="100"/>
          <w:position w:val="0"/>
          <w:shd w:val="clear" w:color="auto" w:fill="auto"/>
          <w:lang w:val="en-US" w:eastAsia="en-US" w:bidi="en-US"/>
        </w:rPr>
        <w:t>echipamente „KIT Terminal” pentru eliberarea de tichete si un echipament IT (server), care in procesul activitatii nu se folosesc, acestea fiind pastrate la depozit.</w:t>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 xml:space="preserve">Ulterior, in cadrul actului Inspectiei Financiare din </w:t>
      </w:r>
      <w:r>
        <w:rPr>
          <w:color w:val="000000"/>
          <w:spacing w:val="0"/>
          <w:w w:val="100"/>
          <w:position w:val="0"/>
          <w:shd w:val="clear" w:color="auto" w:fill="auto"/>
          <w:lang w:val="ru-RU" w:eastAsia="ru-RU" w:bidi="ru-RU"/>
        </w:rPr>
        <w:t xml:space="preserve">08.11.2019 </w:t>
      </w:r>
      <w:r>
        <w:rPr>
          <w:color w:val="000000"/>
          <w:spacing w:val="0"/>
          <w:w w:val="100"/>
          <w:position w:val="0"/>
          <w:shd w:val="clear" w:color="auto" w:fill="auto"/>
          <w:lang w:val="en-US" w:eastAsia="en-US" w:bidi="en-US"/>
        </w:rPr>
        <w:t xml:space="preserve">s-a stabilit ca din totalul imobilizarilor necorporale, 12,275 mil. lei constituie valoarea </w:t>
      </w:r>
      <w:r>
        <w:rPr>
          <w:i/>
          <w:iCs/>
          <w:color w:val="000000"/>
          <w:spacing w:val="0"/>
          <w:w w:val="100"/>
          <w:position w:val="0"/>
          <w:shd w:val="clear" w:color="auto" w:fill="auto"/>
          <w:lang w:val="en-US" w:eastAsia="en-US" w:bidi="en-US"/>
        </w:rPr>
        <w:t>imobilizarilor necorporale nefinisate</w:t>
      </w:r>
      <w:r>
        <w:rPr>
          <w:color w:val="000000"/>
          <w:spacing w:val="0"/>
          <w:w w:val="100"/>
          <w:position w:val="0"/>
          <w:shd w:val="clear" w:color="auto" w:fill="auto"/>
          <w:lang w:val="en-US" w:eastAsia="en-US" w:bidi="en-US"/>
        </w:rPr>
        <w:t>, din care 2,005 mil. lei, pentru procurarea Aplicatie PMS + Aplicatie ticketing cu 10 utilizatori (echipamente procurate in anul 2012) (KIT Terminal). Astfel,</w:t>
      </w:r>
    </w:p>
    <w:p>
      <w:pPr>
        <w:pStyle w:val="Style17"/>
        <w:keepNext w:val="0"/>
        <w:keepLines w:val="0"/>
        <w:widowControl w:val="0"/>
        <w:shd w:val="clear" w:color="auto" w:fill="auto"/>
        <w:tabs>
          <w:tab w:pos="500" w:val="left"/>
        </w:tabs>
        <w:bidi w:val="0"/>
        <w:spacing w:before="0" w:after="0" w:line="240" w:lineRule="auto"/>
        <w:ind w:left="0" w:right="0" w:firstLine="0"/>
        <w:jc w:val="both"/>
      </w:pPr>
      <w:r>
        <w:rPr>
          <w:color w:val="000000"/>
          <w:spacing w:val="0"/>
          <w:w w:val="100"/>
          <w:position w:val="0"/>
          <w:shd w:val="clear" w:color="auto" w:fill="auto"/>
          <w:lang w:val="en-US" w:eastAsia="en-US" w:bidi="en-US"/>
        </w:rPr>
        <w:t>I.S.</w:t>
        <w:tab/>
        <w:t>„CFM” a efectuat investitii ineficiente care in procesul activitatii nu se folosesc.</w:t>
      </w:r>
    </w:p>
    <w:p>
      <w:pPr>
        <w:pStyle w:val="Style15"/>
        <w:keepNext/>
        <w:keepLines/>
        <w:widowControl w:val="0"/>
        <w:numPr>
          <w:ilvl w:val="1"/>
          <w:numId w:val="25"/>
        </w:numPr>
        <w:shd w:val="clear" w:color="auto" w:fill="auto"/>
        <w:tabs>
          <w:tab w:pos="1194" w:val="left"/>
        </w:tabs>
        <w:bidi w:val="0"/>
        <w:spacing w:before="0" w:after="0" w:line="240" w:lineRule="auto"/>
        <w:ind w:left="0" w:right="0"/>
        <w:jc w:val="both"/>
      </w:pPr>
      <w:bookmarkStart w:id="58" w:name="bookmark58"/>
      <w:bookmarkStart w:id="59" w:name="bookmark59"/>
      <w:r>
        <w:rPr>
          <w:color w:val="000000"/>
          <w:spacing w:val="0"/>
          <w:w w:val="100"/>
          <w:position w:val="0"/>
          <w:shd w:val="clear" w:color="auto" w:fill="auto"/>
          <w:lang w:val="en-US" w:eastAsia="en-US" w:bidi="en-US"/>
        </w:rPr>
        <w:t>Contractul incheiat cu SRL „BASS Systems”</w:t>
      </w:r>
      <w:bookmarkEnd w:id="58"/>
      <w:bookmarkEnd w:id="59"/>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 xml:space="preserve">La data de 25.06.2015, I.S. „CFM” a incheiat contractul nr. 1322/11/2015 cu SRL „BASS Systems” privind achizitionarea Sistemului Informational Integrat pentru Gestiunea Resurselor intreprinderii. Valoarea contractului constituie 1,613 mil. dolari SUA. Conform datelor evidentei contabile SRL „BASS Systems” a transmis I.S. „CFM” aplicatiile software aferente sistemului in valoare de 823,1 mii dolari SUA sau 15,403 mil. lei fiind semnate in acest sens actul de predare - primire corespunzator si emisa factura fiscala seria JV0354865 din 30.06.2015. I.S. „CFM” a achitat pentru serviciile prestate suma de 3,400 mil. lei si inregistra la momentul efectuarii inspectarii o datorie creditoare fata de SRL „BASS Systems” in suma de 12,0304 mil. lei. </w:t>
      </w:r>
      <w:r>
        <w:rPr>
          <w:color w:val="000000"/>
          <w:spacing w:val="0"/>
          <w:w w:val="100"/>
          <w:position w:val="0"/>
          <w:shd w:val="clear" w:color="auto" w:fill="auto"/>
          <w:vertAlign w:val="superscript"/>
          <w:lang w:val="en-US" w:eastAsia="en-US" w:bidi="en-US"/>
        </w:rPr>
        <w:t>38</w:t>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 xml:space="preserve">Ulterior, in actul Inspectiei Financiare din 08.11.2019 s-a stabilit ca din totalul imobilizarilor necorporale, 12 275,9 mii lei constituie valoarea </w:t>
      </w:r>
      <w:r>
        <w:rPr>
          <w:i/>
          <w:iCs/>
          <w:color w:val="000000"/>
          <w:spacing w:val="0"/>
          <w:w w:val="100"/>
          <w:position w:val="0"/>
          <w:shd w:val="clear" w:color="auto" w:fill="auto"/>
          <w:lang w:val="en-US" w:eastAsia="en-US" w:bidi="en-US"/>
        </w:rPr>
        <w:t>imobilizarilor necorporale nefinisate</w:t>
      </w:r>
      <w:r>
        <w:rPr>
          <w:color w:val="000000"/>
          <w:spacing w:val="0"/>
          <w:w w:val="100"/>
          <w:position w:val="0"/>
          <w:shd w:val="clear" w:color="auto" w:fill="auto"/>
          <w:lang w:val="en-US" w:eastAsia="en-US" w:bidi="en-US"/>
        </w:rPr>
        <w:t>, din care 10,270 mil. lei, mijloace financiare transferate de catre I.S. „CFM” catre SRL BASS „Systems”, conform contractului nr. 1322/11/2015 din 25.06.2015, intru achizitionarea Sistemului Informational Integrat pentru Gestionarea Resurselor intreprinderii (in perioada supusa inspectarii suma de 9,157 mil. lei). Astfel, I.S. „CFM” a efectuat investitii ineficiente care in procesul activitatii nu se folosesc.</w:t>
      </w:r>
    </w:p>
    <w:p>
      <w:pPr>
        <w:pStyle w:val="Style15"/>
        <w:keepNext/>
        <w:keepLines/>
        <w:widowControl w:val="0"/>
        <w:numPr>
          <w:ilvl w:val="1"/>
          <w:numId w:val="25"/>
        </w:numPr>
        <w:shd w:val="clear" w:color="auto" w:fill="auto"/>
        <w:tabs>
          <w:tab w:pos="1194" w:val="left"/>
        </w:tabs>
        <w:bidi w:val="0"/>
        <w:spacing w:before="0" w:after="0" w:line="240" w:lineRule="auto"/>
        <w:ind w:left="0" w:right="0"/>
        <w:jc w:val="both"/>
      </w:pPr>
      <w:bookmarkStart w:id="60" w:name="bookmark60"/>
      <w:bookmarkStart w:id="61" w:name="bookmark61"/>
      <w:r>
        <w:rPr>
          <w:color w:val="000000"/>
          <w:spacing w:val="0"/>
          <w:w w:val="100"/>
          <w:position w:val="0"/>
          <w:shd w:val="clear" w:color="auto" w:fill="auto"/>
          <w:lang w:val="en-US" w:eastAsia="en-US" w:bidi="en-US"/>
        </w:rPr>
        <w:t>Contractul incheiat cu SRL „DSS-Group”</w:t>
      </w:r>
      <w:bookmarkEnd w:id="60"/>
      <w:bookmarkEnd w:id="61"/>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Din actul Inspectiei Financiare din 08.07. 2016, a fost stabilit ca in baza contractului nr. 1389/IV/2015 din 30.07.2015, semnat intre SC ”DSS-Group” SRL in calitate de „Administrator” pe de o parte si I.S. „CFM” in calitate de „Agentie” pe de alta parte a fost determinat dreptul administratorului de a gestiona in exclusivitate un sistem electronic de acumulare si stocare a datelor privind capacitatile de transportare propuse spre vanzare, raportarea si decontarea biletelor in transportul feroviar si serviciile transportului feroviar.</w:t>
      </w:r>
    </w:p>
    <w:p>
      <w:pPr>
        <w:pStyle w:val="Style17"/>
        <w:keepNext w:val="0"/>
        <w:keepLines w:val="0"/>
        <w:widowControl w:val="0"/>
        <w:shd w:val="clear" w:color="auto" w:fill="auto"/>
        <w:bidi w:val="0"/>
        <w:spacing w:before="0" w:after="0" w:line="240" w:lineRule="auto"/>
        <w:ind w:left="0" w:right="0" w:firstLine="660"/>
        <w:jc w:val="both"/>
        <w:sectPr>
          <w:headerReference w:type="default" r:id="rId30"/>
          <w:footerReference w:type="default" r:id="rId31"/>
          <w:headerReference w:type="first" r:id="rId32"/>
          <w:footerReference w:type="first" r:id="rId33"/>
          <w:footnotePr>
            <w:pos w:val="pageBottom"/>
            <w:numFmt w:val="decimal"/>
            <w:numStart w:val="8"/>
            <w:numRestart w:val="continuous"/>
            <w15:footnoteColumns w:val="1"/>
          </w:footnotePr>
          <w:pgSz w:w="11900" w:h="16840"/>
          <w:pgMar w:top="578" w:left="1162" w:right="457" w:bottom="823" w:header="0" w:footer="3" w:gutter="0"/>
          <w:cols w:space="720"/>
          <w:noEndnote/>
          <w:titlePg/>
          <w:rtlGutter w:val="0"/>
          <w:docGrid w:linePitch="360"/>
        </w:sectPr>
      </w:pPr>
      <w:r>
        <w:rPr>
          <w:color w:val="000000"/>
          <w:spacing w:val="0"/>
          <w:w w:val="100"/>
          <w:position w:val="0"/>
          <w:shd w:val="clear" w:color="auto" w:fill="auto"/>
          <w:lang w:val="en-US" w:eastAsia="en-US" w:bidi="en-US"/>
        </w:rPr>
        <w:t xml:space="preserve">In baza contractului din 30.07.2015, semnat intre I.S. „CFM” si SRL „DSS-Group”, ultima s-a angajat sa investeasca in elaborarea, implementarea, mentenanta si administrarea unui sistem electronic de vanzare on-line a biletelor in valoare de 900,0 mii de dolari pe o perioada de 20 de ani, in schimbul incasarii a 5% din costul fiecarui bilet electronic vandut. Clauzele contractuale prevad ca, dupa 20 de ani de la lansarea platformei </w:t>
      </w:r>
    </w:p>
    <w:p>
      <w:pPr>
        <w:pStyle w:val="Style17"/>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en-US" w:eastAsia="en-US" w:bidi="en-US"/>
        </w:rPr>
        <w:t xml:space="preserve">on-line, compania SRL „DSS-Group” urmeaza sa obtina un profit in suma de </w:t>
      </w:r>
      <w:r>
        <w:rPr>
          <w:color w:val="000000"/>
          <w:spacing w:val="0"/>
          <w:w w:val="100"/>
          <w:position w:val="0"/>
          <w:shd w:val="clear" w:color="auto" w:fill="auto"/>
          <w:lang w:val="ru-RU" w:eastAsia="ru-RU" w:bidi="ru-RU"/>
        </w:rPr>
        <w:t xml:space="preserve">324,0 </w:t>
      </w:r>
      <w:r>
        <w:rPr>
          <w:color w:val="000000"/>
          <w:spacing w:val="0"/>
          <w:w w:val="100"/>
          <w:position w:val="0"/>
          <w:shd w:val="clear" w:color="auto" w:fill="auto"/>
          <w:lang w:val="en-US" w:eastAsia="en-US" w:bidi="en-US"/>
        </w:rPr>
        <w:t xml:space="preserve">de mii de dolari. Una din clauzele contractului prevede ca, in cazul in care compania nu obtine profitul mentionat, acesta urmeaza sa fie compensat de catre I.S. „CFM”. De asemenea, in cazul rezilierii contractului la initiativa I.S. „CFM”, compania poate cere despagubiri pentru profitul ratat si investitiile facute. De mentionat, ca cu derogare de la prevederile ari. </w:t>
      </w:r>
      <w:r>
        <w:rPr>
          <w:color w:val="000000"/>
          <w:spacing w:val="0"/>
          <w:w w:val="100"/>
          <w:position w:val="0"/>
          <w:shd w:val="clear" w:color="auto" w:fill="auto"/>
          <w:lang w:val="ru-RU" w:eastAsia="ru-RU" w:bidi="ru-RU"/>
        </w:rPr>
        <w:t xml:space="preserve">7 </w:t>
      </w:r>
      <w:r>
        <w:rPr>
          <w:color w:val="000000"/>
          <w:spacing w:val="0"/>
          <w:w w:val="100"/>
          <w:position w:val="0"/>
          <w:shd w:val="clear" w:color="auto" w:fill="auto"/>
          <w:lang w:val="en-US" w:eastAsia="en-US" w:bidi="en-US"/>
        </w:rPr>
        <w:t xml:space="preserve">alin. </w:t>
      </w:r>
      <w:r>
        <w:rPr>
          <w:color w:val="000000"/>
          <w:spacing w:val="0"/>
          <w:w w:val="100"/>
          <w:position w:val="0"/>
          <w:shd w:val="clear" w:color="auto" w:fill="auto"/>
          <w:lang w:val="ru-RU" w:eastAsia="ru-RU" w:bidi="ru-RU"/>
        </w:rPr>
        <w:t xml:space="preserve">(8) </w:t>
      </w:r>
      <w:r>
        <w:rPr>
          <w:color w:val="000000"/>
          <w:spacing w:val="0"/>
          <w:w w:val="100"/>
          <w:position w:val="0"/>
          <w:shd w:val="clear" w:color="auto" w:fill="auto"/>
          <w:lang w:val="en-US" w:eastAsia="en-US" w:bidi="en-US"/>
        </w:rPr>
        <w:t xml:space="preserve">din Legea cu privire la intreprinderea de stat nr. 146-XIII din </w:t>
      </w:r>
      <w:r>
        <w:rPr>
          <w:color w:val="000000"/>
          <w:spacing w:val="0"/>
          <w:w w:val="100"/>
          <w:position w:val="0"/>
          <w:shd w:val="clear" w:color="auto" w:fill="auto"/>
          <w:lang w:val="ru-RU" w:eastAsia="ru-RU" w:bidi="ru-RU"/>
        </w:rPr>
        <w:t xml:space="preserve">16.06.1994, </w:t>
      </w:r>
      <w:r>
        <w:rPr>
          <w:color w:val="000000"/>
          <w:spacing w:val="0"/>
          <w:w w:val="100"/>
          <w:position w:val="0"/>
          <w:shd w:val="clear" w:color="auto" w:fill="auto"/>
          <w:lang w:val="en-US" w:eastAsia="en-US" w:bidi="en-US"/>
        </w:rPr>
        <w:t>achizitionarea acestor servicii n-a fost coordonata cu Consiliul de administratie al I.S. „CFM”. Reiesind din conditiile contractuale se concluzioneaza ca, angajamentele asumate poarta un caracter dubios, deoarece defavorizeaza situatia financiara a I.S. „CFM” in cazul aparitiei unui litigiu.</w:t>
      </w:r>
    </w:p>
    <w:p>
      <w:pPr>
        <w:pStyle w:val="Style1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 xml:space="preserve">La data de </w:t>
      </w:r>
      <w:r>
        <w:rPr>
          <w:color w:val="000000"/>
          <w:spacing w:val="0"/>
          <w:w w:val="100"/>
          <w:position w:val="0"/>
          <w:shd w:val="clear" w:color="auto" w:fill="auto"/>
          <w:lang w:val="ru-RU" w:eastAsia="ru-RU" w:bidi="ru-RU"/>
        </w:rPr>
        <w:t xml:space="preserve">30.09.2015, </w:t>
      </w:r>
      <w:r>
        <w:rPr>
          <w:color w:val="000000"/>
          <w:spacing w:val="0"/>
          <w:w w:val="100"/>
          <w:position w:val="0"/>
          <w:shd w:val="clear" w:color="auto" w:fill="auto"/>
          <w:lang w:val="en-US" w:eastAsia="en-US" w:bidi="en-US"/>
        </w:rPr>
        <w:t xml:space="preserve">a fost lansata cursa feroviara Chisinau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 xml:space="preserve">Iasi (Socola). Circulatia trenului chiar de la prima zi de lansare a fost marcata de un incident extrem de grav si anume imposibilitatea procurarii biletelor de calatorie, incidente legate de vanzarea biletelor erau inregistrate pana la momentul efectuarii inspectiei financiare din </w:t>
      </w:r>
      <w:r>
        <w:rPr>
          <w:color w:val="000000"/>
          <w:spacing w:val="0"/>
          <w:w w:val="100"/>
          <w:position w:val="0"/>
          <w:shd w:val="clear" w:color="auto" w:fill="auto"/>
          <w:lang w:val="ru-RU" w:eastAsia="ru-RU" w:bidi="ru-RU"/>
        </w:rPr>
        <w:t xml:space="preserve">2016. </w:t>
      </w:r>
      <w:r>
        <w:rPr>
          <w:color w:val="000000"/>
          <w:spacing w:val="0"/>
          <w:w w:val="100"/>
          <w:position w:val="0"/>
          <w:shd w:val="clear" w:color="auto" w:fill="auto"/>
          <w:lang w:val="en-US" w:eastAsia="en-US" w:bidi="en-US"/>
        </w:rPr>
        <w:t xml:space="preserve">In baza contractului nr. 1389/IV/2015 din </w:t>
      </w:r>
      <w:r>
        <w:rPr>
          <w:color w:val="000000"/>
          <w:spacing w:val="0"/>
          <w:w w:val="100"/>
          <w:position w:val="0"/>
          <w:shd w:val="clear" w:color="auto" w:fill="auto"/>
          <w:lang w:val="ru-RU" w:eastAsia="ru-RU" w:bidi="ru-RU"/>
        </w:rPr>
        <w:t xml:space="preserve">30.07.2015, </w:t>
      </w:r>
      <w:r>
        <w:rPr>
          <w:color w:val="000000"/>
          <w:spacing w:val="0"/>
          <w:w w:val="100"/>
          <w:position w:val="0"/>
          <w:shd w:val="clear" w:color="auto" w:fill="auto"/>
          <w:lang w:val="en-US" w:eastAsia="en-US" w:bidi="en-US"/>
        </w:rPr>
        <w:t>semnat intre SC „DSS-Group” SRL in calitate de „Administrator” pe de o parte si I.S. „CFM” in calitate de „Agentie” pe de alta parte a fost stabilit dreptul administratorului de a gestiona in exclusivitate un sistem electronic de acumulare si stocare a datelor privind capacitatile de transportare propuse spre vanzare, raportarea si decontarea biletelor in transportul feroviar si serviciile transportului feroviar.</w:t>
      </w:r>
    </w:p>
    <w:p>
      <w:pPr>
        <w:pStyle w:val="Style1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 xml:space="preserve">Inspectarea a constatat, ca obiectul contractului contravine prevederilor art. </w:t>
      </w:r>
      <w:r>
        <w:rPr>
          <w:color w:val="000000"/>
          <w:spacing w:val="0"/>
          <w:w w:val="100"/>
          <w:position w:val="0"/>
          <w:shd w:val="clear" w:color="auto" w:fill="auto"/>
          <w:lang w:val="ru-RU" w:eastAsia="ru-RU" w:bidi="ru-RU"/>
        </w:rPr>
        <w:t xml:space="preserve">3 </w:t>
      </w:r>
      <w:r>
        <w:rPr>
          <w:color w:val="000000"/>
          <w:spacing w:val="0"/>
          <w:w w:val="100"/>
          <w:position w:val="0"/>
          <w:shd w:val="clear" w:color="auto" w:fill="auto"/>
          <w:lang w:val="en-US" w:eastAsia="en-US" w:bidi="en-US"/>
        </w:rPr>
        <w:t xml:space="preserve">din Codul transportului feroviar aprobat prin Legea nr.309-XV din </w:t>
      </w:r>
      <w:r>
        <w:rPr>
          <w:color w:val="000000"/>
          <w:spacing w:val="0"/>
          <w:w w:val="100"/>
          <w:position w:val="0"/>
          <w:shd w:val="clear" w:color="auto" w:fill="auto"/>
          <w:lang w:val="ru-RU" w:eastAsia="ru-RU" w:bidi="ru-RU"/>
        </w:rPr>
        <w:t xml:space="preserve">17.07.2003, </w:t>
      </w:r>
      <w:r>
        <w:rPr>
          <w:color w:val="000000"/>
          <w:spacing w:val="0"/>
          <w:w w:val="100"/>
          <w:position w:val="0"/>
          <w:shd w:val="clear" w:color="auto" w:fill="auto"/>
          <w:lang w:val="en-US" w:eastAsia="en-US" w:bidi="en-US"/>
        </w:rPr>
        <w:t xml:space="preserve">art. </w:t>
      </w:r>
      <w:r>
        <w:rPr>
          <w:color w:val="000000"/>
          <w:spacing w:val="0"/>
          <w:w w:val="100"/>
          <w:position w:val="0"/>
          <w:shd w:val="clear" w:color="auto" w:fill="auto"/>
          <w:lang w:val="ru-RU" w:eastAsia="ru-RU" w:bidi="ru-RU"/>
        </w:rPr>
        <w:t xml:space="preserve">11, 17 </w:t>
      </w:r>
      <w:r>
        <w:rPr>
          <w:color w:val="000000"/>
          <w:spacing w:val="0"/>
          <w:w w:val="100"/>
          <w:position w:val="0"/>
          <w:shd w:val="clear" w:color="auto" w:fill="auto"/>
          <w:lang w:val="en-US" w:eastAsia="en-US" w:bidi="en-US"/>
        </w:rPr>
        <w:t xml:space="preserve">din Legea cu privire la parteneriatul public-privat nr.179 din </w:t>
      </w:r>
      <w:r>
        <w:rPr>
          <w:color w:val="000000"/>
          <w:spacing w:val="0"/>
          <w:w w:val="100"/>
          <w:position w:val="0"/>
          <w:shd w:val="clear" w:color="auto" w:fill="auto"/>
          <w:lang w:val="ru-RU" w:eastAsia="ru-RU" w:bidi="ru-RU"/>
        </w:rPr>
        <w:t xml:space="preserve">10.07.2008 </w:t>
      </w:r>
      <w:r>
        <w:rPr>
          <w:color w:val="000000"/>
          <w:spacing w:val="0"/>
          <w:w w:val="100"/>
          <w:position w:val="0"/>
          <w:shd w:val="clear" w:color="auto" w:fill="auto"/>
          <w:lang w:val="en-US" w:eastAsia="en-US" w:bidi="en-US"/>
        </w:rPr>
        <w:t xml:space="preserve">si a prevederilor Regulamentului transportului de calatori, bagaje si mesagerii pe cale ferata aprobat prin Ordinul Ministerului transportului si gospodariei drumurilor nr.83 din </w:t>
      </w:r>
      <w:r>
        <w:rPr>
          <w:color w:val="000000"/>
          <w:spacing w:val="0"/>
          <w:w w:val="100"/>
          <w:position w:val="0"/>
          <w:shd w:val="clear" w:color="auto" w:fill="auto"/>
          <w:lang w:val="ru-RU" w:eastAsia="ru-RU" w:bidi="ru-RU"/>
        </w:rPr>
        <w:t xml:space="preserve">25.04.2005, </w:t>
      </w:r>
      <w:r>
        <w:rPr>
          <w:color w:val="000000"/>
          <w:spacing w:val="0"/>
          <w:w w:val="100"/>
          <w:position w:val="0"/>
          <w:shd w:val="clear" w:color="auto" w:fill="auto"/>
          <w:lang w:val="en-US" w:eastAsia="en-US" w:bidi="en-US"/>
        </w:rPr>
        <w:t>deoarece, vanzarea de bilete este parte a unui proces unitar tehnologic, iar transportul de calatori in transportul feroviar reprezinta un serviciu de menire sociala, administrata de stat. Astfel, procesul de vanzare a biletelor de calatorie nu poate fi transmis in gestiunea altei persoane decat administratiei I.S. „CFM”, deoarece ultima efectueaza transportul de calatori pe cale ferata. Mai mult ca atat, achizitia serviciilor n-a fost aprobata de catre consiliul de administratie al I.S. „CFM”.</w:t>
      </w:r>
    </w:p>
    <w:p>
      <w:pPr>
        <w:pStyle w:val="Style1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In concluzie, Inspectia a constatat la acel moment ca transmiterea exclusiva SC „DSS-Group” SRL a dreptului de a gestiona electronic acumularea si stocarea a datelor privind capacitatile de transportare propuse spre vanzare, raportarea si decontarea biletelor, poarta un caracterul dubios, deoarece prestarea serviciilor respective contravin normelor imperative ale legislatiei in vigoare.</w:t>
      </w:r>
    </w:p>
    <w:p>
      <w:pPr>
        <w:pStyle w:val="Style17"/>
        <w:keepNext w:val="0"/>
        <w:keepLines w:val="0"/>
        <w:widowControl w:val="0"/>
        <w:numPr>
          <w:ilvl w:val="0"/>
          <w:numId w:val="25"/>
        </w:numPr>
        <w:shd w:val="clear" w:color="auto" w:fill="auto"/>
        <w:tabs>
          <w:tab w:pos="865" w:val="left"/>
        </w:tabs>
        <w:bidi w:val="0"/>
        <w:spacing w:before="0" w:after="0" w:line="240" w:lineRule="auto"/>
        <w:ind w:left="0" w:right="0" w:firstLine="560"/>
        <w:jc w:val="both"/>
      </w:pPr>
      <w:r>
        <w:rPr>
          <w:b/>
          <w:bCs/>
          <w:color w:val="000000"/>
          <w:spacing w:val="0"/>
          <w:w w:val="100"/>
          <w:position w:val="0"/>
          <w:shd w:val="clear" w:color="auto" w:fill="auto"/>
          <w:lang w:val="en-US" w:eastAsia="en-US" w:bidi="en-US"/>
        </w:rPr>
        <w:t>Contracte locatiune incaperi incheiate cu SRL „Optimus Plus”, „Telesport- M” SRL, Asociatia Obstesca „Lion Muay Thai”, II „Pogonef Galina”.</w:t>
      </w:r>
    </w:p>
    <w:p>
      <w:pPr>
        <w:pStyle w:val="Style15"/>
        <w:keepNext/>
        <w:keepLines/>
        <w:widowControl w:val="0"/>
        <w:numPr>
          <w:ilvl w:val="1"/>
          <w:numId w:val="25"/>
        </w:numPr>
        <w:shd w:val="clear" w:color="auto" w:fill="auto"/>
        <w:tabs>
          <w:tab w:pos="1183" w:val="left"/>
        </w:tabs>
        <w:bidi w:val="0"/>
        <w:spacing w:before="0" w:after="0" w:line="240" w:lineRule="auto"/>
        <w:ind w:left="0" w:right="0" w:firstLine="640"/>
        <w:jc w:val="both"/>
      </w:pPr>
      <w:bookmarkStart w:id="62" w:name="bookmark62"/>
      <w:bookmarkStart w:id="63" w:name="bookmark63"/>
      <w:r>
        <w:rPr>
          <w:color w:val="000000"/>
          <w:spacing w:val="0"/>
          <w:w w:val="100"/>
          <w:position w:val="0"/>
          <w:shd w:val="clear" w:color="auto" w:fill="auto"/>
          <w:lang w:val="en-US" w:eastAsia="en-US" w:bidi="en-US"/>
        </w:rPr>
        <w:t>Contractul incheiat cu SRL „Optimus Plus”</w:t>
      </w:r>
      <w:bookmarkEnd w:id="62"/>
      <w:bookmarkEnd w:id="63"/>
    </w:p>
    <w:p>
      <w:pPr>
        <w:pStyle w:val="Style1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 xml:space="preserve">In temeiul actului Inspectiei Financiare din 08.11.2019 s-a stabilit ca I.S. „CFM” a incheiat contractul nr 183a/07-2-783 din 01.01.2007 si contractul nr.30 din 26.02.2008 prin care a fost transmise in locatiune SRL „Optimus Plus” ca un spatiu sub depozit cu suprafata de 582,2 m si respectiv 498,3m. La data de 01.01.2016, SRL „Optimus Plus” inregistrand o datorie in suma de 2,772 mil. lei. I.S. „CFM” n-a reziliat contractele cu acesta. Mai mult ca atat, in perioada 01.01.2016 - 30.06.2019, SRL „Optimus Plus” isi continua activitatea, pentru spatiile folosite i-a fost inaintata spre plata suma de 5,939 mil. lei fiind achitata doar suma de 2,124 mil. lei. I.S. „CFM” se afla in litigiu de judecata cu SRL „Optimus Plus” </w:t>
      </w:r>
      <w:r>
        <w:rPr>
          <w:color w:val="000000"/>
          <w:spacing w:val="0"/>
          <w:w w:val="100"/>
          <w:position w:val="0"/>
          <w:shd w:val="clear" w:color="auto" w:fill="auto"/>
          <w:lang w:val="en-US" w:eastAsia="en-US" w:bidi="en-US"/>
        </w:rPr>
        <w:t xml:space="preserve">referitor la incasarea datoriei in suma de </w:t>
      </w:r>
      <w:r>
        <w:rPr>
          <w:color w:val="000000"/>
          <w:spacing w:val="0"/>
          <w:w w:val="100"/>
          <w:position w:val="0"/>
          <w:shd w:val="clear" w:color="auto" w:fill="auto"/>
          <w:lang w:val="ru-RU" w:eastAsia="ru-RU" w:bidi="ru-RU"/>
        </w:rPr>
        <w:t xml:space="preserve">3,814 </w:t>
      </w:r>
      <w:r>
        <w:rPr>
          <w:color w:val="000000"/>
          <w:spacing w:val="0"/>
          <w:w w:val="100"/>
          <w:position w:val="0"/>
          <w:shd w:val="clear" w:color="auto" w:fill="auto"/>
          <w:lang w:val="en-US" w:eastAsia="en-US" w:bidi="en-US"/>
        </w:rPr>
        <w:t>mil. lei, iar neintreprinderea masurilor suficiente si la timp referitor la incasarea si prevenirea datoriilor duce la suportarea unor cheltuieli suplimentare si chiar prejudicierea I.S. „CFM”.</w:t>
      </w:r>
    </w:p>
    <w:p>
      <w:pPr>
        <w:pStyle w:val="Style15"/>
        <w:keepNext/>
        <w:keepLines/>
        <w:widowControl w:val="0"/>
        <w:numPr>
          <w:ilvl w:val="1"/>
          <w:numId w:val="25"/>
        </w:numPr>
        <w:shd w:val="clear" w:color="auto" w:fill="auto"/>
        <w:tabs>
          <w:tab w:pos="1194" w:val="left"/>
        </w:tabs>
        <w:bidi w:val="0"/>
        <w:spacing w:before="0" w:after="0" w:line="240" w:lineRule="auto"/>
        <w:ind w:left="0" w:right="0"/>
        <w:jc w:val="both"/>
      </w:pPr>
      <w:bookmarkStart w:id="64" w:name="bookmark64"/>
      <w:bookmarkStart w:id="65" w:name="bookmark65"/>
      <w:r>
        <w:rPr>
          <w:color w:val="000000"/>
          <w:spacing w:val="0"/>
          <w:w w:val="100"/>
          <w:position w:val="0"/>
          <w:shd w:val="clear" w:color="auto" w:fill="auto"/>
          <w:lang w:val="en-US" w:eastAsia="en-US" w:bidi="en-US"/>
        </w:rPr>
        <w:t>Contractul incheiat cu „Telesport-M” SRL</w:t>
      </w:r>
      <w:bookmarkEnd w:id="64"/>
      <w:bookmarkEnd w:id="65"/>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 xml:space="preserve">Conform actului Inspectiei Financiare din </w:t>
      </w:r>
      <w:r>
        <w:rPr>
          <w:color w:val="000000"/>
          <w:spacing w:val="0"/>
          <w:w w:val="100"/>
          <w:position w:val="0"/>
          <w:shd w:val="clear" w:color="auto" w:fill="auto"/>
          <w:lang w:val="ru-RU" w:eastAsia="ru-RU" w:bidi="ru-RU"/>
        </w:rPr>
        <w:t xml:space="preserve">08.11.2019 </w:t>
      </w:r>
      <w:r>
        <w:rPr>
          <w:color w:val="000000"/>
          <w:spacing w:val="0"/>
          <w:w w:val="100"/>
          <w:position w:val="0"/>
          <w:shd w:val="clear" w:color="auto" w:fill="auto"/>
          <w:lang w:val="en-US" w:eastAsia="en-US" w:bidi="en-US"/>
        </w:rPr>
        <w:t xml:space="preserve">a fost constatat ca la data de </w:t>
      </w:r>
      <w:r>
        <w:rPr>
          <w:color w:val="000000"/>
          <w:spacing w:val="0"/>
          <w:w w:val="100"/>
          <w:position w:val="0"/>
          <w:shd w:val="clear" w:color="auto" w:fill="auto"/>
          <w:lang w:val="ru-RU" w:eastAsia="ru-RU" w:bidi="ru-RU"/>
        </w:rPr>
        <w:t xml:space="preserve">07.06.2017, </w:t>
      </w:r>
      <w:r>
        <w:rPr>
          <w:color w:val="000000"/>
          <w:spacing w:val="0"/>
          <w:w w:val="100"/>
          <w:position w:val="0"/>
          <w:shd w:val="clear" w:color="auto" w:fill="auto"/>
          <w:lang w:val="en-US" w:eastAsia="en-US" w:bidi="en-US"/>
        </w:rPr>
        <w:t xml:space="preserve">I.S. „CFM” a incheiat cu „Telesport-M” SRL contractul de locatiune nr.6002748 prin care au fost transmise in locatiune spatii cu suprafata de </w:t>
      </w:r>
      <w:r>
        <w:rPr>
          <w:color w:val="000000"/>
          <w:spacing w:val="0"/>
          <w:w w:val="100"/>
          <w:position w:val="0"/>
          <w:shd w:val="clear" w:color="auto" w:fill="auto"/>
          <w:lang w:val="ru-RU" w:eastAsia="ru-RU" w:bidi="ru-RU"/>
        </w:rPr>
        <w:t xml:space="preserve">1159,3 </w:t>
      </w:r>
      <w:r>
        <w:rPr>
          <w:color w:val="000000"/>
          <w:spacing w:val="0"/>
          <w:w w:val="100"/>
          <w:position w:val="0"/>
          <w:shd w:val="clear" w:color="auto" w:fill="auto"/>
          <w:lang w:val="en-US" w:eastAsia="en-US" w:bidi="en-US"/>
        </w:rPr>
        <w:t>m</w:t>
      </w:r>
      <w:r>
        <w:rPr>
          <w:color w:val="000000"/>
          <w:spacing w:val="0"/>
          <w:w w:val="100"/>
          <w:position w:val="0"/>
          <w:shd w:val="clear" w:color="auto" w:fill="auto"/>
          <w:vertAlign w:val="superscript"/>
          <w:lang w:val="en-US" w:eastAsia="en-US" w:bidi="en-US"/>
        </w:rPr>
        <w:t>2</w:t>
      </w:r>
      <w:r>
        <w:rPr>
          <w:color w:val="000000"/>
          <w:spacing w:val="0"/>
          <w:w w:val="100"/>
          <w:position w:val="0"/>
          <w:shd w:val="clear" w:color="auto" w:fill="auto"/>
          <w:lang w:val="en-US" w:eastAsia="en-US" w:bidi="en-US"/>
        </w:rPr>
        <w:t xml:space="preserve"> (oficii </w:t>
      </w:r>
      <w:r>
        <w:rPr>
          <w:color w:val="000000"/>
          <w:spacing w:val="0"/>
          <w:w w:val="100"/>
          <w:position w:val="0"/>
          <w:shd w:val="clear" w:color="auto" w:fill="auto"/>
          <w:lang w:val="ru-RU" w:eastAsia="ru-RU" w:bidi="ru-RU"/>
        </w:rPr>
        <w:t xml:space="preserve">-150,4 </w:t>
      </w:r>
      <w:r>
        <w:rPr>
          <w:color w:val="000000"/>
          <w:spacing w:val="0"/>
          <w:w w:val="100"/>
          <w:position w:val="0"/>
          <w:shd w:val="clear" w:color="auto" w:fill="auto"/>
          <w:lang w:val="en-US" w:eastAsia="en-US" w:bidi="en-US"/>
        </w:rPr>
        <w:t>m</w:t>
      </w:r>
      <w:r>
        <w:rPr>
          <w:color w:val="000000"/>
          <w:spacing w:val="0"/>
          <w:w w:val="100"/>
          <w:position w:val="0"/>
          <w:shd w:val="clear" w:color="auto" w:fill="auto"/>
          <w:vertAlign w:val="superscript"/>
          <w:lang w:val="en-US" w:eastAsia="en-US" w:bidi="en-US"/>
        </w:rPr>
        <w:t>2</w:t>
      </w:r>
      <w:r>
        <w:rPr>
          <w:color w:val="000000"/>
          <w:spacing w:val="0"/>
          <w:w w:val="100"/>
          <w:position w:val="0"/>
          <w:shd w:val="clear" w:color="auto" w:fill="auto"/>
          <w:lang w:val="en-US" w:eastAsia="en-US" w:bidi="en-US"/>
        </w:rPr>
        <w:t xml:space="preserve">, pentru bar </w:t>
      </w:r>
      <w:r>
        <w:rPr>
          <w:color w:val="000000"/>
          <w:spacing w:val="0"/>
          <w:w w:val="100"/>
          <w:position w:val="0"/>
          <w:shd w:val="clear" w:color="auto" w:fill="auto"/>
          <w:lang w:val="ru-RU" w:eastAsia="ru-RU" w:bidi="ru-RU"/>
        </w:rPr>
        <w:t xml:space="preserve">- 146,6 </w:t>
      </w:r>
      <w:r>
        <w:rPr>
          <w:color w:val="000000"/>
          <w:spacing w:val="0"/>
          <w:w w:val="100"/>
          <w:position w:val="0"/>
          <w:shd w:val="clear" w:color="auto" w:fill="auto"/>
          <w:lang w:val="en-US" w:eastAsia="en-US" w:bidi="en-US"/>
        </w:rPr>
        <w:t>m</w:t>
      </w:r>
      <w:r>
        <w:rPr>
          <w:color w:val="000000"/>
          <w:spacing w:val="0"/>
          <w:w w:val="100"/>
          <w:position w:val="0"/>
          <w:shd w:val="clear" w:color="auto" w:fill="auto"/>
          <w:vertAlign w:val="superscript"/>
          <w:lang w:val="en-US" w:eastAsia="en-US" w:bidi="en-US"/>
        </w:rPr>
        <w:t>2</w:t>
      </w:r>
      <w:r>
        <w:rPr>
          <w:color w:val="000000"/>
          <w:spacing w:val="0"/>
          <w:w w:val="100"/>
          <w:position w:val="0"/>
          <w:shd w:val="clear" w:color="auto" w:fill="auto"/>
          <w:lang w:val="en-US" w:eastAsia="en-US" w:bidi="en-US"/>
        </w:rPr>
        <w:t xml:space="preserve">, pentru studio TV- </w:t>
      </w:r>
      <w:r>
        <w:rPr>
          <w:color w:val="000000"/>
          <w:spacing w:val="0"/>
          <w:w w:val="100"/>
          <w:position w:val="0"/>
          <w:shd w:val="clear" w:color="auto" w:fill="auto"/>
          <w:lang w:val="ru-RU" w:eastAsia="ru-RU" w:bidi="ru-RU"/>
        </w:rPr>
        <w:t xml:space="preserve">239,9 </w:t>
      </w:r>
      <w:r>
        <w:rPr>
          <w:color w:val="000000"/>
          <w:spacing w:val="0"/>
          <w:w w:val="100"/>
          <w:position w:val="0"/>
          <w:shd w:val="clear" w:color="auto" w:fill="auto"/>
          <w:lang w:val="en-US" w:eastAsia="en-US" w:bidi="en-US"/>
        </w:rPr>
        <w:t>m</w:t>
      </w:r>
      <w:r>
        <w:rPr>
          <w:color w:val="000000"/>
          <w:spacing w:val="0"/>
          <w:w w:val="100"/>
          <w:position w:val="0"/>
          <w:shd w:val="clear" w:color="auto" w:fill="auto"/>
          <w:vertAlign w:val="superscript"/>
          <w:lang w:val="en-US" w:eastAsia="en-US" w:bidi="en-US"/>
        </w:rPr>
        <w:t>2</w:t>
      </w:r>
      <w:r>
        <w:rPr>
          <w:color w:val="000000"/>
          <w:spacing w:val="0"/>
          <w:w w:val="100"/>
          <w:position w:val="0"/>
          <w:shd w:val="clear" w:color="auto" w:fill="auto"/>
          <w:lang w:val="en-US" w:eastAsia="en-US" w:bidi="en-US"/>
        </w:rPr>
        <w:t xml:space="preserve">, depozit </w:t>
      </w:r>
      <w:r>
        <w:rPr>
          <w:color w:val="000000"/>
          <w:spacing w:val="0"/>
          <w:w w:val="100"/>
          <w:position w:val="0"/>
          <w:shd w:val="clear" w:color="auto" w:fill="auto"/>
          <w:lang w:val="ru-RU" w:eastAsia="ru-RU" w:bidi="ru-RU"/>
        </w:rPr>
        <w:t xml:space="preserve">- 430,1 </w:t>
      </w:r>
      <w:r>
        <w:rPr>
          <w:color w:val="000000"/>
          <w:spacing w:val="0"/>
          <w:w w:val="100"/>
          <w:position w:val="0"/>
          <w:shd w:val="clear" w:color="auto" w:fill="auto"/>
          <w:lang w:val="en-US" w:eastAsia="en-US" w:bidi="en-US"/>
        </w:rPr>
        <w:t>m</w:t>
      </w:r>
      <w:r>
        <w:rPr>
          <w:color w:val="000000"/>
          <w:spacing w:val="0"/>
          <w:w w:val="100"/>
          <w:position w:val="0"/>
          <w:shd w:val="clear" w:color="auto" w:fill="auto"/>
          <w:vertAlign w:val="superscript"/>
          <w:lang w:val="en-US" w:eastAsia="en-US" w:bidi="en-US"/>
        </w:rPr>
        <w:t>2</w:t>
      </w:r>
      <w:r>
        <w:rPr>
          <w:color w:val="000000"/>
          <w:spacing w:val="0"/>
          <w:w w:val="100"/>
          <w:position w:val="0"/>
          <w:shd w:val="clear" w:color="auto" w:fill="auto"/>
          <w:lang w:val="en-US" w:eastAsia="en-US" w:bidi="en-US"/>
        </w:rPr>
        <w:t xml:space="preserve"> si pentru bucatarie </w:t>
      </w:r>
      <w:r>
        <w:rPr>
          <w:color w:val="000000"/>
          <w:spacing w:val="0"/>
          <w:w w:val="100"/>
          <w:position w:val="0"/>
          <w:shd w:val="clear" w:color="auto" w:fill="auto"/>
          <w:lang w:val="ru-RU" w:eastAsia="ru-RU" w:bidi="ru-RU"/>
        </w:rPr>
        <w:t xml:space="preserve">39,3 </w:t>
      </w:r>
      <w:r>
        <w:rPr>
          <w:color w:val="000000"/>
          <w:spacing w:val="0"/>
          <w:w w:val="100"/>
          <w:position w:val="0"/>
          <w:shd w:val="clear" w:color="auto" w:fill="auto"/>
          <w:lang w:val="en-US" w:eastAsia="en-US" w:bidi="en-US"/>
        </w:rPr>
        <w:t>m</w:t>
      </w:r>
      <w:r>
        <w:rPr>
          <w:color w:val="000000"/>
          <w:spacing w:val="0"/>
          <w:w w:val="100"/>
          <w:position w:val="0"/>
          <w:shd w:val="clear" w:color="auto" w:fill="auto"/>
          <w:vertAlign w:val="superscript"/>
          <w:lang w:val="en-US" w:eastAsia="en-US" w:bidi="en-US"/>
        </w:rPr>
        <w:t>2</w:t>
      </w:r>
      <w:r>
        <w:rPr>
          <w:color w:val="000000"/>
          <w:spacing w:val="0"/>
          <w:w w:val="100"/>
          <w:position w:val="0"/>
          <w:shd w:val="clear" w:color="auto" w:fill="auto"/>
          <w:lang w:val="en-US" w:eastAsia="en-US" w:bidi="en-US"/>
        </w:rPr>
        <w:t xml:space="preserve">). Pana in anul </w:t>
      </w:r>
      <w:r>
        <w:rPr>
          <w:color w:val="000000"/>
          <w:spacing w:val="0"/>
          <w:w w:val="100"/>
          <w:position w:val="0"/>
          <w:shd w:val="clear" w:color="auto" w:fill="auto"/>
          <w:lang w:val="ru-RU" w:eastAsia="ru-RU" w:bidi="ru-RU"/>
        </w:rPr>
        <w:t xml:space="preserve">2013, </w:t>
      </w:r>
      <w:r>
        <w:rPr>
          <w:color w:val="000000"/>
          <w:spacing w:val="0"/>
          <w:w w:val="100"/>
          <w:position w:val="0"/>
          <w:shd w:val="clear" w:color="auto" w:fill="auto"/>
          <w:lang w:val="en-US" w:eastAsia="en-US" w:bidi="en-US"/>
        </w:rPr>
        <w:t xml:space="preserve">sau acumulat datorii de </w:t>
      </w:r>
      <w:r>
        <w:rPr>
          <w:color w:val="000000"/>
          <w:spacing w:val="0"/>
          <w:w w:val="100"/>
          <w:position w:val="0"/>
          <w:shd w:val="clear" w:color="auto" w:fill="auto"/>
          <w:lang w:val="ru-RU" w:eastAsia="ru-RU" w:bidi="ru-RU"/>
        </w:rPr>
        <w:t xml:space="preserve">3,257 </w:t>
      </w:r>
      <w:r>
        <w:rPr>
          <w:color w:val="000000"/>
          <w:spacing w:val="0"/>
          <w:w w:val="100"/>
          <w:position w:val="0"/>
          <w:shd w:val="clear" w:color="auto" w:fill="auto"/>
          <w:lang w:val="en-US" w:eastAsia="en-US" w:bidi="en-US"/>
        </w:rPr>
        <w:t xml:space="preserve">mil. lei. Conform notei informative nr. </w:t>
      </w:r>
      <w:r>
        <w:rPr>
          <w:color w:val="000000"/>
          <w:spacing w:val="0"/>
          <w:w w:val="100"/>
          <w:position w:val="0"/>
          <w:shd w:val="clear" w:color="auto" w:fill="auto"/>
          <w:lang w:val="ru-RU" w:eastAsia="ru-RU" w:bidi="ru-RU"/>
        </w:rPr>
        <w:t xml:space="preserve">103 </w:t>
      </w:r>
      <w:r>
        <w:rPr>
          <w:color w:val="000000"/>
          <w:spacing w:val="0"/>
          <w:w w:val="100"/>
          <w:position w:val="0"/>
          <w:shd w:val="clear" w:color="auto" w:fill="auto"/>
          <w:lang w:val="en-US" w:eastAsia="en-US" w:bidi="en-US"/>
        </w:rPr>
        <w:t xml:space="preserve">din </w:t>
      </w:r>
      <w:r>
        <w:rPr>
          <w:color w:val="000000"/>
          <w:spacing w:val="0"/>
          <w:w w:val="100"/>
          <w:position w:val="0"/>
          <w:shd w:val="clear" w:color="auto" w:fill="auto"/>
          <w:lang w:val="ru-RU" w:eastAsia="ru-RU" w:bidi="ru-RU"/>
        </w:rPr>
        <w:t xml:space="preserve">16.10.2019, </w:t>
      </w:r>
      <w:r>
        <w:rPr>
          <w:color w:val="000000"/>
          <w:spacing w:val="0"/>
          <w:w w:val="100"/>
          <w:position w:val="0"/>
          <w:shd w:val="clear" w:color="auto" w:fill="auto"/>
          <w:lang w:val="en-US" w:eastAsia="en-US" w:bidi="en-US"/>
        </w:rPr>
        <w:t xml:space="preserve">in ianuarie </w:t>
      </w:r>
      <w:r>
        <w:rPr>
          <w:color w:val="000000"/>
          <w:spacing w:val="0"/>
          <w:w w:val="100"/>
          <w:position w:val="0"/>
          <w:shd w:val="clear" w:color="auto" w:fill="auto"/>
          <w:lang w:val="ru-RU" w:eastAsia="ru-RU" w:bidi="ru-RU"/>
        </w:rPr>
        <w:t xml:space="preserve">2013 </w:t>
      </w:r>
      <w:r>
        <w:rPr>
          <w:color w:val="000000"/>
          <w:spacing w:val="0"/>
          <w:w w:val="100"/>
          <w:position w:val="0"/>
          <w:shd w:val="clear" w:color="auto" w:fill="auto"/>
          <w:lang w:val="en-US" w:eastAsia="en-US" w:bidi="en-US"/>
        </w:rPr>
        <w:t xml:space="preserve">datoria acumulata de catre „Telesport-M” SRL a fost transmisa Palatului de Cultura a Feroviarilor de la Statia de Administrare si Infrastructura. In temeiul incheierii Curtii de Apel mun. Chisinau din „Telesport-M” SRL a fost lichidata, astfel, in lipsa controlului intern si a inactiunilor persoanelor responsabile de a recupera datoria formata, I.S. „CFM” a fost prejudiciata cu suma de </w:t>
      </w:r>
      <w:r>
        <w:rPr>
          <w:color w:val="000000"/>
          <w:spacing w:val="0"/>
          <w:w w:val="100"/>
          <w:position w:val="0"/>
          <w:shd w:val="clear" w:color="auto" w:fill="auto"/>
          <w:lang w:val="ru-RU" w:eastAsia="ru-RU" w:bidi="ru-RU"/>
        </w:rPr>
        <w:t xml:space="preserve">3,257 </w:t>
      </w:r>
      <w:r>
        <w:rPr>
          <w:color w:val="000000"/>
          <w:spacing w:val="0"/>
          <w:w w:val="100"/>
          <w:position w:val="0"/>
          <w:shd w:val="clear" w:color="auto" w:fill="auto"/>
          <w:lang w:val="en-US" w:eastAsia="en-US" w:bidi="en-US"/>
        </w:rPr>
        <w:t>mil. lei.</w:t>
      </w:r>
    </w:p>
    <w:p>
      <w:pPr>
        <w:pStyle w:val="Style15"/>
        <w:keepNext/>
        <w:keepLines/>
        <w:widowControl w:val="0"/>
        <w:numPr>
          <w:ilvl w:val="1"/>
          <w:numId w:val="25"/>
        </w:numPr>
        <w:shd w:val="clear" w:color="auto" w:fill="auto"/>
        <w:tabs>
          <w:tab w:pos="1194" w:val="left"/>
        </w:tabs>
        <w:bidi w:val="0"/>
        <w:spacing w:before="0" w:after="0" w:line="240" w:lineRule="auto"/>
        <w:ind w:left="0" w:right="0"/>
        <w:jc w:val="both"/>
      </w:pPr>
      <w:bookmarkStart w:id="66" w:name="bookmark66"/>
      <w:bookmarkStart w:id="67" w:name="bookmark67"/>
      <w:r>
        <w:rPr>
          <w:color w:val="000000"/>
          <w:spacing w:val="0"/>
          <w:w w:val="100"/>
          <w:position w:val="0"/>
          <w:shd w:val="clear" w:color="auto" w:fill="auto"/>
          <w:lang w:val="en-US" w:eastAsia="en-US" w:bidi="en-US"/>
        </w:rPr>
        <w:t>Contractul incheiat cu Asociatia Obstesca „Lion Muay Thai”</w:t>
      </w:r>
      <w:bookmarkEnd w:id="66"/>
      <w:bookmarkEnd w:id="67"/>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en-US" w:eastAsia="en-US" w:bidi="en-US"/>
        </w:rPr>
        <w:t>Potrivit actului Inspectiei Financiare din 08.11.2019 s-a stabilit ca in baza contractului de locatiune nr. 98/VI/2013 din 9.12.2013 Palatul de Cultura a Feroviarilor subdiviziune a</w:t>
      </w:r>
    </w:p>
    <w:p>
      <w:pPr>
        <w:pStyle w:val="Style17"/>
        <w:keepNext w:val="0"/>
        <w:keepLines w:val="0"/>
        <w:widowControl w:val="0"/>
        <w:shd w:val="clear" w:color="auto" w:fill="auto"/>
        <w:tabs>
          <w:tab w:pos="510" w:val="left"/>
        </w:tabs>
        <w:bidi w:val="0"/>
        <w:spacing w:before="0" w:after="0" w:line="240" w:lineRule="auto"/>
        <w:ind w:left="0" w:right="0" w:firstLine="0"/>
        <w:jc w:val="both"/>
      </w:pPr>
      <w:r>
        <w:rPr>
          <w:color w:val="000000"/>
          <w:spacing w:val="0"/>
          <w:w w:val="100"/>
          <w:position w:val="0"/>
          <w:shd w:val="clear" w:color="auto" w:fill="auto"/>
          <w:lang w:val="en-US" w:eastAsia="en-US" w:bidi="en-US"/>
        </w:rPr>
        <w:t>I.S.</w:t>
        <w:tab/>
        <w:t>„CFM” a dat in locatiune Asociatiei Obstesti „Lion Muay Thai ” sala mare de sport din incinta Palatului de Cultura a Feroviarilor de pe adresa mun. Chisinau bd. Decebal, 2, cu suprafata totala de 679,0 m</w:t>
      </w:r>
      <w:r>
        <w:rPr>
          <w:color w:val="000000"/>
          <w:spacing w:val="0"/>
          <w:w w:val="100"/>
          <w:position w:val="0"/>
          <w:shd w:val="clear" w:color="auto" w:fill="auto"/>
          <w:vertAlign w:val="superscript"/>
          <w:lang w:val="en-US" w:eastAsia="en-US" w:bidi="en-US"/>
        </w:rPr>
        <w:t>2</w:t>
      </w:r>
      <w:r>
        <w:rPr>
          <w:color w:val="000000"/>
          <w:spacing w:val="0"/>
          <w:w w:val="100"/>
          <w:position w:val="0"/>
          <w:shd w:val="clear" w:color="auto" w:fill="auto"/>
          <w:lang w:val="en-US" w:eastAsia="en-US" w:bidi="en-US"/>
        </w:rPr>
        <w:t xml:space="preserve"> (515,6 m</w:t>
      </w:r>
      <w:r>
        <w:rPr>
          <w:color w:val="000000"/>
          <w:spacing w:val="0"/>
          <w:w w:val="100"/>
          <w:position w:val="0"/>
          <w:shd w:val="clear" w:color="auto" w:fill="auto"/>
          <w:vertAlign w:val="superscript"/>
          <w:lang w:val="en-US" w:eastAsia="en-US" w:bidi="en-US"/>
        </w:rPr>
        <w:t>2</w:t>
      </w:r>
      <w:r>
        <w:rPr>
          <w:color w:val="000000"/>
          <w:spacing w:val="0"/>
          <w:w w:val="100"/>
          <w:position w:val="0"/>
          <w:shd w:val="clear" w:color="auto" w:fill="auto"/>
          <w:lang w:val="en-US" w:eastAsia="en-US" w:bidi="en-US"/>
        </w:rPr>
        <w:t xml:space="preserve"> pentru desfasurarea antrenamentelor sportive si 163,4 m</w:t>
      </w:r>
      <w:r>
        <w:rPr>
          <w:color w:val="000000"/>
          <w:spacing w:val="0"/>
          <w:w w:val="100"/>
          <w:position w:val="0"/>
          <w:shd w:val="clear" w:color="auto" w:fill="auto"/>
          <w:vertAlign w:val="superscript"/>
          <w:lang w:val="en-US" w:eastAsia="en-US" w:bidi="en-US"/>
        </w:rPr>
        <w:t>2</w:t>
      </w:r>
      <w:r>
        <w:rPr>
          <w:color w:val="000000"/>
          <w:spacing w:val="0"/>
          <w:w w:val="100"/>
          <w:position w:val="0"/>
          <w:shd w:val="clear" w:color="auto" w:fill="auto"/>
          <w:lang w:val="en-US" w:eastAsia="en-US" w:bidi="en-US"/>
        </w:rPr>
        <w:t xml:space="preserve"> incaperi auxiliare). Contrar prevederilor pct. 12 si 17 din Regulamentul cu privire la darea in locatiune a activelor neutilizate aprobat prin Hotararea Guvernului nr. 483 din 29.03.2008, contractul a fost incheiat pe o perioada de 10 ani, nefiind inregistrat in registrul bunurilor imobile. La data de 01.01.2016 datoria locatarului a constituit 457,4 mii lei. In perioada controlata datoriile au crescut simtitor (de la 457,4 la 1,241 mil. lei), achitarile fiind nesemnificative, inclusiv: in anul 2016, au fost eliberate facturi in suma de 379,8 mii lei, achitarile fiind de 27,0 mii lei, in anul 2017, au fost eliberate facturi in suma de 277,0 mii lei, achitarile fiind de 289,0 mii lei, in anul 2018, au fost eliberate facturi in suma de 299,2 mii lei, achitarile fiind de 91,2 mii lei, in I sem. al anului 2019, au fost eliberate facturi in suma de 257,1 mii lei, achitarile fiind de 22,3 mii lei. De mentionat, ca persoanele responsabile de la I.S. „CFM” pana in anul 2019, n-au intreprins nici o masura pentru a preveni si a stinge datoria formata la momentul efectuarii inspectarii.</w:t>
      </w:r>
    </w:p>
    <w:p>
      <w:pPr>
        <w:pStyle w:val="Style15"/>
        <w:keepNext/>
        <w:keepLines/>
        <w:widowControl w:val="0"/>
        <w:numPr>
          <w:ilvl w:val="1"/>
          <w:numId w:val="25"/>
        </w:numPr>
        <w:shd w:val="clear" w:color="auto" w:fill="auto"/>
        <w:tabs>
          <w:tab w:pos="1121" w:val="left"/>
        </w:tabs>
        <w:bidi w:val="0"/>
        <w:spacing w:before="0" w:after="0" w:line="240" w:lineRule="auto"/>
        <w:ind w:left="0" w:right="0" w:firstLine="560"/>
        <w:jc w:val="both"/>
      </w:pPr>
      <w:bookmarkStart w:id="68" w:name="bookmark68"/>
      <w:bookmarkStart w:id="69" w:name="bookmark69"/>
      <w:r>
        <w:rPr>
          <w:color w:val="000000"/>
          <w:spacing w:val="0"/>
          <w:w w:val="100"/>
          <w:position w:val="0"/>
          <w:shd w:val="clear" w:color="auto" w:fill="auto"/>
          <w:lang w:val="en-US" w:eastAsia="en-US" w:bidi="en-US"/>
        </w:rPr>
        <w:t>Contractul incheiat cu II „Pogonef Galina”</w:t>
      </w:r>
      <w:bookmarkEnd w:id="68"/>
      <w:bookmarkEnd w:id="69"/>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en-US" w:eastAsia="en-US" w:bidi="en-US"/>
        </w:rPr>
        <w:t>Conform actului Inspectiei Financiare din 08.11.2019 s-a stabilit ca in temeiul contractului de locatiune nr. 183/VI1/2018 din 06.03,2018, I.S. „CFM” a dat in locatiune II „Pogonet Galina” incaperi pentru depozite cu suprafata totala de 1552,8m</w:t>
      </w:r>
      <w:r>
        <w:rPr>
          <w:color w:val="000000"/>
          <w:spacing w:val="0"/>
          <w:w w:val="100"/>
          <w:position w:val="0"/>
          <w:shd w:val="clear" w:color="auto" w:fill="auto"/>
          <w:vertAlign w:val="superscript"/>
          <w:lang w:val="en-US" w:eastAsia="en-US" w:bidi="en-US"/>
        </w:rPr>
        <w:t>2</w:t>
      </w:r>
      <w:r>
        <w:rPr>
          <w:color w:val="000000"/>
          <w:spacing w:val="0"/>
          <w:w w:val="100"/>
          <w:position w:val="0"/>
          <w:shd w:val="clear" w:color="auto" w:fill="auto"/>
          <w:lang w:val="en-US" w:eastAsia="en-US" w:bidi="en-US"/>
        </w:rPr>
        <w:t xml:space="preserve"> si o parte din partea betonata cu suprafata totala de 3725,0 m</w:t>
      </w:r>
      <w:r>
        <w:rPr>
          <w:color w:val="000000"/>
          <w:spacing w:val="0"/>
          <w:w w:val="100"/>
          <w:position w:val="0"/>
          <w:shd w:val="clear" w:color="auto" w:fill="auto"/>
          <w:vertAlign w:val="superscript"/>
          <w:lang w:val="en-US" w:eastAsia="en-US" w:bidi="en-US"/>
        </w:rPr>
        <w:t>2</w:t>
      </w:r>
      <w:r>
        <w:rPr>
          <w:color w:val="000000"/>
          <w:spacing w:val="0"/>
          <w:w w:val="100"/>
          <w:position w:val="0"/>
          <w:shd w:val="clear" w:color="auto" w:fill="auto"/>
          <w:lang w:val="en-US" w:eastAsia="en-US" w:bidi="en-US"/>
        </w:rPr>
        <w:t xml:space="preserve">, pentru desfasurarea activitatilor de comert, amplasate pe adresa mun. Chisinau, §os. Muncesti, </w:t>
      </w:r>
      <w:r>
        <w:rPr>
          <w:color w:val="000000"/>
          <w:spacing w:val="0"/>
          <w:w w:val="100"/>
          <w:position w:val="0"/>
          <w:shd w:val="clear" w:color="auto" w:fill="auto"/>
          <w:lang w:val="ru-RU" w:eastAsia="ru-RU" w:bidi="ru-RU"/>
        </w:rPr>
        <w:t xml:space="preserve">15/2. </w:t>
      </w:r>
      <w:r>
        <w:rPr>
          <w:color w:val="000000"/>
          <w:spacing w:val="0"/>
          <w:w w:val="100"/>
          <w:position w:val="0"/>
          <w:shd w:val="clear" w:color="auto" w:fill="auto"/>
          <w:lang w:val="en-US" w:eastAsia="en-US" w:bidi="en-US"/>
        </w:rPr>
        <w:t>Termenul contractului fiind stabilit de la 23.02.2018 pana la 23.02.2019. Chiria anuala fiind de 632 033,08 lei, inclusiv TVA. In perioada 01.01.2018-30.06.2019, a inaintat spre plata facturi in suma de 875,0 mii lei, de catre I.I. „Pogonet Galina” n-a fost efectuata nici o achitare. La momentul efectuarii inspectarii, I.S. „CFM” se afla in litigiu de judecata cu I.I. „Pogonet Galina” referitor la recuperarea datoriilor formate.</w:t>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 xml:space="preserve">Totodata, conform Hotararii Curtii de Conturi nr. 68 din 17 decembrie 2020 examinarea si aprobarea cu intarziere semnificativa (de pana la 8 luni) a 45 de contracte si acorduri aditionale privind locatiunea, de catre Agentia Proprietatii Publice/Consiliul de </w:t>
      </w:r>
      <w:r>
        <w:rPr>
          <w:color w:val="000000"/>
          <w:spacing w:val="0"/>
          <w:w w:val="100"/>
          <w:position w:val="0"/>
          <w:shd w:val="clear" w:color="auto" w:fill="auto"/>
          <w:lang w:val="en-US" w:eastAsia="en-US" w:bidi="en-US"/>
        </w:rPr>
        <w:t>administrate al intreprinderii, a generat, in anii 2018 - 2019, ratarea posibilelor venituri de cca 3,793 mil. lei.</w:t>
      </w:r>
    </w:p>
    <w:p>
      <w:pPr>
        <w:pStyle w:val="Style15"/>
        <w:keepNext/>
        <w:keepLines/>
        <w:widowControl w:val="0"/>
        <w:numPr>
          <w:ilvl w:val="0"/>
          <w:numId w:val="25"/>
        </w:numPr>
        <w:shd w:val="clear" w:color="auto" w:fill="auto"/>
        <w:tabs>
          <w:tab w:pos="962" w:val="left"/>
        </w:tabs>
        <w:bidi w:val="0"/>
        <w:spacing w:before="0" w:after="0" w:line="240" w:lineRule="auto"/>
        <w:ind w:left="0" w:right="0" w:firstLine="640"/>
        <w:jc w:val="both"/>
      </w:pPr>
      <w:bookmarkStart w:id="70" w:name="bookmark70"/>
      <w:bookmarkStart w:id="71" w:name="bookmark71"/>
      <w:r>
        <w:rPr>
          <w:color w:val="000000"/>
          <w:spacing w:val="0"/>
          <w:w w:val="100"/>
          <w:position w:val="0"/>
          <w:shd w:val="clear" w:color="auto" w:fill="auto"/>
          <w:lang w:val="en-US" w:eastAsia="en-US" w:bidi="en-US"/>
        </w:rPr>
        <w:t>Contractul cu „MTH Remont” SRO</w:t>
      </w:r>
      <w:bookmarkEnd w:id="70"/>
      <w:bookmarkEnd w:id="71"/>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 xml:space="preserve">Prin contractele nr. </w:t>
      </w:r>
      <w:r>
        <w:rPr>
          <w:color w:val="000000"/>
          <w:spacing w:val="0"/>
          <w:w w:val="100"/>
          <w:position w:val="0"/>
          <w:shd w:val="clear" w:color="auto" w:fill="auto"/>
          <w:lang w:val="ru-RU" w:eastAsia="ru-RU" w:bidi="ru-RU"/>
        </w:rPr>
        <w:t xml:space="preserve">01/082011 </w:t>
      </w:r>
      <w:r>
        <w:rPr>
          <w:color w:val="000000"/>
          <w:spacing w:val="0"/>
          <w:w w:val="100"/>
          <w:position w:val="0"/>
          <w:shd w:val="clear" w:color="auto" w:fill="auto"/>
          <w:lang w:val="en-US" w:eastAsia="en-US" w:bidi="en-US"/>
        </w:rPr>
        <w:t xml:space="preserve">si </w:t>
      </w:r>
      <w:r>
        <w:rPr>
          <w:color w:val="000000"/>
          <w:spacing w:val="0"/>
          <w:w w:val="100"/>
          <w:position w:val="0"/>
          <w:shd w:val="clear" w:color="auto" w:fill="auto"/>
          <w:lang w:val="ru-RU" w:eastAsia="ru-RU" w:bidi="ru-RU"/>
        </w:rPr>
        <w:t xml:space="preserve">02/082011 </w:t>
      </w:r>
      <w:r>
        <w:rPr>
          <w:color w:val="000000"/>
          <w:spacing w:val="0"/>
          <w:w w:val="100"/>
          <w:position w:val="0"/>
          <w:shd w:val="clear" w:color="auto" w:fill="auto"/>
          <w:lang w:val="en-US" w:eastAsia="en-US" w:bidi="en-US"/>
        </w:rPr>
        <w:t>din 18 august incheiate intre I.S. „CFM” si „MTH Remont” SRO au fost achizitionate 2 masini de schimbat traverse SVP-74 in suma de 462000 Euro fiecare. Conform informatiei prezentate de I.S. „Calea Ferata din Moldova”, incepand cu 2013 pina in prezent, masinile date au executat lucrari de curatare a caii ferate de vegetatie si tufisuri(80%) si lucrari de incarcare, transportare de pietris, carbune, lemne si alte materiale (20%). Astfel, masinile indicate nu au efectuat in perioada data careva lucrari de schimbare a traverselor, ceea ce indica caracterul dubios al procurarii acestora.</w:t>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Conform informatiei prezentate de I.S. „CFM” in prezent, Centrul National Anticoruptie verifica legalitatea achizitionarii si utilizarii ulterioare a masinilor de schimbat traverse achizitionate.</w:t>
      </w:r>
    </w:p>
    <w:p>
      <w:pPr>
        <w:pStyle w:val="Style15"/>
        <w:keepNext/>
        <w:keepLines/>
        <w:widowControl w:val="0"/>
        <w:numPr>
          <w:ilvl w:val="0"/>
          <w:numId w:val="25"/>
        </w:numPr>
        <w:shd w:val="clear" w:color="auto" w:fill="auto"/>
        <w:tabs>
          <w:tab w:pos="982" w:val="left"/>
        </w:tabs>
        <w:bidi w:val="0"/>
        <w:spacing w:before="0" w:after="0" w:line="240" w:lineRule="auto"/>
        <w:ind w:left="0" w:right="0"/>
        <w:jc w:val="both"/>
      </w:pPr>
      <w:bookmarkStart w:id="72" w:name="bookmark72"/>
      <w:bookmarkStart w:id="73" w:name="bookmark73"/>
      <w:r>
        <w:rPr>
          <w:color w:val="000000"/>
          <w:spacing w:val="0"/>
          <w:w w:val="100"/>
          <w:position w:val="0"/>
          <w:shd w:val="clear" w:color="auto" w:fill="auto"/>
          <w:lang w:val="en-US" w:eastAsia="en-US" w:bidi="en-US"/>
        </w:rPr>
        <w:t>Penalitati din contracte</w:t>
      </w:r>
      <w:bookmarkEnd w:id="72"/>
      <w:bookmarkEnd w:id="73"/>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Hotararea Curtii de Conturi nr. 68 din 17 decembrie 2020 indica faptul ca in rezultatul activitatilor economice prin contractarea bunurilor si serviciilor de la terte parti, din cauza admiterii unor abateri de la angajamentele asumate, intreprinderii de stat in perioada 2018 - 2019 i-au fost aplicate prin diferite metode (instanta de judecata sau relatii amiabile) majorari de intarziere sub forma de penalitati in suma totala de 10,481 mil. lei, care in consecinta au generat cheltuieli neprevazute si ne bugetate corespunzator in valoare de 9,481 mil. lei diminuand, respectiv, si indicatorii de performanta per ansamblu.</w:t>
      </w:r>
    </w:p>
    <w:p>
      <w:pPr>
        <w:pStyle w:val="Style17"/>
        <w:keepNext w:val="0"/>
        <w:keepLines w:val="0"/>
        <w:widowControl w:val="0"/>
        <w:numPr>
          <w:ilvl w:val="0"/>
          <w:numId w:val="19"/>
        </w:numPr>
        <w:shd w:val="clear" w:color="auto" w:fill="auto"/>
        <w:tabs>
          <w:tab w:pos="1045" w:val="left"/>
        </w:tabs>
        <w:bidi w:val="0"/>
        <w:spacing w:before="0" w:after="0" w:line="240" w:lineRule="auto"/>
        <w:ind w:left="0" w:right="0" w:firstLine="660"/>
        <w:jc w:val="both"/>
      </w:pPr>
      <w:r>
        <w:rPr>
          <w:b/>
          <w:bCs/>
          <w:color w:val="000000"/>
          <w:spacing w:val="0"/>
          <w:w w:val="100"/>
          <w:position w:val="0"/>
          <w:shd w:val="clear" w:color="auto" w:fill="auto"/>
          <w:lang w:val="en-US" w:eastAsia="en-US" w:bidi="en-US"/>
        </w:rPr>
        <w:t>Achizitii dubioase</w:t>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In baza Hotararii Curtii de Conturi nr. 31 din 8 august 2011 au fost identificate urmatoarele deficiente:</w:t>
      </w:r>
    </w:p>
    <w:p>
      <w:pPr>
        <w:pStyle w:val="Style17"/>
        <w:keepNext w:val="0"/>
        <w:keepLines w:val="0"/>
        <w:widowControl w:val="0"/>
        <w:numPr>
          <w:ilvl w:val="0"/>
          <w:numId w:val="3"/>
        </w:numPr>
        <w:shd w:val="clear" w:color="auto" w:fill="auto"/>
        <w:tabs>
          <w:tab w:pos="905" w:val="left"/>
        </w:tabs>
        <w:bidi w:val="0"/>
        <w:spacing w:before="0" w:after="0" w:line="240" w:lineRule="auto"/>
        <w:ind w:left="0" w:right="0" w:firstLine="660"/>
        <w:jc w:val="both"/>
      </w:pPr>
      <w:r>
        <w:rPr>
          <w:color w:val="000000"/>
          <w:spacing w:val="0"/>
          <w:w w:val="100"/>
          <w:position w:val="0"/>
          <w:shd w:val="clear" w:color="auto" w:fill="auto"/>
          <w:lang w:val="en-US" w:eastAsia="en-US" w:bidi="en-US"/>
        </w:rPr>
        <w:t>Serviciul ATM a admis in anii 2009-2010 procurarea unor marfuri (metal, tevi, electrozi) in suma de 4,342 mil. lei in lipsa contractelor incheiate si autorizate de Comisia de preturi a I.S. „CFM”. Astfel, verificarea selectiva a constatat ca cele mai semnificative procurari, in suma de 3,396 mil. lei, au fost efectuate de la 5 agenti economici, in lipsa incheierii contractelor.</w:t>
      </w:r>
    </w:p>
    <w:p>
      <w:pPr>
        <w:pStyle w:val="Style17"/>
        <w:keepNext w:val="0"/>
        <w:keepLines w:val="0"/>
        <w:widowControl w:val="0"/>
        <w:numPr>
          <w:ilvl w:val="0"/>
          <w:numId w:val="3"/>
        </w:numPr>
        <w:shd w:val="clear" w:color="auto" w:fill="auto"/>
        <w:tabs>
          <w:tab w:pos="905" w:val="left"/>
        </w:tabs>
        <w:bidi w:val="0"/>
        <w:spacing w:before="0" w:after="0" w:line="240" w:lineRule="auto"/>
        <w:ind w:left="0" w:right="0" w:firstLine="660"/>
        <w:jc w:val="both"/>
      </w:pPr>
      <w:r>
        <w:rPr>
          <w:color w:val="000000"/>
          <w:spacing w:val="0"/>
          <w:w w:val="100"/>
          <w:position w:val="0"/>
          <w:shd w:val="clear" w:color="auto" w:fill="auto"/>
          <w:lang w:val="en-US" w:eastAsia="en-US" w:bidi="en-US"/>
        </w:rPr>
        <w:t>In urma analizei relatiilor intre Serviciul ATM si furnizorii pieselor de schimb si altei productii tehnice, selectate in cadrul auditului pentru analiza (S.R.L. „Ratfer-Com”,</w:t>
      </w:r>
    </w:p>
    <w:p>
      <w:pPr>
        <w:pStyle w:val="Style17"/>
        <w:keepNext w:val="0"/>
        <w:keepLines w:val="0"/>
        <w:widowControl w:val="0"/>
        <w:shd w:val="clear" w:color="auto" w:fill="auto"/>
        <w:tabs>
          <w:tab w:pos="859" w:val="left"/>
        </w:tabs>
        <w:bidi w:val="0"/>
        <w:spacing w:before="0" w:after="0" w:line="240" w:lineRule="auto"/>
        <w:ind w:left="0" w:right="0" w:firstLine="0"/>
        <w:jc w:val="both"/>
      </w:pPr>
      <w:r>
        <w:rPr>
          <w:color w:val="000000"/>
          <w:spacing w:val="0"/>
          <w:w w:val="100"/>
          <w:position w:val="0"/>
          <w:shd w:val="clear" w:color="auto" w:fill="auto"/>
          <w:lang w:val="en-US" w:eastAsia="en-US" w:bidi="en-US"/>
        </w:rPr>
        <w:t>S.R.L. „Avangarda-Const”, S.R.L. „Antarius-Com”, S.R.L. „Elenicna”, S.R.L. „Uncovlad”, S.R.L. „Doina-Emox”), s-a constatat ca tranzactiile economice se efectueaza intr-un cerc constant determinat, iar agentii economici nominalizati, de regula, nu sunt importatori si producatori ai productiei indicate. Aceste intreprinderi au livrat Serviciului ATM productie tehnica in suma de 55,233 mil. lei, concomitent inregistrand importul acestor marfuri in suma de 12,681 mil. lei, precum si relatiile cu firmele anulate de IFPS ca platitori TVA, din cauza neonorarii obligatiunilor fiscale (delicvente sau fantome). Situatia constatata in procesul de procurare a productiei tehnice la I.S. „CFM” denota netransparenta acestor achizitii, insuficienta controlului intern la contractarea procurarii marfurilor, precum si lipsa studiului credibilitatii agentilor contractati, ceea ce determina riscul de majorare a costului de marfuri, cu suportarea de catre intreprindere a cheltuielilor suplimentare la aprovizionarea subdiviziunilor I.S. „CFM” cu piese de schimb, materiale si utilaj.</w:t>
      </w:r>
    </w:p>
    <w:p>
      <w:pPr>
        <w:pStyle w:val="Style17"/>
        <w:keepNext w:val="0"/>
        <w:keepLines w:val="0"/>
        <w:widowControl w:val="0"/>
        <w:numPr>
          <w:ilvl w:val="0"/>
          <w:numId w:val="3"/>
        </w:numPr>
        <w:shd w:val="clear" w:color="auto" w:fill="auto"/>
        <w:tabs>
          <w:tab w:pos="853" w:val="left"/>
        </w:tabs>
        <w:bidi w:val="0"/>
        <w:spacing w:before="0" w:after="0" w:line="240" w:lineRule="auto"/>
        <w:ind w:left="0" w:right="0" w:firstLine="660"/>
        <w:jc w:val="both"/>
      </w:pPr>
      <w:r>
        <w:rPr>
          <w:color w:val="000000"/>
          <w:spacing w:val="0"/>
          <w:w w:val="100"/>
          <w:position w:val="0"/>
          <w:shd w:val="clear" w:color="auto" w:fill="auto"/>
          <w:lang w:val="en-US" w:eastAsia="en-US" w:bidi="en-US"/>
        </w:rPr>
        <w:t xml:space="preserve">Pe parcursul anilor </w:t>
      </w:r>
      <w:r>
        <w:rPr>
          <w:color w:val="000000"/>
          <w:spacing w:val="0"/>
          <w:w w:val="100"/>
          <w:position w:val="0"/>
          <w:shd w:val="clear" w:color="auto" w:fill="auto"/>
          <w:lang w:val="ru-RU" w:eastAsia="ru-RU" w:bidi="ru-RU"/>
        </w:rPr>
        <w:t xml:space="preserve">2008-2010, </w:t>
      </w:r>
      <w:r>
        <w:rPr>
          <w:color w:val="000000"/>
          <w:spacing w:val="0"/>
          <w:w w:val="100"/>
          <w:position w:val="0"/>
          <w:shd w:val="clear" w:color="auto" w:fill="auto"/>
          <w:lang w:val="en-US" w:eastAsia="en-US" w:bidi="en-US"/>
        </w:rPr>
        <w:t xml:space="preserve">in baza contractelor incheiate de catre Serviciul ATM cu un agent economic intermediar de peste hotarele republicii, au fost procurate </w:t>
      </w:r>
      <w:r>
        <w:rPr>
          <w:color w:val="000000"/>
          <w:spacing w:val="0"/>
          <w:w w:val="100"/>
          <w:position w:val="0"/>
          <w:shd w:val="clear" w:color="auto" w:fill="auto"/>
          <w:lang w:val="ru-RU" w:eastAsia="ru-RU" w:bidi="ru-RU"/>
        </w:rPr>
        <w:t xml:space="preserve">971 </w:t>
      </w:r>
      <w:r>
        <w:rPr>
          <w:color w:val="000000"/>
          <w:spacing w:val="0"/>
          <w:w w:val="100"/>
          <w:position w:val="0"/>
          <w:shd w:val="clear" w:color="auto" w:fill="auto"/>
          <w:lang w:val="en-US" w:eastAsia="en-US" w:bidi="en-US"/>
        </w:rPr>
        <w:t xml:space="preserve">de ferestre termopan pentru vagoanele de pasageri, in suma de </w:t>
      </w:r>
      <w:r>
        <w:rPr>
          <w:color w:val="000000"/>
          <w:spacing w:val="0"/>
          <w:w w:val="100"/>
          <w:position w:val="0"/>
          <w:shd w:val="clear" w:color="auto" w:fill="auto"/>
          <w:lang w:val="ru-RU" w:eastAsia="ru-RU" w:bidi="ru-RU"/>
        </w:rPr>
        <w:t xml:space="preserve">1186,5 </w:t>
      </w:r>
      <w:r>
        <w:rPr>
          <w:color w:val="000000"/>
          <w:spacing w:val="0"/>
          <w:w w:val="100"/>
          <w:position w:val="0"/>
          <w:shd w:val="clear" w:color="auto" w:fill="auto"/>
          <w:lang w:val="en-US" w:eastAsia="en-US" w:bidi="en-US"/>
        </w:rPr>
        <w:t xml:space="preserve">mii dolari </w:t>
      </w:r>
      <w:r>
        <w:rPr>
          <w:color w:val="000000"/>
          <w:spacing w:val="0"/>
          <w:w w:val="100"/>
          <w:position w:val="0"/>
          <w:shd w:val="clear" w:color="auto" w:fill="auto"/>
          <w:lang w:val="ru-RU" w:eastAsia="ru-RU" w:bidi="ru-RU"/>
        </w:rPr>
        <w:t xml:space="preserve">(14470,8 </w:t>
      </w:r>
      <w:r>
        <w:rPr>
          <w:color w:val="000000"/>
          <w:spacing w:val="0"/>
          <w:w w:val="100"/>
          <w:position w:val="0"/>
          <w:shd w:val="clear" w:color="auto" w:fill="auto"/>
          <w:lang w:val="en-US" w:eastAsia="en-US" w:bidi="en-US"/>
        </w:rPr>
        <w:t xml:space="preserve">mii lei), al caror producator este o uzina din Ucraina. Astfel, conform facturilor de expeditie, in aceasta perioada au fost primite </w:t>
      </w:r>
      <w:r>
        <w:rPr>
          <w:color w:val="000000"/>
          <w:spacing w:val="0"/>
          <w:w w:val="100"/>
          <w:position w:val="0"/>
          <w:shd w:val="clear" w:color="auto" w:fill="auto"/>
          <w:lang w:val="ru-RU" w:eastAsia="ru-RU" w:bidi="ru-RU"/>
        </w:rPr>
        <w:t xml:space="preserve">1265 </w:t>
      </w:r>
      <w:r>
        <w:rPr>
          <w:color w:val="000000"/>
          <w:spacing w:val="0"/>
          <w:w w:val="100"/>
          <w:position w:val="0"/>
          <w:shd w:val="clear" w:color="auto" w:fill="auto"/>
          <w:lang w:val="en-US" w:eastAsia="en-US" w:bidi="en-US"/>
        </w:rPr>
        <w:t xml:space="preserve">de ferestre in valoare de </w:t>
      </w:r>
      <w:r>
        <w:rPr>
          <w:color w:val="000000"/>
          <w:spacing w:val="0"/>
          <w:w w:val="100"/>
          <w:position w:val="0"/>
          <w:shd w:val="clear" w:color="auto" w:fill="auto"/>
          <w:lang w:val="ru-RU" w:eastAsia="ru-RU" w:bidi="ru-RU"/>
        </w:rPr>
        <w:t xml:space="preserve">17,481 </w:t>
      </w:r>
      <w:r>
        <w:rPr>
          <w:color w:val="000000"/>
          <w:spacing w:val="0"/>
          <w:w w:val="100"/>
          <w:position w:val="0"/>
          <w:shd w:val="clear" w:color="auto" w:fill="auto"/>
          <w:lang w:val="en-US" w:eastAsia="en-US" w:bidi="en-US"/>
        </w:rPr>
        <w:t xml:space="preserve">mil. lei, fiind casate </w:t>
      </w:r>
      <w:r>
        <w:rPr>
          <w:color w:val="000000"/>
          <w:spacing w:val="0"/>
          <w:w w:val="100"/>
          <w:position w:val="0"/>
          <w:shd w:val="clear" w:color="auto" w:fill="auto"/>
          <w:lang w:val="ru-RU" w:eastAsia="ru-RU" w:bidi="ru-RU"/>
        </w:rPr>
        <w:t xml:space="preserve">1135 </w:t>
      </w:r>
      <w:r>
        <w:rPr>
          <w:color w:val="000000"/>
          <w:spacing w:val="0"/>
          <w:w w:val="100"/>
          <w:position w:val="0"/>
          <w:shd w:val="clear" w:color="auto" w:fill="auto"/>
          <w:lang w:val="en-US" w:eastAsia="en-US" w:bidi="en-US"/>
        </w:rPr>
        <w:t xml:space="preserve">de ferestre in valoare de </w:t>
      </w:r>
      <w:r>
        <w:rPr>
          <w:color w:val="000000"/>
          <w:spacing w:val="0"/>
          <w:w w:val="100"/>
          <w:position w:val="0"/>
          <w:shd w:val="clear" w:color="auto" w:fill="auto"/>
          <w:lang w:val="ru-RU" w:eastAsia="ru-RU" w:bidi="ru-RU"/>
        </w:rPr>
        <w:t xml:space="preserve">13,957 </w:t>
      </w:r>
      <w:r>
        <w:rPr>
          <w:color w:val="000000"/>
          <w:spacing w:val="0"/>
          <w:w w:val="100"/>
          <w:position w:val="0"/>
          <w:shd w:val="clear" w:color="auto" w:fill="auto"/>
          <w:lang w:val="en-US" w:eastAsia="en-US" w:bidi="en-US"/>
        </w:rPr>
        <w:t xml:space="preserve">mil. lei, soldul la </w:t>
      </w:r>
      <w:r>
        <w:rPr>
          <w:color w:val="000000"/>
          <w:spacing w:val="0"/>
          <w:w w:val="100"/>
          <w:position w:val="0"/>
          <w:shd w:val="clear" w:color="auto" w:fill="auto"/>
          <w:lang w:val="ru-RU" w:eastAsia="ru-RU" w:bidi="ru-RU"/>
        </w:rPr>
        <w:t xml:space="preserve">31.12.2010 </w:t>
      </w:r>
      <w:r>
        <w:rPr>
          <w:color w:val="000000"/>
          <w:spacing w:val="0"/>
          <w:w w:val="100"/>
          <w:position w:val="0"/>
          <w:shd w:val="clear" w:color="auto" w:fill="auto"/>
          <w:lang w:val="en-US" w:eastAsia="en-US" w:bidi="en-US"/>
        </w:rPr>
        <w:t xml:space="preserve">constituind </w:t>
      </w:r>
      <w:r>
        <w:rPr>
          <w:color w:val="000000"/>
          <w:spacing w:val="0"/>
          <w:w w:val="100"/>
          <w:position w:val="0"/>
          <w:shd w:val="clear" w:color="auto" w:fill="auto"/>
          <w:lang w:val="ru-RU" w:eastAsia="ru-RU" w:bidi="ru-RU"/>
        </w:rPr>
        <w:t xml:space="preserve">130 </w:t>
      </w:r>
      <w:r>
        <w:rPr>
          <w:color w:val="000000"/>
          <w:spacing w:val="0"/>
          <w:w w:val="100"/>
          <w:position w:val="0"/>
          <w:shd w:val="clear" w:color="auto" w:fill="auto"/>
          <w:lang w:val="en-US" w:eastAsia="en-US" w:bidi="en-US"/>
        </w:rPr>
        <w:t xml:space="preserve">de ferestre in valoare de </w:t>
      </w:r>
      <w:r>
        <w:rPr>
          <w:color w:val="000000"/>
          <w:spacing w:val="0"/>
          <w:w w:val="100"/>
          <w:position w:val="0"/>
          <w:shd w:val="clear" w:color="auto" w:fill="auto"/>
          <w:lang w:val="ru-RU" w:eastAsia="ru-RU" w:bidi="ru-RU"/>
        </w:rPr>
        <w:t xml:space="preserve">3,523 </w:t>
      </w:r>
      <w:r>
        <w:rPr>
          <w:color w:val="000000"/>
          <w:spacing w:val="0"/>
          <w:w w:val="100"/>
          <w:position w:val="0"/>
          <w:shd w:val="clear" w:color="auto" w:fill="auto"/>
          <w:lang w:val="en-US" w:eastAsia="en-US" w:bidi="en-US"/>
        </w:rPr>
        <w:t>mil. lei. Procurarea acestor bunuri s-a efectuat de asemenea prin firme intermediare, ceea ce determina riscul de majorare a cheltuielilor suportate de intreprindere.</w:t>
      </w:r>
    </w:p>
    <w:p>
      <w:pPr>
        <w:pStyle w:val="Style17"/>
        <w:keepNext w:val="0"/>
        <w:keepLines w:val="0"/>
        <w:widowControl w:val="0"/>
        <w:numPr>
          <w:ilvl w:val="0"/>
          <w:numId w:val="3"/>
        </w:numPr>
        <w:shd w:val="clear" w:color="auto" w:fill="auto"/>
        <w:tabs>
          <w:tab w:pos="853" w:val="left"/>
        </w:tabs>
        <w:bidi w:val="0"/>
        <w:spacing w:before="0" w:after="0" w:line="240" w:lineRule="auto"/>
        <w:ind w:left="0" w:right="0" w:firstLine="660"/>
        <w:jc w:val="both"/>
      </w:pPr>
      <w:r>
        <w:rPr>
          <w:color w:val="000000"/>
          <w:spacing w:val="0"/>
          <w:w w:val="100"/>
          <w:position w:val="0"/>
          <w:shd w:val="clear" w:color="auto" w:fill="auto"/>
          <w:lang w:val="en-US" w:eastAsia="en-US" w:bidi="en-US"/>
        </w:rPr>
        <w:t xml:space="preserve">Serviciul ATM are inregistrate, la </w:t>
      </w:r>
      <w:r>
        <w:rPr>
          <w:color w:val="000000"/>
          <w:spacing w:val="0"/>
          <w:w w:val="100"/>
          <w:position w:val="0"/>
          <w:shd w:val="clear" w:color="auto" w:fill="auto"/>
          <w:lang w:val="ru-RU" w:eastAsia="ru-RU" w:bidi="ru-RU"/>
        </w:rPr>
        <w:t xml:space="preserve">01.07.2010, </w:t>
      </w:r>
      <w:r>
        <w:rPr>
          <w:color w:val="000000"/>
          <w:spacing w:val="0"/>
          <w:w w:val="100"/>
          <w:position w:val="0"/>
          <w:shd w:val="clear" w:color="auto" w:fill="auto"/>
          <w:lang w:val="en-US" w:eastAsia="en-US" w:bidi="en-US"/>
        </w:rPr>
        <w:t xml:space="preserve">creante semnificative in suma de </w:t>
      </w:r>
      <w:r>
        <w:rPr>
          <w:color w:val="000000"/>
          <w:spacing w:val="0"/>
          <w:w w:val="100"/>
          <w:position w:val="0"/>
          <w:shd w:val="clear" w:color="auto" w:fill="auto"/>
          <w:lang w:val="ru-RU" w:eastAsia="ru-RU" w:bidi="ru-RU"/>
        </w:rPr>
        <w:t xml:space="preserve">1,166 </w:t>
      </w:r>
      <w:r>
        <w:rPr>
          <w:color w:val="000000"/>
          <w:spacing w:val="0"/>
          <w:w w:val="100"/>
          <w:position w:val="0"/>
          <w:shd w:val="clear" w:color="auto" w:fill="auto"/>
          <w:lang w:val="en-US" w:eastAsia="en-US" w:bidi="en-US"/>
        </w:rPr>
        <w:t xml:space="preserve">mil. lei, din care </w:t>
      </w:r>
      <w:r>
        <w:rPr>
          <w:color w:val="000000"/>
          <w:spacing w:val="0"/>
          <w:w w:val="100"/>
          <w:position w:val="0"/>
          <w:shd w:val="clear" w:color="auto" w:fill="auto"/>
          <w:lang w:val="ru-RU" w:eastAsia="ru-RU" w:bidi="ru-RU"/>
        </w:rPr>
        <w:t xml:space="preserve">942,6 </w:t>
      </w:r>
      <w:r>
        <w:rPr>
          <w:color w:val="000000"/>
          <w:spacing w:val="0"/>
          <w:w w:val="100"/>
          <w:position w:val="0"/>
          <w:shd w:val="clear" w:color="auto" w:fill="auto"/>
          <w:lang w:val="en-US" w:eastAsia="en-US" w:bidi="en-US"/>
        </w:rPr>
        <w:t xml:space="preserve">mii lei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 xml:space="preserve">la contul „Avansuri acordate”, ce reprezinta </w:t>
      </w:r>
      <w:r>
        <w:rPr>
          <w:color w:val="000000"/>
          <w:spacing w:val="0"/>
          <w:w w:val="100"/>
          <w:position w:val="0"/>
          <w:shd w:val="clear" w:color="auto" w:fill="auto"/>
          <w:lang w:val="ru-RU" w:eastAsia="ru-RU" w:bidi="ru-RU"/>
        </w:rPr>
        <w:t xml:space="preserve">80,8%, </w:t>
      </w:r>
      <w:r>
        <w:rPr>
          <w:color w:val="000000"/>
          <w:spacing w:val="0"/>
          <w:w w:val="100"/>
          <w:position w:val="0"/>
          <w:shd w:val="clear" w:color="auto" w:fill="auto"/>
          <w:lang w:val="en-US" w:eastAsia="en-US" w:bidi="en-US"/>
        </w:rPr>
        <w:t xml:space="preserve">inclusiv avansul pentru acumulatoare, acordat unei firme de peste hotarele republicii, in suma de </w:t>
      </w:r>
      <w:r>
        <w:rPr>
          <w:color w:val="000000"/>
          <w:spacing w:val="0"/>
          <w:w w:val="100"/>
          <w:position w:val="0"/>
          <w:shd w:val="clear" w:color="auto" w:fill="auto"/>
          <w:lang w:val="ru-RU" w:eastAsia="ru-RU" w:bidi="ru-RU"/>
        </w:rPr>
        <w:t xml:space="preserve">634,8 </w:t>
      </w:r>
      <w:r>
        <w:rPr>
          <w:color w:val="000000"/>
          <w:spacing w:val="0"/>
          <w:w w:val="100"/>
          <w:position w:val="0"/>
          <w:shd w:val="clear" w:color="auto" w:fill="auto"/>
          <w:lang w:val="en-US" w:eastAsia="en-US" w:bidi="en-US"/>
        </w:rPr>
        <w:t xml:space="preserve">mii lei, format in urma acceptarii de catre Serviciul ATM a modului de achitare a avansului in cuantum de </w:t>
      </w:r>
      <w:r>
        <w:rPr>
          <w:color w:val="000000"/>
          <w:spacing w:val="0"/>
          <w:w w:val="100"/>
          <w:position w:val="0"/>
          <w:shd w:val="clear" w:color="auto" w:fill="auto"/>
          <w:lang w:val="ru-RU" w:eastAsia="ru-RU" w:bidi="ru-RU"/>
        </w:rPr>
        <w:t xml:space="preserve">100%. </w:t>
      </w:r>
      <w:r>
        <w:rPr>
          <w:color w:val="000000"/>
          <w:spacing w:val="0"/>
          <w:w w:val="100"/>
          <w:position w:val="0"/>
          <w:shd w:val="clear" w:color="auto" w:fill="auto"/>
          <w:lang w:val="en-US" w:eastAsia="en-US" w:bidi="en-US"/>
        </w:rPr>
        <w:t>In pofida masurilor intreprinse si castigului de cauza in instanta de judecata, aceste mijloace nu sunt recuperate.</w:t>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Ulterior, in rezultatul auditului Curtii de Conturi din anul 2018, prin Hotararea Curtii de Conturi nr. 8 din 26 martie 2018 au fost stabilite urmatoarele:</w:t>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In anii 2015-2016, intreprinderea a efectuat 594 de procurari, in valoare totala de circa 731,6 mil. lei, dintre care la 374 (63%) de contracte a fost aplicata procedura dintr-o singura sursa.</w:t>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Analiza achizitiilor efectuate sub aspect structural releva ca, in perioada de referinta, ponderea predominanta de 51,3% se atribuie procurarii de motorina, fiind urmata cu 12,3% de piesele de schimb pentru vagoane si locomotive.</w:t>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Lipsa reglementarilor normative precum si a verificarilor asupra modului de desfasurare a achizitiilor in perioada, supusa auditarii au relevat la acel moment urmatoarele deficiente in procesul desfasurarii acestora:</w:t>
      </w:r>
    </w:p>
    <w:p>
      <w:pPr>
        <w:pStyle w:val="Style17"/>
        <w:keepNext w:val="0"/>
        <w:keepLines w:val="0"/>
        <w:widowControl w:val="0"/>
        <w:numPr>
          <w:ilvl w:val="0"/>
          <w:numId w:val="3"/>
        </w:numPr>
        <w:shd w:val="clear" w:color="auto" w:fill="auto"/>
        <w:tabs>
          <w:tab w:pos="853" w:val="left"/>
        </w:tabs>
        <w:bidi w:val="0"/>
        <w:spacing w:before="0" w:after="0" w:line="240" w:lineRule="auto"/>
        <w:ind w:left="0" w:right="0" w:firstLine="660"/>
        <w:jc w:val="both"/>
      </w:pPr>
      <w:r>
        <w:rPr>
          <w:color w:val="000000"/>
          <w:spacing w:val="0"/>
          <w:w w:val="100"/>
          <w:position w:val="0"/>
          <w:shd w:val="clear" w:color="auto" w:fill="auto"/>
          <w:lang w:val="en-US" w:eastAsia="en-US" w:bidi="en-US"/>
        </w:rPr>
        <w:t>neasigurarea publicarii integrale pe site-ul intreprinderii a planurilor anuale de achizitii, precum si lipsa unor cerinte concrete privind informatiile care trebuie publicate la atribuirea contractului;</w:t>
      </w:r>
    </w:p>
    <w:p>
      <w:pPr>
        <w:pStyle w:val="Style17"/>
        <w:keepNext w:val="0"/>
        <w:keepLines w:val="0"/>
        <w:widowControl w:val="0"/>
        <w:numPr>
          <w:ilvl w:val="0"/>
          <w:numId w:val="3"/>
        </w:numPr>
        <w:shd w:val="clear" w:color="auto" w:fill="auto"/>
        <w:tabs>
          <w:tab w:pos="853" w:val="left"/>
        </w:tabs>
        <w:bidi w:val="0"/>
        <w:spacing w:before="0" w:after="0" w:line="233" w:lineRule="auto"/>
        <w:ind w:left="0" w:right="0" w:firstLine="660"/>
        <w:jc w:val="both"/>
      </w:pPr>
      <w:r>
        <w:rPr>
          <w:color w:val="000000"/>
          <w:spacing w:val="0"/>
          <w:w w:val="100"/>
          <w:position w:val="0"/>
          <w:shd w:val="clear" w:color="auto" w:fill="auto"/>
          <w:lang w:val="en-US" w:eastAsia="en-US" w:bidi="en-US"/>
        </w:rPr>
        <w:t>efectuarea procurarilor in valoare totala de 56,8 mil.lei de la 9 agenti economici in lipsa relatiilor contractuale.</w:t>
      </w:r>
    </w:p>
    <w:p>
      <w:pPr>
        <w:pStyle w:val="Style1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en-US" w:eastAsia="en-US" w:bidi="en-US"/>
        </w:rPr>
        <w:t>In rezultatul auditului din anul 2020, Curtea de Conturi a constat ca lipsa regulamentara a strategiei de planificare a achizitiilor a determinat intreprinderea, in conditiile unui buget deficitar, sa procure nejustificat unele bunuri materiale, in valoare totala de 51,261 mil. lei, care nu au fost utilizate sau deja existau in depozitele I.S. „CFM”. De remarcat ca neexaminarea continua a necesitatilor si stocurilor de bunuri materiale la elaborarea planului anual de achizitii, a generat inghetarea a 126,956 mil. lei in circa 2549,8 mii unitati de stocuri cu miscare lenta sau fara miscare.</w:t>
      </w:r>
      <w:r>
        <w:rPr>
          <w:color w:val="000000"/>
          <w:spacing w:val="0"/>
          <w:w w:val="100"/>
          <w:position w:val="0"/>
          <w:shd w:val="clear" w:color="auto" w:fill="auto"/>
          <w:vertAlign w:val="superscript"/>
          <w:lang w:val="en-US" w:eastAsia="en-US" w:bidi="en-US"/>
        </w:rPr>
        <w:footnoteReference w:id="30"/>
      </w:r>
    </w:p>
    <w:p>
      <w:pPr>
        <w:pStyle w:val="Style1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en-US" w:eastAsia="en-US" w:bidi="en-US"/>
        </w:rPr>
        <w:t>Drept urmare a efectuarii Inspectiei financiare din noiembrie 2014, s-a constatat ca</w:t>
      </w:r>
    </w:p>
    <w:p>
      <w:pPr>
        <w:pStyle w:val="Style17"/>
        <w:keepNext w:val="0"/>
        <w:keepLines w:val="0"/>
        <w:widowControl w:val="0"/>
        <w:shd w:val="clear" w:color="auto" w:fill="auto"/>
        <w:tabs>
          <w:tab w:pos="500" w:val="left"/>
        </w:tabs>
        <w:bidi w:val="0"/>
        <w:spacing w:before="0" w:after="0" w:line="240" w:lineRule="auto"/>
        <w:ind w:left="0" w:right="0" w:firstLine="0"/>
        <w:jc w:val="both"/>
      </w:pPr>
      <w:r>
        <w:rPr>
          <w:color w:val="000000"/>
          <w:spacing w:val="0"/>
          <w:w w:val="100"/>
          <w:position w:val="0"/>
          <w:shd w:val="clear" w:color="auto" w:fill="auto"/>
          <w:lang w:val="en-US" w:eastAsia="en-US" w:bidi="en-US"/>
        </w:rPr>
        <w:t>I.S.</w:t>
        <w:tab/>
        <w:t>„CFM” a incheiat contracte privind livrarea de motorina/ulei cu SRL „Basapetrol”. Contractele respective au fost incheiate ca urmare a ofe rtelor comerciale prezentate de SRL „Basapetrol” catre I.S. „CFM”.</w:t>
      </w:r>
      <w:r>
        <w:rPr>
          <w:color w:val="000000"/>
          <w:spacing w:val="0"/>
          <w:w w:val="100"/>
          <w:position w:val="0"/>
          <w:shd w:val="clear" w:color="auto" w:fill="auto"/>
          <w:vertAlign w:val="superscript"/>
          <w:lang w:val="en-US" w:eastAsia="en-US" w:bidi="en-US"/>
        </w:rPr>
        <w:footnoteReference w:id="31"/>
      </w:r>
    </w:p>
    <w:p>
      <w:pPr>
        <w:pStyle w:val="Style1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en-US" w:eastAsia="en-US" w:bidi="en-US"/>
        </w:rPr>
        <w:t xml:space="preserve">Desi pretul propus de SRL „Basapetrol” in oferta comerciala depasea pretul angro existent pe piata la acel moment, factorii de decizie din cadrul intreprinderii de stat au </w:t>
      </w:r>
      <w:r>
        <w:rPr>
          <w:color w:val="000000"/>
          <w:spacing w:val="0"/>
          <w:w w:val="100"/>
          <w:position w:val="0"/>
          <w:shd w:val="clear" w:color="auto" w:fill="auto"/>
          <w:lang w:val="en-US" w:eastAsia="en-US" w:bidi="en-US"/>
        </w:rPr>
        <w:t xml:space="preserve">acceptat oferta in detrimentul intereselor intreprinderii. Urmare a livrarii catre I.S. „CFM” in perioada anilor </w:t>
      </w:r>
      <w:r>
        <w:rPr>
          <w:color w:val="000000"/>
          <w:spacing w:val="0"/>
          <w:w w:val="100"/>
          <w:position w:val="0"/>
          <w:shd w:val="clear" w:color="auto" w:fill="auto"/>
          <w:lang w:val="ru-RU" w:eastAsia="ru-RU" w:bidi="ru-RU"/>
        </w:rPr>
        <w:t xml:space="preserve">2013-2014 </w:t>
      </w:r>
      <w:r>
        <w:rPr>
          <w:color w:val="000000"/>
          <w:spacing w:val="0"/>
          <w:w w:val="100"/>
          <w:position w:val="0"/>
          <w:shd w:val="clear" w:color="auto" w:fill="auto"/>
          <w:lang w:val="en-US" w:eastAsia="en-US" w:bidi="en-US"/>
        </w:rPr>
        <w:t xml:space="preserve">a </w:t>
      </w:r>
      <w:r>
        <w:rPr>
          <w:color w:val="000000"/>
          <w:spacing w:val="0"/>
          <w:w w:val="100"/>
          <w:position w:val="0"/>
          <w:shd w:val="clear" w:color="auto" w:fill="auto"/>
          <w:lang w:val="ru-RU" w:eastAsia="ru-RU" w:bidi="ru-RU"/>
        </w:rPr>
        <w:t xml:space="preserve">6207,47 </w:t>
      </w:r>
      <w:r>
        <w:rPr>
          <w:color w:val="000000"/>
          <w:spacing w:val="0"/>
          <w:w w:val="100"/>
          <w:position w:val="0"/>
          <w:shd w:val="clear" w:color="auto" w:fill="auto"/>
          <w:lang w:val="en-US" w:eastAsia="en-US" w:bidi="en-US"/>
        </w:rPr>
        <w:t xml:space="preserve">tone de motorina in valoare de </w:t>
      </w:r>
      <w:r>
        <w:rPr>
          <w:color w:val="000000"/>
          <w:spacing w:val="0"/>
          <w:w w:val="100"/>
          <w:position w:val="0"/>
          <w:shd w:val="clear" w:color="auto" w:fill="auto"/>
          <w:lang w:val="ru-RU" w:eastAsia="ru-RU" w:bidi="ru-RU"/>
        </w:rPr>
        <w:t xml:space="preserve">115,257 </w:t>
      </w:r>
      <w:r>
        <w:rPr>
          <w:color w:val="000000"/>
          <w:spacing w:val="0"/>
          <w:w w:val="100"/>
          <w:position w:val="0"/>
          <w:shd w:val="clear" w:color="auto" w:fill="auto"/>
          <w:lang w:val="en-US" w:eastAsia="en-US" w:bidi="en-US"/>
        </w:rPr>
        <w:t xml:space="preserve">mil. lei si ulei in cantitate de </w:t>
      </w:r>
      <w:r>
        <w:rPr>
          <w:color w:val="000000"/>
          <w:spacing w:val="0"/>
          <w:w w:val="100"/>
          <w:position w:val="0"/>
          <w:shd w:val="clear" w:color="auto" w:fill="auto"/>
          <w:lang w:val="ru-RU" w:eastAsia="ru-RU" w:bidi="ru-RU"/>
        </w:rPr>
        <w:t xml:space="preserve">59,797 </w:t>
      </w:r>
      <w:r>
        <w:rPr>
          <w:color w:val="000000"/>
          <w:spacing w:val="0"/>
          <w:w w:val="100"/>
          <w:position w:val="0"/>
          <w:shd w:val="clear" w:color="auto" w:fill="auto"/>
          <w:lang w:val="en-US" w:eastAsia="en-US" w:bidi="en-US"/>
        </w:rPr>
        <w:t xml:space="preserve">tone in valoare de </w:t>
      </w:r>
      <w:r>
        <w:rPr>
          <w:color w:val="000000"/>
          <w:spacing w:val="0"/>
          <w:w w:val="100"/>
          <w:position w:val="0"/>
          <w:shd w:val="clear" w:color="auto" w:fill="auto"/>
          <w:lang w:val="ru-RU" w:eastAsia="ru-RU" w:bidi="ru-RU"/>
        </w:rPr>
        <w:t xml:space="preserve">1,366 </w:t>
      </w:r>
      <w:r>
        <w:rPr>
          <w:color w:val="000000"/>
          <w:spacing w:val="0"/>
          <w:w w:val="100"/>
          <w:position w:val="0"/>
          <w:shd w:val="clear" w:color="auto" w:fill="auto"/>
          <w:lang w:val="en-US" w:eastAsia="en-US" w:bidi="en-US"/>
        </w:rPr>
        <w:t xml:space="preserve">mil. lei, SRL „Basapetrol” a obtinut un profit brut in marime de </w:t>
      </w:r>
      <w:r>
        <w:rPr>
          <w:color w:val="000000"/>
          <w:spacing w:val="0"/>
          <w:w w:val="100"/>
          <w:position w:val="0"/>
          <w:shd w:val="clear" w:color="auto" w:fill="auto"/>
          <w:lang w:val="ru-RU" w:eastAsia="ru-RU" w:bidi="ru-RU"/>
        </w:rPr>
        <w:t xml:space="preserve">2.756.355 </w:t>
      </w:r>
      <w:r>
        <w:rPr>
          <w:color w:val="000000"/>
          <w:spacing w:val="0"/>
          <w:w w:val="100"/>
          <w:position w:val="0"/>
          <w:shd w:val="clear" w:color="auto" w:fill="auto"/>
          <w:lang w:val="en-US" w:eastAsia="en-US" w:bidi="en-US"/>
        </w:rPr>
        <w:t>lei.</w:t>
      </w:r>
    </w:p>
    <w:p>
      <w:pPr>
        <w:pStyle w:val="Style17"/>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en-US" w:eastAsia="en-US" w:bidi="en-US"/>
        </w:rPr>
        <w:t xml:space="preserve">Contracte similare au fost semnate de catre I.S. „Calea Ferata din Moldova” si cu si SRL „Avante”. Contractele respective au fost incheiate ca urmare a ofertelor comerciale prezentate de SRL „Avante” catre I.S. „CFM”. Desi pretul propus de SRL „Avante” in oferta comerciala depasea pretul angro existent pe piata la acel moment, factorii de decizie din cadrul intreprinderii au acceptat oferta in detrimentul intereselor financiare ale acesteia. Ca urmare a livrarii catre I.S. „CFM” in perioada </w:t>
      </w:r>
      <w:r>
        <w:rPr>
          <w:color w:val="000000"/>
          <w:spacing w:val="0"/>
          <w:w w:val="100"/>
          <w:position w:val="0"/>
          <w:shd w:val="clear" w:color="auto" w:fill="auto"/>
          <w:lang w:val="ru-RU" w:eastAsia="ru-RU" w:bidi="ru-RU"/>
        </w:rPr>
        <w:t xml:space="preserve">24.04.2014 - 29.05,2014 </w:t>
      </w:r>
      <w:r>
        <w:rPr>
          <w:color w:val="000000"/>
          <w:spacing w:val="0"/>
          <w:w w:val="100"/>
          <w:position w:val="0"/>
          <w:shd w:val="clear" w:color="auto" w:fill="auto"/>
          <w:lang w:val="en-US" w:eastAsia="en-US" w:bidi="en-US"/>
        </w:rPr>
        <w:t xml:space="preserve">a </w:t>
      </w:r>
      <w:r>
        <w:rPr>
          <w:color w:val="000000"/>
          <w:spacing w:val="0"/>
          <w:w w:val="100"/>
          <w:position w:val="0"/>
          <w:shd w:val="clear" w:color="auto" w:fill="auto"/>
          <w:lang w:val="ru-RU" w:eastAsia="ru-RU" w:bidi="ru-RU"/>
        </w:rPr>
        <w:t xml:space="preserve">895.428 </w:t>
      </w:r>
      <w:r>
        <w:rPr>
          <w:color w:val="000000"/>
          <w:spacing w:val="0"/>
          <w:w w:val="100"/>
          <w:position w:val="0"/>
          <w:shd w:val="clear" w:color="auto" w:fill="auto"/>
          <w:lang w:val="en-US" w:eastAsia="en-US" w:bidi="en-US"/>
        </w:rPr>
        <w:t xml:space="preserve">kg de motorina in valoare de </w:t>
      </w:r>
      <w:r>
        <w:rPr>
          <w:color w:val="000000"/>
          <w:spacing w:val="0"/>
          <w:w w:val="100"/>
          <w:position w:val="0"/>
          <w:shd w:val="clear" w:color="auto" w:fill="auto"/>
          <w:lang w:val="ru-RU" w:eastAsia="ru-RU" w:bidi="ru-RU"/>
        </w:rPr>
        <w:t xml:space="preserve">17,975 </w:t>
      </w:r>
      <w:r>
        <w:rPr>
          <w:color w:val="000000"/>
          <w:spacing w:val="0"/>
          <w:w w:val="100"/>
          <w:position w:val="0"/>
          <w:shd w:val="clear" w:color="auto" w:fill="auto"/>
          <w:lang w:val="en-US" w:eastAsia="en-US" w:bidi="en-US"/>
        </w:rPr>
        <w:t xml:space="preserve">mil. lei, SRL „Avante” a obtinut un profit brut in marime de </w:t>
      </w:r>
      <w:r>
        <w:rPr>
          <w:color w:val="000000"/>
          <w:spacing w:val="0"/>
          <w:w w:val="100"/>
          <w:position w:val="0"/>
          <w:shd w:val="clear" w:color="auto" w:fill="auto"/>
          <w:lang w:val="ru-RU" w:eastAsia="ru-RU" w:bidi="ru-RU"/>
        </w:rPr>
        <w:t xml:space="preserve">1.007.762 </w:t>
      </w:r>
      <w:r>
        <w:rPr>
          <w:color w:val="000000"/>
          <w:spacing w:val="0"/>
          <w:w w:val="100"/>
          <w:position w:val="0"/>
          <w:shd w:val="clear" w:color="auto" w:fill="auto"/>
          <w:lang w:val="en-US" w:eastAsia="en-US" w:bidi="en-US"/>
        </w:rPr>
        <w:t>lei.</w:t>
      </w:r>
      <w:r>
        <w:rPr>
          <w:color w:val="000000"/>
          <w:spacing w:val="0"/>
          <w:w w:val="100"/>
          <w:position w:val="0"/>
          <w:shd w:val="clear" w:color="auto" w:fill="auto"/>
          <w:vertAlign w:val="superscript"/>
          <w:lang w:val="en-US" w:eastAsia="en-US" w:bidi="en-US"/>
        </w:rPr>
        <w:footnoteReference w:id="32"/>
      </w:r>
      <w:r>
        <w:rPr>
          <w:color w:val="000000"/>
          <w:spacing w:val="0"/>
          <w:w w:val="100"/>
          <w:position w:val="0"/>
          <w:shd w:val="clear" w:color="auto" w:fill="auto"/>
          <w:vertAlign w:val="superscript"/>
          <w:lang w:val="en-US" w:eastAsia="en-US" w:bidi="en-US"/>
        </w:rPr>
        <w:t xml:space="preserve"> </w:t>
      </w:r>
      <w:r>
        <w:rPr>
          <w:color w:val="000000"/>
          <w:spacing w:val="0"/>
          <w:w w:val="100"/>
          <w:position w:val="0"/>
          <w:shd w:val="clear" w:color="auto" w:fill="auto"/>
          <w:vertAlign w:val="superscript"/>
          <w:lang w:val="en-US" w:eastAsia="en-US" w:bidi="en-US"/>
        </w:rPr>
        <w:footnoteReference w:id="33"/>
      </w:r>
    </w:p>
    <w:p>
      <w:pPr>
        <w:pStyle w:val="Style17"/>
        <w:keepNext w:val="0"/>
        <w:keepLines w:val="0"/>
        <w:widowControl w:val="0"/>
        <w:shd w:val="clear" w:color="auto" w:fill="auto"/>
        <w:bidi w:val="0"/>
        <w:spacing w:before="0" w:after="120" w:line="240" w:lineRule="auto"/>
        <w:ind w:left="0" w:right="0" w:firstLine="880"/>
        <w:jc w:val="both"/>
        <w:rPr>
          <w:sz w:val="18"/>
          <w:szCs w:val="18"/>
        </w:rPr>
      </w:pPr>
      <w:r>
        <w:rPr>
          <w:color w:val="000000"/>
          <w:spacing w:val="0"/>
          <w:w w:val="100"/>
          <w:position w:val="0"/>
          <w:sz w:val="28"/>
          <w:szCs w:val="28"/>
          <w:shd w:val="clear" w:color="auto" w:fill="auto"/>
          <w:lang w:val="en-US" w:eastAsia="en-US" w:bidi="en-US"/>
        </w:rPr>
        <w:t xml:space="preserve">In rezultatul, verificarilor efectuate de Inspectia Financiara in anul </w:t>
      </w:r>
      <w:r>
        <w:rPr>
          <w:color w:val="000000"/>
          <w:spacing w:val="0"/>
          <w:w w:val="100"/>
          <w:position w:val="0"/>
          <w:sz w:val="28"/>
          <w:szCs w:val="28"/>
          <w:shd w:val="clear" w:color="auto" w:fill="auto"/>
          <w:lang w:val="ru-RU" w:eastAsia="ru-RU" w:bidi="ru-RU"/>
        </w:rPr>
        <w:t xml:space="preserve">2016, </w:t>
      </w:r>
      <w:r>
        <w:rPr>
          <w:color w:val="000000"/>
          <w:spacing w:val="0"/>
          <w:w w:val="100"/>
          <w:position w:val="0"/>
          <w:sz w:val="28"/>
          <w:szCs w:val="28"/>
          <w:shd w:val="clear" w:color="auto" w:fill="auto"/>
          <w:lang w:val="en-US" w:eastAsia="en-US" w:bidi="en-US"/>
        </w:rPr>
        <w:t xml:space="preserve">s-a stabilit ca au fost achizitionate marfuri (materiale si piese) in valori semnificative prin intermediari, care la randul lor le-au achizitionat de la firme fantome, cu nerespectarea prevederilor legale, neasigurand certificarea calitatii marfurilor si provenienta acestora. Astfel, in conformitate cu Deciziile IFPS din </w:t>
      </w:r>
      <w:r>
        <w:rPr>
          <w:color w:val="000000"/>
          <w:spacing w:val="0"/>
          <w:w w:val="100"/>
          <w:position w:val="0"/>
          <w:sz w:val="28"/>
          <w:szCs w:val="28"/>
          <w:shd w:val="clear" w:color="auto" w:fill="auto"/>
          <w:lang w:val="ru-RU" w:eastAsia="ru-RU" w:bidi="ru-RU"/>
        </w:rPr>
        <w:t xml:space="preserve">04.03.2016 </w:t>
      </w:r>
      <w:r>
        <w:rPr>
          <w:color w:val="000000"/>
          <w:spacing w:val="0"/>
          <w:w w:val="100"/>
          <w:position w:val="0"/>
          <w:sz w:val="28"/>
          <w:szCs w:val="28"/>
          <w:shd w:val="clear" w:color="auto" w:fill="auto"/>
          <w:lang w:val="en-US" w:eastAsia="en-US" w:bidi="en-US"/>
        </w:rPr>
        <w:t xml:space="preserve">si din </w:t>
      </w:r>
      <w:r>
        <w:rPr>
          <w:color w:val="000000"/>
          <w:spacing w:val="0"/>
          <w:w w:val="100"/>
          <w:position w:val="0"/>
          <w:sz w:val="28"/>
          <w:szCs w:val="28"/>
          <w:shd w:val="clear" w:color="auto" w:fill="auto"/>
          <w:lang w:val="ru-RU" w:eastAsia="ru-RU" w:bidi="ru-RU"/>
        </w:rPr>
        <w:t xml:space="preserve">06.05.2016, </w:t>
      </w:r>
      <w:r>
        <w:rPr>
          <w:color w:val="000000"/>
          <w:spacing w:val="0"/>
          <w:w w:val="100"/>
          <w:position w:val="0"/>
          <w:sz w:val="28"/>
          <w:szCs w:val="28"/>
          <w:shd w:val="clear" w:color="auto" w:fill="auto"/>
          <w:lang w:val="en-US" w:eastAsia="en-US" w:bidi="en-US"/>
        </w:rPr>
        <w:t xml:space="preserve">nu s-a luat in calcul sumele TVA spre restituire, respectiv, </w:t>
      </w:r>
      <w:r>
        <w:rPr>
          <w:color w:val="000000"/>
          <w:spacing w:val="0"/>
          <w:w w:val="100"/>
          <w:position w:val="0"/>
          <w:sz w:val="28"/>
          <w:szCs w:val="28"/>
          <w:shd w:val="clear" w:color="auto" w:fill="auto"/>
          <w:lang w:val="ru-RU" w:eastAsia="ru-RU" w:bidi="ru-RU"/>
        </w:rPr>
        <w:t xml:space="preserve">587,6 </w:t>
      </w:r>
      <w:r>
        <w:rPr>
          <w:color w:val="000000"/>
          <w:spacing w:val="0"/>
          <w:w w:val="100"/>
          <w:position w:val="0"/>
          <w:sz w:val="28"/>
          <w:szCs w:val="28"/>
          <w:shd w:val="clear" w:color="auto" w:fill="auto"/>
          <w:lang w:val="en-US" w:eastAsia="en-US" w:bidi="en-US"/>
        </w:rPr>
        <w:t xml:space="preserve">mii lei si </w:t>
      </w:r>
      <w:r>
        <w:rPr>
          <w:color w:val="000000"/>
          <w:spacing w:val="0"/>
          <w:w w:val="100"/>
          <w:position w:val="0"/>
          <w:sz w:val="28"/>
          <w:szCs w:val="28"/>
          <w:shd w:val="clear" w:color="auto" w:fill="auto"/>
          <w:lang w:val="ru-RU" w:eastAsia="ru-RU" w:bidi="ru-RU"/>
        </w:rPr>
        <w:t xml:space="preserve">4,3831 </w:t>
      </w:r>
      <w:r>
        <w:rPr>
          <w:color w:val="000000"/>
          <w:spacing w:val="0"/>
          <w:w w:val="100"/>
          <w:position w:val="0"/>
          <w:sz w:val="28"/>
          <w:szCs w:val="28"/>
          <w:shd w:val="clear" w:color="auto" w:fill="auto"/>
          <w:lang w:val="en-US" w:eastAsia="en-US" w:bidi="en-US"/>
        </w:rPr>
        <w:t xml:space="preserve">mil. lei, ca rezultat al neconfirmarii provenientei marfurilor si legalitatii serviciilor livrate in adresa I.S. „CFM”. </w:t>
      </w:r>
      <w:r>
        <w:rPr>
          <w:color w:val="000000"/>
          <w:spacing w:val="0"/>
          <w:w w:val="100"/>
          <w:position w:val="0"/>
          <w:sz w:val="18"/>
          <w:szCs w:val="18"/>
          <w:shd w:val="clear" w:color="auto" w:fill="auto"/>
          <w:lang w:val="ru-RU" w:eastAsia="ru-RU" w:bidi="ru-RU"/>
        </w:rPr>
        <w:t>42</w:t>
      </w:r>
    </w:p>
    <w:p>
      <w:pPr>
        <w:pStyle w:val="Style17"/>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en-US" w:eastAsia="en-US" w:bidi="en-US"/>
        </w:rPr>
        <w:t xml:space="preserve">Ulterior, in cadrul inspectiei din anul </w:t>
      </w:r>
      <w:r>
        <w:rPr>
          <w:color w:val="000000"/>
          <w:spacing w:val="0"/>
          <w:w w:val="100"/>
          <w:position w:val="0"/>
          <w:shd w:val="clear" w:color="auto" w:fill="auto"/>
          <w:lang w:val="ru-RU" w:eastAsia="ru-RU" w:bidi="ru-RU"/>
        </w:rPr>
        <w:t xml:space="preserve">2019, </w:t>
      </w:r>
      <w:r>
        <w:rPr>
          <w:color w:val="000000"/>
          <w:spacing w:val="0"/>
          <w:w w:val="100"/>
          <w:position w:val="0"/>
          <w:shd w:val="clear" w:color="auto" w:fill="auto"/>
          <w:lang w:val="en-US" w:eastAsia="en-US" w:bidi="en-US"/>
        </w:rPr>
        <w:t>Inspectia Financiara a stabilit ca inspectarile de contrapunere efectuate la unii furnizori de materiale si piese de schimb ai</w:t>
      </w:r>
    </w:p>
    <w:p>
      <w:pPr>
        <w:pStyle w:val="Style17"/>
        <w:keepNext w:val="0"/>
        <w:keepLines w:val="0"/>
        <w:widowControl w:val="0"/>
        <w:shd w:val="clear" w:color="auto" w:fill="auto"/>
        <w:tabs>
          <w:tab w:pos="672" w:val="left"/>
        </w:tabs>
        <w:bidi w:val="0"/>
        <w:spacing w:before="0" w:after="0" w:line="240" w:lineRule="auto"/>
        <w:ind w:left="0" w:right="0" w:firstLine="0"/>
        <w:jc w:val="both"/>
      </w:pPr>
      <w:r>
        <w:rPr>
          <w:color w:val="000000"/>
          <w:spacing w:val="0"/>
          <w:w w:val="100"/>
          <w:position w:val="0"/>
          <w:shd w:val="clear" w:color="auto" w:fill="auto"/>
          <w:lang w:val="en-US" w:eastAsia="en-US" w:bidi="en-US"/>
        </w:rPr>
        <w:t>I.S.</w:t>
        <w:tab/>
        <w:t xml:space="preserve">„CFM” (S.R.L. „BSA-Impex”, S.R.L. „Indelco”, S.R.L. „Spectehcom”, S.R.L. „Levdra”, S.R.L. „Tehnomet”, S.R.L. „Metvil”, S.R.L. „Arvi-Invest”) a constatat ca, majoritatea materialelor si utilajului furnizat este produs la intreprinderi specializate de peste hotarele tarii (Ucraina, Rusia, Cehia), iar adaosul comercial aplicat de catre acestia, care variaza intre </w:t>
      </w:r>
      <w:r>
        <w:rPr>
          <w:color w:val="000000"/>
          <w:spacing w:val="0"/>
          <w:w w:val="100"/>
          <w:position w:val="0"/>
          <w:shd w:val="clear" w:color="auto" w:fill="auto"/>
          <w:lang w:val="ru-RU" w:eastAsia="ru-RU" w:bidi="ru-RU"/>
        </w:rPr>
        <w:t xml:space="preserve">40-90 </w:t>
      </w:r>
      <w:r>
        <w:rPr>
          <w:color w:val="000000"/>
          <w:spacing w:val="0"/>
          <w:w w:val="100"/>
          <w:position w:val="0"/>
          <w:shd w:val="clear" w:color="auto" w:fill="auto"/>
          <w:lang w:val="en-US" w:eastAsia="en-US" w:bidi="en-US"/>
        </w:rPr>
        <w:t>la suta, majoreaza costurile materialelor pentru I.S. „CFM” in aceiasi marime.</w:t>
      </w:r>
    </w:p>
    <w:p>
      <w:pPr>
        <w:pStyle w:val="Style17"/>
        <w:keepNext w:val="0"/>
        <w:keepLines w:val="0"/>
        <w:widowControl w:val="0"/>
        <w:shd w:val="clear" w:color="auto" w:fill="auto"/>
        <w:bidi w:val="0"/>
        <w:spacing w:before="0" w:after="40" w:line="240" w:lineRule="auto"/>
        <w:ind w:left="0" w:right="0" w:firstLine="740"/>
        <w:jc w:val="both"/>
      </w:pPr>
      <w:r>
        <w:rPr>
          <w:color w:val="000000"/>
          <w:spacing w:val="0"/>
          <w:w w:val="100"/>
          <w:position w:val="0"/>
          <w:shd w:val="clear" w:color="auto" w:fill="auto"/>
          <w:lang w:val="en-US" w:eastAsia="en-US" w:bidi="en-US"/>
        </w:rPr>
        <w:t xml:space="preserve">Suplimentar, Serviciul de Informatii si Securitate (in continuare SIS), a identificat mecanisme infractionale </w:t>
      </w:r>
      <w:r>
        <w:rPr>
          <w:i/>
          <w:iCs/>
          <w:color w:val="000000"/>
          <w:spacing w:val="0"/>
          <w:w w:val="100"/>
          <w:position w:val="0"/>
          <w:shd w:val="clear" w:color="auto" w:fill="auto"/>
          <w:lang w:val="en-US" w:eastAsia="en-US" w:bidi="en-US"/>
        </w:rPr>
        <w:t>circumscrise coruptiei,</w:t>
      </w:r>
      <w:r>
        <w:rPr>
          <w:color w:val="000000"/>
          <w:spacing w:val="0"/>
          <w:w w:val="100"/>
          <w:position w:val="0"/>
          <w:shd w:val="clear" w:color="auto" w:fill="auto"/>
          <w:lang w:val="en-US" w:eastAsia="en-US" w:bidi="en-US"/>
        </w:rPr>
        <w:t xml:space="preserve"> in activitatea unor fosti si actuali factori de decizie ai IS „CFM”</w:t>
      </w:r>
      <w:r>
        <w:rPr>
          <w:i/>
          <w:iCs/>
          <w:color w:val="000000"/>
          <w:spacing w:val="0"/>
          <w:w w:val="100"/>
          <w:position w:val="0"/>
          <w:shd w:val="clear" w:color="auto" w:fill="auto"/>
          <w:lang w:val="en-US" w:eastAsia="en-US" w:bidi="en-US"/>
        </w:rPr>
        <w:t>,</w:t>
      </w:r>
      <w:r>
        <w:rPr>
          <w:color w:val="000000"/>
          <w:spacing w:val="0"/>
          <w:w w:val="100"/>
          <w:position w:val="0"/>
          <w:shd w:val="clear" w:color="auto" w:fill="auto"/>
          <w:lang w:val="en-US" w:eastAsia="en-US" w:bidi="en-US"/>
        </w:rPr>
        <w:t xml:space="preserve"> in rezultatul carora, sunt cauzate</w:t>
      </w:r>
      <w:r>
        <w:rPr>
          <w:color w:val="000000"/>
          <w:spacing w:val="0"/>
          <w:w w:val="100"/>
          <w:position w:val="0"/>
          <w:shd w:val="clear" w:color="auto" w:fill="auto"/>
          <w:vertAlign w:val="superscript"/>
          <w:lang w:val="en-US" w:eastAsia="en-US" w:bidi="en-US"/>
        </w:rPr>
        <w:footnoteReference w:id="34"/>
      </w:r>
      <w:r>
        <w:rPr>
          <w:color w:val="000000"/>
          <w:spacing w:val="0"/>
          <w:w w:val="100"/>
          <w:position w:val="0"/>
          <w:shd w:val="clear" w:color="auto" w:fill="auto"/>
          <w:lang w:val="en-US" w:eastAsia="en-US" w:bidi="en-US"/>
        </w:rPr>
        <w:t>:</w:t>
      </w:r>
    </w:p>
    <w:p>
      <w:pPr>
        <w:pStyle w:val="Style17"/>
        <w:keepNext w:val="0"/>
        <w:keepLines w:val="0"/>
        <w:widowControl w:val="0"/>
        <w:numPr>
          <w:ilvl w:val="0"/>
          <w:numId w:val="3"/>
        </w:numPr>
        <w:shd w:val="clear" w:color="auto" w:fill="auto"/>
        <w:tabs>
          <w:tab w:pos="672" w:val="left"/>
        </w:tabs>
        <w:bidi w:val="0"/>
        <w:spacing w:before="0" w:after="0" w:line="269" w:lineRule="auto"/>
        <w:ind w:left="720" w:right="0" w:hanging="340"/>
        <w:jc w:val="both"/>
      </w:pPr>
      <w:r>
        <w:rPr>
          <w:color w:val="000000"/>
          <w:spacing w:val="0"/>
          <w:w w:val="100"/>
          <w:position w:val="0"/>
          <w:shd w:val="clear" w:color="auto" w:fill="auto"/>
          <w:lang w:val="en-US" w:eastAsia="en-US" w:bidi="en-US"/>
        </w:rPr>
        <w:t>prejudicii financiare majore IS „CFM” (inrautatirea situatiei economice) si, respectiv, ratari de venituri in bugetul de stat;</w:t>
      </w:r>
    </w:p>
    <w:p>
      <w:pPr>
        <w:pStyle w:val="Style17"/>
        <w:keepNext w:val="0"/>
        <w:keepLines w:val="0"/>
        <w:widowControl w:val="0"/>
        <w:numPr>
          <w:ilvl w:val="0"/>
          <w:numId w:val="3"/>
        </w:numPr>
        <w:shd w:val="clear" w:color="auto" w:fill="auto"/>
        <w:tabs>
          <w:tab w:pos="672" w:val="left"/>
        </w:tabs>
        <w:bidi w:val="0"/>
        <w:spacing w:before="0" w:after="0" w:line="307" w:lineRule="auto"/>
        <w:ind w:left="0" w:right="0" w:firstLine="360"/>
        <w:jc w:val="both"/>
      </w:pPr>
      <w:r>
        <w:rPr>
          <w:color w:val="000000"/>
          <w:spacing w:val="0"/>
          <w:w w:val="100"/>
          <w:position w:val="0"/>
          <w:shd w:val="clear" w:color="auto" w:fill="auto"/>
          <w:lang w:val="en-US" w:eastAsia="en-US" w:bidi="en-US"/>
        </w:rPr>
        <w:t>impact asupra mediului concurential si economiei;</w:t>
      </w:r>
    </w:p>
    <w:p>
      <w:pPr>
        <w:pStyle w:val="Style17"/>
        <w:keepNext w:val="0"/>
        <w:keepLines w:val="0"/>
        <w:widowControl w:val="0"/>
        <w:numPr>
          <w:ilvl w:val="0"/>
          <w:numId w:val="3"/>
        </w:numPr>
        <w:shd w:val="clear" w:color="auto" w:fill="auto"/>
        <w:tabs>
          <w:tab w:pos="672" w:val="left"/>
        </w:tabs>
        <w:bidi w:val="0"/>
        <w:spacing w:before="0" w:after="0" w:line="307" w:lineRule="auto"/>
        <w:ind w:left="0" w:right="0" w:firstLine="360"/>
        <w:jc w:val="both"/>
      </w:pPr>
      <w:r>
        <w:rPr>
          <w:color w:val="000000"/>
          <w:spacing w:val="0"/>
          <w:w w:val="100"/>
          <w:position w:val="0"/>
          <w:shd w:val="clear" w:color="auto" w:fill="auto"/>
          <w:lang w:val="en-US" w:eastAsia="en-US" w:bidi="en-US"/>
        </w:rPr>
        <w:t>riscuri pentru imaginea tarii pe plan extern.</w:t>
      </w:r>
    </w:p>
    <w:p>
      <w:pPr>
        <w:pStyle w:val="Style17"/>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en-US" w:eastAsia="en-US" w:bidi="en-US"/>
        </w:rPr>
        <w:t>Informatiile obtinute de SIS la acest subiect vizeaza:</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en-US" w:eastAsia="en-US" w:bidi="en-US"/>
        </w:rPr>
        <w:t xml:space="preserve">Livrarea bunurilor / pieselor si a altor consumabile pentru IS „CFM”, la preturi majorate excesiv, intreprinderii de stat fiindu-i cauzat un prejudiciu de </w:t>
      </w:r>
      <w:r>
        <w:rPr>
          <w:i/>
          <w:iCs/>
          <w:color w:val="000000"/>
          <w:spacing w:val="0"/>
          <w:w w:val="100"/>
          <w:position w:val="0"/>
          <w:shd w:val="clear" w:color="auto" w:fill="auto"/>
          <w:lang w:val="en-US" w:eastAsia="en-US" w:bidi="en-US"/>
        </w:rPr>
        <w:t>peste</w:t>
      </w:r>
      <w:r>
        <w:rPr>
          <w:color w:val="000000"/>
          <w:spacing w:val="0"/>
          <w:w w:val="100"/>
          <w:position w:val="0"/>
          <w:shd w:val="clear" w:color="auto" w:fill="auto"/>
          <w:lang w:val="en-US" w:eastAsia="en-US" w:bidi="en-US"/>
        </w:rPr>
        <w:t xml:space="preserve"> </w:t>
      </w:r>
      <w:r>
        <w:rPr>
          <w:color w:val="000000"/>
          <w:spacing w:val="0"/>
          <w:w w:val="100"/>
          <w:position w:val="0"/>
          <w:u w:val="single"/>
          <w:shd w:val="clear" w:color="auto" w:fill="auto"/>
          <w:lang w:val="en-US" w:eastAsia="en-US" w:bidi="en-US"/>
        </w:rPr>
        <w:t>55 de milioane de lei</w:t>
      </w:r>
      <w:r>
        <w:rPr>
          <w:color w:val="000000"/>
          <w:spacing w:val="0"/>
          <w:w w:val="100"/>
          <w:position w:val="0"/>
          <w:shd w:val="clear" w:color="auto" w:fill="auto"/>
          <w:lang w:val="en-US" w:eastAsia="en-US" w:bidi="en-US"/>
        </w:rPr>
        <w:t xml:space="preserve"> </w:t>
      </w:r>
      <w:r>
        <w:rPr>
          <w:i/>
          <w:iCs/>
          <w:color w:val="000000"/>
          <w:spacing w:val="0"/>
          <w:w w:val="100"/>
          <w:position w:val="0"/>
          <w:shd w:val="clear" w:color="auto" w:fill="auto"/>
          <w:lang w:val="en-US" w:eastAsia="en-US" w:bidi="en-US"/>
        </w:rPr>
        <w:t>(aceasta doar pe perioada investigata, 2018 - 31.10.2019).</w:t>
      </w:r>
      <w:r>
        <w:rPr>
          <w:color w:val="000000"/>
          <w:spacing w:val="0"/>
          <w:w w:val="100"/>
          <w:position w:val="0"/>
          <w:shd w:val="clear" w:color="auto" w:fill="auto"/>
          <w:lang w:val="en-US" w:eastAsia="en-US" w:bidi="en-US"/>
        </w:rPr>
        <w:t xml:space="preserve"> Achizitiile au fost efectuate de la urmatoarele companii / grupuri de companii afiliate si favorizate de factorii decizionali:</w:t>
      </w:r>
    </w:p>
    <w:p>
      <w:pPr>
        <w:pStyle w:val="Style17"/>
        <w:keepNext w:val="0"/>
        <w:keepLines w:val="0"/>
        <w:widowControl w:val="0"/>
        <w:numPr>
          <w:ilvl w:val="0"/>
          <w:numId w:val="27"/>
        </w:numPr>
        <w:shd w:val="clear" w:color="auto" w:fill="auto"/>
        <w:tabs>
          <w:tab w:pos="697" w:val="left"/>
        </w:tabs>
        <w:bidi w:val="0"/>
        <w:spacing w:before="0" w:after="0" w:line="240" w:lineRule="auto"/>
        <w:ind w:left="0" w:right="0" w:firstLine="360"/>
        <w:jc w:val="both"/>
      </w:pPr>
      <w:r>
        <w:rPr>
          <w:color w:val="000000"/>
          <w:spacing w:val="0"/>
          <w:w w:val="100"/>
          <w:position w:val="0"/>
          <w:shd w:val="clear" w:color="auto" w:fill="auto"/>
          <w:lang w:val="en-US" w:eastAsia="en-US" w:bidi="en-US"/>
        </w:rPr>
        <w:t>„LEVDRA” SRL</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en-US" w:eastAsia="en-US" w:bidi="en-US"/>
        </w:rPr>
        <w:t xml:space="preserve">Aceasta a operat livrari de uleiuri (marca M-14 V2 si Lukoil Monograd MD 40 </w:t>
      </w:r>
      <w:r>
        <w:rPr>
          <w:color w:val="000000"/>
          <w:spacing w:val="0"/>
          <w:w w:val="100"/>
          <w:position w:val="0"/>
          <w:shd w:val="clear" w:color="auto" w:fill="auto"/>
          <w:lang w:val="en-US" w:eastAsia="en-US" w:bidi="en-US"/>
        </w:rPr>
        <w:t xml:space="preserve">Super </w:t>
      </w:r>
      <w:r>
        <w:rPr>
          <w:color w:val="000000"/>
          <w:spacing w:val="0"/>
          <w:w w:val="100"/>
          <w:position w:val="0"/>
          <w:shd w:val="clear" w:color="auto" w:fill="auto"/>
          <w:lang w:val="ru-RU" w:eastAsia="ru-RU" w:bidi="ru-RU"/>
        </w:rPr>
        <w:t xml:space="preserve">1), </w:t>
      </w:r>
      <w:r>
        <w:rPr>
          <w:color w:val="000000"/>
          <w:spacing w:val="0"/>
          <w:w w:val="100"/>
          <w:position w:val="0"/>
          <w:shd w:val="clear" w:color="auto" w:fill="auto"/>
          <w:lang w:val="en-US" w:eastAsia="en-US" w:bidi="en-US"/>
        </w:rPr>
        <w:t xml:space="preserve">in suma de cca. </w:t>
      </w:r>
      <w:r>
        <w:rPr>
          <w:color w:val="000000"/>
          <w:spacing w:val="0"/>
          <w:w w:val="100"/>
          <w:position w:val="0"/>
          <w:shd w:val="clear" w:color="auto" w:fill="auto"/>
          <w:lang w:val="ru-RU" w:eastAsia="ru-RU" w:bidi="ru-RU"/>
        </w:rPr>
        <w:t xml:space="preserve">5 545 500 </w:t>
      </w:r>
      <w:r>
        <w:rPr>
          <w:color w:val="000000"/>
          <w:spacing w:val="0"/>
          <w:w w:val="100"/>
          <w:position w:val="0"/>
          <w:shd w:val="clear" w:color="auto" w:fill="auto"/>
          <w:lang w:val="en-US" w:eastAsia="en-US" w:bidi="en-US"/>
        </w:rPr>
        <w:t xml:space="preserve">de lei, de fapt importate de furnizorul oficial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 xml:space="preserve">ICS „Lukoil-Moldova” SRL. Contractele au fost semnate de Iurii Topala, unele de catre vicedirectorul responsabil de activitatea comerciala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 xml:space="preserve">Grigore Condurache. Din diferenta de pret (doar in perioada de referinta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 xml:space="preserve">IS „CFM” ar fi fost prejudiciata cu cca. </w:t>
      </w:r>
      <w:r>
        <w:rPr>
          <w:color w:val="000000"/>
          <w:spacing w:val="0"/>
          <w:w w:val="100"/>
          <w:position w:val="0"/>
          <w:shd w:val="clear" w:color="auto" w:fill="auto"/>
          <w:lang w:val="ru-RU" w:eastAsia="ru-RU" w:bidi="ru-RU"/>
        </w:rPr>
        <w:t xml:space="preserve">3 </w:t>
      </w:r>
      <w:r>
        <w:rPr>
          <w:color w:val="000000"/>
          <w:spacing w:val="0"/>
          <w:w w:val="100"/>
          <w:position w:val="0"/>
          <w:shd w:val="clear" w:color="auto" w:fill="auto"/>
          <w:lang w:val="en-US" w:eastAsia="en-US" w:bidi="en-US"/>
        </w:rPr>
        <w:t xml:space="preserve">milioane de lei. In perioada de referinta, „LEVDRA” SRL nu a realizat importuri de uleiuri M-14 V2 si/sau Monograd MD </w:t>
      </w:r>
      <w:r>
        <w:rPr>
          <w:color w:val="000000"/>
          <w:spacing w:val="0"/>
          <w:w w:val="100"/>
          <w:position w:val="0"/>
          <w:shd w:val="clear" w:color="auto" w:fill="auto"/>
          <w:lang w:val="ru-RU" w:eastAsia="ru-RU" w:bidi="ru-RU"/>
        </w:rPr>
        <w:t xml:space="preserve">40 </w:t>
      </w:r>
      <w:r>
        <w:rPr>
          <w:color w:val="000000"/>
          <w:spacing w:val="0"/>
          <w:w w:val="100"/>
          <w:position w:val="0"/>
          <w:shd w:val="clear" w:color="auto" w:fill="auto"/>
          <w:lang w:val="en-US" w:eastAsia="en-US" w:bidi="en-US"/>
        </w:rPr>
        <w:t xml:space="preserve">Super </w:t>
      </w:r>
      <w:r>
        <w:rPr>
          <w:color w:val="000000"/>
          <w:spacing w:val="0"/>
          <w:w w:val="100"/>
          <w:position w:val="0"/>
          <w:shd w:val="clear" w:color="auto" w:fill="auto"/>
          <w:lang w:val="ru-RU" w:eastAsia="ru-RU" w:bidi="ru-RU"/>
        </w:rPr>
        <w:t>1.</w:t>
      </w:r>
    </w:p>
    <w:p>
      <w:pPr>
        <w:pStyle w:val="Style17"/>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en-US" w:eastAsia="en-US" w:bidi="en-US"/>
        </w:rPr>
        <w:t xml:space="preserve">Mai mult ca atat, „LEVDRA” SRL (in baza facturilor fiscale) a achizitionat in perioada </w:t>
      </w:r>
      <w:r>
        <w:rPr>
          <w:color w:val="000000"/>
          <w:spacing w:val="0"/>
          <w:w w:val="100"/>
          <w:position w:val="0"/>
          <w:shd w:val="clear" w:color="auto" w:fill="auto"/>
          <w:lang w:val="ru-RU" w:eastAsia="ru-RU" w:bidi="ru-RU"/>
        </w:rPr>
        <w:t xml:space="preserve">04.01.2018 - 29.03.2019 </w:t>
      </w:r>
      <w:r>
        <w:rPr>
          <w:color w:val="000000"/>
          <w:spacing w:val="0"/>
          <w:w w:val="100"/>
          <w:position w:val="0"/>
          <w:shd w:val="clear" w:color="auto" w:fill="auto"/>
          <w:lang w:val="en-US" w:eastAsia="en-US" w:bidi="en-US"/>
        </w:rPr>
        <w:t xml:space="preserve">de la ICS „Lukoil-Moldova” SRL, produse in suma de cca. </w:t>
      </w:r>
      <w:r>
        <w:rPr>
          <w:color w:val="000000"/>
          <w:spacing w:val="0"/>
          <w:w w:val="100"/>
          <w:position w:val="0"/>
          <w:shd w:val="clear" w:color="auto" w:fill="auto"/>
          <w:lang w:val="ru-RU" w:eastAsia="ru-RU" w:bidi="ru-RU"/>
        </w:rPr>
        <w:t xml:space="preserve">3,2 </w:t>
      </w:r>
      <w:r>
        <w:rPr>
          <w:color w:val="000000"/>
          <w:spacing w:val="0"/>
          <w:w w:val="100"/>
          <w:position w:val="0"/>
          <w:shd w:val="clear" w:color="auto" w:fill="auto"/>
          <w:lang w:val="en-US" w:eastAsia="en-US" w:bidi="en-US"/>
        </w:rPr>
        <w:t xml:space="preserve">milioane de lei, dar a facturat livrari catre IS „CFM” (in perioada </w:t>
      </w:r>
      <w:r>
        <w:rPr>
          <w:color w:val="000000"/>
          <w:spacing w:val="0"/>
          <w:w w:val="100"/>
          <w:position w:val="0"/>
          <w:shd w:val="clear" w:color="auto" w:fill="auto"/>
          <w:lang w:val="ru-RU" w:eastAsia="ru-RU" w:bidi="ru-RU"/>
        </w:rPr>
        <w:t xml:space="preserve">07.02.2018 - 26.06.2019), </w:t>
      </w:r>
      <w:r>
        <w:rPr>
          <w:color w:val="000000"/>
          <w:spacing w:val="0"/>
          <w:w w:val="100"/>
          <w:position w:val="0"/>
          <w:shd w:val="clear" w:color="auto" w:fill="auto"/>
          <w:lang w:val="en-US" w:eastAsia="en-US" w:bidi="en-US"/>
        </w:rPr>
        <w:t xml:space="preserve">in valoare de cca. </w:t>
      </w:r>
      <w:r>
        <w:rPr>
          <w:color w:val="000000"/>
          <w:spacing w:val="0"/>
          <w:w w:val="100"/>
          <w:position w:val="0"/>
          <w:shd w:val="clear" w:color="auto" w:fill="auto"/>
          <w:lang w:val="ru-RU" w:eastAsia="ru-RU" w:bidi="ru-RU"/>
        </w:rPr>
        <w:t xml:space="preserve">26,4 </w:t>
      </w:r>
      <w:r>
        <w:rPr>
          <w:color w:val="000000"/>
          <w:spacing w:val="0"/>
          <w:w w:val="100"/>
          <w:position w:val="0"/>
          <w:shd w:val="clear" w:color="auto" w:fill="auto"/>
          <w:lang w:val="en-US" w:eastAsia="en-US" w:bidi="en-US"/>
        </w:rPr>
        <w:t>milioane de lei.</w:t>
      </w:r>
    </w:p>
    <w:p>
      <w:pPr>
        <w:pStyle w:val="Style17"/>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en-US" w:eastAsia="en-US" w:bidi="en-US"/>
        </w:rPr>
        <w:t xml:space="preserve">In aceste livrari, sub aspect de abuz, prezinta relevanta semnarea contractului cu „LEVDRA” SRL, nr. 2952/IV/2019 din </w:t>
      </w:r>
      <w:r>
        <w:rPr>
          <w:color w:val="000000"/>
          <w:spacing w:val="0"/>
          <w:w w:val="100"/>
          <w:position w:val="0"/>
          <w:shd w:val="clear" w:color="auto" w:fill="auto"/>
          <w:lang w:val="ru-RU" w:eastAsia="ru-RU" w:bidi="ru-RU"/>
        </w:rPr>
        <w:t xml:space="preserve">17.04.2019, </w:t>
      </w:r>
      <w:r>
        <w:rPr>
          <w:color w:val="000000"/>
          <w:spacing w:val="0"/>
          <w:w w:val="100"/>
          <w:position w:val="0"/>
          <w:shd w:val="clear" w:color="auto" w:fill="auto"/>
          <w:lang w:val="en-US" w:eastAsia="en-US" w:bidi="en-US"/>
        </w:rPr>
        <w:t xml:space="preserve">in valoare de </w:t>
      </w:r>
      <w:r>
        <w:rPr>
          <w:color w:val="000000"/>
          <w:spacing w:val="0"/>
          <w:w w:val="100"/>
          <w:position w:val="0"/>
          <w:shd w:val="clear" w:color="auto" w:fill="auto"/>
          <w:lang w:val="ru-RU" w:eastAsia="ru-RU" w:bidi="ru-RU"/>
        </w:rPr>
        <w:t xml:space="preserve">7 088 200 </w:t>
      </w:r>
      <w:r>
        <w:rPr>
          <w:color w:val="000000"/>
          <w:spacing w:val="0"/>
          <w:w w:val="100"/>
          <w:position w:val="0"/>
          <w:shd w:val="clear" w:color="auto" w:fill="auto"/>
          <w:lang w:val="en-US" w:eastAsia="en-US" w:bidi="en-US"/>
        </w:rPr>
        <w:t xml:space="preserve">de lei (inclusiv TVA) pentru procurarea urmatoarelor piese de schimb pentru vagoane (prin licitatie, in baza procesului-verbal din </w:t>
      </w:r>
      <w:r>
        <w:rPr>
          <w:color w:val="000000"/>
          <w:spacing w:val="0"/>
          <w:w w:val="100"/>
          <w:position w:val="0"/>
          <w:shd w:val="clear" w:color="auto" w:fill="auto"/>
          <w:lang w:val="ru-RU" w:eastAsia="ru-RU" w:bidi="ru-RU"/>
        </w:rPr>
        <w:t>02.04.2019):</w:t>
      </w:r>
    </w:p>
    <w:p>
      <w:pPr>
        <w:pStyle w:val="Style17"/>
        <w:keepNext w:val="0"/>
        <w:keepLines w:val="0"/>
        <w:widowControl w:val="0"/>
        <w:numPr>
          <w:ilvl w:val="0"/>
          <w:numId w:val="3"/>
        </w:numPr>
        <w:shd w:val="clear" w:color="auto" w:fill="auto"/>
        <w:tabs>
          <w:tab w:pos="970" w:val="left"/>
        </w:tabs>
        <w:bidi w:val="0"/>
        <w:spacing w:before="0" w:after="0" w:line="269" w:lineRule="auto"/>
        <w:ind w:left="0" w:right="0" w:firstLine="780"/>
        <w:jc w:val="both"/>
      </w:pPr>
      <w:r>
        <w:rPr>
          <w:color w:val="000000"/>
          <w:spacing w:val="0"/>
          <w:w w:val="100"/>
          <w:position w:val="0"/>
          <w:shd w:val="clear" w:color="auto" w:fill="auto"/>
          <w:lang w:val="ru-RU" w:eastAsia="ru-RU" w:bidi="ru-RU"/>
        </w:rPr>
        <w:t xml:space="preserve">Крышка люка полувагона 757.45.010-СБ — 800 </w:t>
      </w:r>
      <w:r>
        <w:rPr>
          <w:color w:val="000000"/>
          <w:spacing w:val="0"/>
          <w:w w:val="100"/>
          <w:position w:val="0"/>
          <w:shd w:val="clear" w:color="auto" w:fill="auto"/>
          <w:lang w:val="en-US" w:eastAsia="en-US" w:bidi="en-US"/>
        </w:rPr>
        <w:t xml:space="preserve">de unitati, la pret de </w:t>
      </w:r>
      <w:r>
        <w:rPr>
          <w:color w:val="000000"/>
          <w:spacing w:val="0"/>
          <w:w w:val="100"/>
          <w:position w:val="0"/>
          <w:shd w:val="clear" w:color="auto" w:fill="auto"/>
          <w:lang w:val="ru-RU" w:eastAsia="ru-RU" w:bidi="ru-RU"/>
        </w:rPr>
        <w:t xml:space="preserve">8008 </w:t>
      </w:r>
      <w:r>
        <w:rPr>
          <w:color w:val="000000"/>
          <w:spacing w:val="0"/>
          <w:w w:val="100"/>
          <w:position w:val="0"/>
          <w:shd w:val="clear" w:color="auto" w:fill="auto"/>
          <w:lang w:val="en-US" w:eastAsia="en-US" w:bidi="en-US"/>
        </w:rPr>
        <w:t xml:space="preserve">lei/unit., in suma de </w:t>
      </w:r>
      <w:r>
        <w:rPr>
          <w:color w:val="000000"/>
          <w:spacing w:val="0"/>
          <w:w w:val="100"/>
          <w:position w:val="0"/>
          <w:shd w:val="clear" w:color="auto" w:fill="auto"/>
          <w:lang w:val="ru-RU" w:eastAsia="ru-RU" w:bidi="ru-RU"/>
        </w:rPr>
        <w:t xml:space="preserve">6 406 400 </w:t>
      </w:r>
      <w:r>
        <w:rPr>
          <w:color w:val="000000"/>
          <w:spacing w:val="0"/>
          <w:w w:val="100"/>
          <w:position w:val="0"/>
          <w:shd w:val="clear" w:color="auto" w:fill="auto"/>
          <w:lang w:val="en-US" w:eastAsia="en-US" w:bidi="en-US"/>
        </w:rPr>
        <w:t>de lei (pret aproape dublu fata de valoarea statistica/vamala).</w:t>
      </w:r>
    </w:p>
    <w:p>
      <w:pPr>
        <w:pStyle w:val="Style17"/>
        <w:keepNext w:val="0"/>
        <w:keepLines w:val="0"/>
        <w:widowControl w:val="0"/>
        <w:numPr>
          <w:ilvl w:val="0"/>
          <w:numId w:val="3"/>
        </w:numPr>
        <w:shd w:val="clear" w:color="auto" w:fill="auto"/>
        <w:tabs>
          <w:tab w:pos="970" w:val="left"/>
        </w:tabs>
        <w:bidi w:val="0"/>
        <w:spacing w:before="0" w:after="0" w:line="269" w:lineRule="auto"/>
        <w:ind w:left="0" w:right="0" w:firstLine="780"/>
        <w:jc w:val="both"/>
      </w:pPr>
      <w:r>
        <w:rPr>
          <w:color w:val="000000"/>
          <w:spacing w:val="0"/>
          <w:w w:val="100"/>
          <w:position w:val="0"/>
          <w:shd w:val="clear" w:color="auto" w:fill="auto"/>
          <w:lang w:val="ru-RU" w:eastAsia="ru-RU" w:bidi="ru-RU"/>
        </w:rPr>
        <w:t xml:space="preserve">Колодка вагонная композиционная </w:t>
      </w:r>
      <w:r>
        <w:rPr>
          <w:color w:val="000000"/>
          <w:spacing w:val="0"/>
          <w:w w:val="100"/>
          <w:position w:val="0"/>
          <w:shd w:val="clear" w:color="auto" w:fill="auto"/>
          <w:lang w:val="en-US" w:eastAsia="en-US" w:bidi="en-US"/>
        </w:rPr>
        <w:t xml:space="preserve">2TP11 </w:t>
      </w:r>
      <w:r>
        <w:rPr>
          <w:color w:val="000000"/>
          <w:spacing w:val="0"/>
          <w:w w:val="100"/>
          <w:position w:val="0"/>
          <w:shd w:val="clear" w:color="auto" w:fill="auto"/>
          <w:lang w:val="ru-RU" w:eastAsia="ru-RU" w:bidi="ru-RU"/>
        </w:rPr>
        <w:t xml:space="preserve">— 4300 </w:t>
      </w:r>
      <w:r>
        <w:rPr>
          <w:color w:val="000000"/>
          <w:spacing w:val="0"/>
          <w:w w:val="100"/>
          <w:position w:val="0"/>
          <w:shd w:val="clear" w:color="auto" w:fill="auto"/>
          <w:lang w:val="en-US" w:eastAsia="en-US" w:bidi="en-US"/>
        </w:rPr>
        <w:t xml:space="preserve">unitati, la pret de </w:t>
      </w:r>
      <w:r>
        <w:rPr>
          <w:color w:val="000000"/>
          <w:spacing w:val="0"/>
          <w:w w:val="100"/>
          <w:position w:val="0"/>
          <w:shd w:val="clear" w:color="auto" w:fill="auto"/>
          <w:lang w:val="ru-RU" w:eastAsia="ru-RU" w:bidi="ru-RU"/>
        </w:rPr>
        <w:t xml:space="preserve">151 </w:t>
      </w:r>
      <w:r>
        <w:rPr>
          <w:color w:val="000000"/>
          <w:spacing w:val="0"/>
          <w:w w:val="100"/>
          <w:position w:val="0"/>
          <w:shd w:val="clear" w:color="auto" w:fill="auto"/>
          <w:lang w:val="en-US" w:eastAsia="en-US" w:bidi="en-US"/>
        </w:rPr>
        <w:t xml:space="preserve">de lei/unit., la suma de </w:t>
      </w:r>
      <w:r>
        <w:rPr>
          <w:color w:val="000000"/>
          <w:spacing w:val="0"/>
          <w:w w:val="100"/>
          <w:position w:val="0"/>
          <w:shd w:val="clear" w:color="auto" w:fill="auto"/>
          <w:lang w:val="ru-RU" w:eastAsia="ru-RU" w:bidi="ru-RU"/>
        </w:rPr>
        <w:t xml:space="preserve">649 300 </w:t>
      </w:r>
      <w:r>
        <w:rPr>
          <w:color w:val="000000"/>
          <w:spacing w:val="0"/>
          <w:w w:val="100"/>
          <w:position w:val="0"/>
          <w:shd w:val="clear" w:color="auto" w:fill="auto"/>
          <w:lang w:val="en-US" w:eastAsia="en-US" w:bidi="en-US"/>
        </w:rPr>
        <w:t>de lei (pret aproape dublu fata de valoarea statistica/vamala).</w:t>
      </w:r>
    </w:p>
    <w:p>
      <w:pPr>
        <w:pStyle w:val="Style17"/>
        <w:keepNext w:val="0"/>
        <w:keepLines w:val="0"/>
        <w:widowControl w:val="0"/>
        <w:numPr>
          <w:ilvl w:val="0"/>
          <w:numId w:val="3"/>
        </w:numPr>
        <w:shd w:val="clear" w:color="auto" w:fill="auto"/>
        <w:tabs>
          <w:tab w:pos="970" w:val="left"/>
        </w:tabs>
        <w:bidi w:val="0"/>
        <w:spacing w:before="0" w:after="0" w:line="269" w:lineRule="auto"/>
        <w:ind w:left="0" w:right="0" w:firstLine="780"/>
        <w:jc w:val="both"/>
      </w:pPr>
      <w:r>
        <w:rPr>
          <w:color w:val="000000"/>
          <w:spacing w:val="0"/>
          <w:w w:val="100"/>
          <w:position w:val="0"/>
          <w:shd w:val="clear" w:color="auto" w:fill="auto"/>
          <w:lang w:val="ru-RU" w:eastAsia="ru-RU" w:bidi="ru-RU"/>
        </w:rPr>
        <w:t xml:space="preserve">Сектор запоров </w:t>
      </w:r>
      <w:r>
        <w:rPr>
          <w:color w:val="000000"/>
          <w:spacing w:val="0"/>
          <w:w w:val="100"/>
          <w:position w:val="0"/>
          <w:shd w:val="clear" w:color="auto" w:fill="auto"/>
          <w:lang w:val="en-US" w:eastAsia="en-US" w:bidi="en-US"/>
        </w:rPr>
        <w:t xml:space="preserve">8446-H, </w:t>
      </w:r>
      <w:r>
        <w:rPr>
          <w:color w:val="000000"/>
          <w:spacing w:val="0"/>
          <w:w w:val="100"/>
          <w:position w:val="0"/>
          <w:shd w:val="clear" w:color="auto" w:fill="auto"/>
          <w:lang w:val="ru-RU" w:eastAsia="ru-RU" w:bidi="ru-RU"/>
        </w:rPr>
        <w:t xml:space="preserve">100 </w:t>
      </w:r>
      <w:r>
        <w:rPr>
          <w:color w:val="000000"/>
          <w:spacing w:val="0"/>
          <w:w w:val="100"/>
          <w:position w:val="0"/>
          <w:shd w:val="clear" w:color="auto" w:fill="auto"/>
          <w:lang w:val="en-US" w:eastAsia="en-US" w:bidi="en-US"/>
        </w:rPr>
        <w:t xml:space="preserve">unitati, in valoare de </w:t>
      </w:r>
      <w:r>
        <w:rPr>
          <w:color w:val="000000"/>
          <w:spacing w:val="0"/>
          <w:w w:val="100"/>
          <w:position w:val="0"/>
          <w:shd w:val="clear" w:color="auto" w:fill="auto"/>
          <w:lang w:val="ru-RU" w:eastAsia="ru-RU" w:bidi="ru-RU"/>
        </w:rPr>
        <w:t xml:space="preserve">32 500 </w:t>
      </w:r>
      <w:r>
        <w:rPr>
          <w:color w:val="000000"/>
          <w:spacing w:val="0"/>
          <w:w w:val="100"/>
          <w:position w:val="0"/>
          <w:shd w:val="clear" w:color="auto" w:fill="auto"/>
          <w:lang w:val="en-US" w:eastAsia="en-US" w:bidi="en-US"/>
        </w:rPr>
        <w:t>de lei. Date cu privire la provenienta acestora nu figureaza in evidentele oficiale.</w:t>
      </w:r>
    </w:p>
    <w:p>
      <w:pPr>
        <w:pStyle w:val="Style17"/>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en-US" w:eastAsia="en-US" w:bidi="en-US"/>
        </w:rPr>
        <w:t xml:space="preserve">In context, a fost stabilita o „legatura” intre „LEVDRA” SRL, „Transalliance Group” SRL si factorii de decizie ai IS „CFM”. Anume, la </w:t>
      </w:r>
      <w:r>
        <w:rPr>
          <w:color w:val="000000"/>
          <w:spacing w:val="0"/>
          <w:w w:val="100"/>
          <w:position w:val="0"/>
          <w:shd w:val="clear" w:color="auto" w:fill="auto"/>
          <w:lang w:val="ru-RU" w:eastAsia="ru-RU" w:bidi="ru-RU"/>
        </w:rPr>
        <w:t xml:space="preserve">31.07.2019, </w:t>
      </w:r>
      <w:r>
        <w:rPr>
          <w:color w:val="000000"/>
          <w:spacing w:val="0"/>
          <w:w w:val="100"/>
          <w:position w:val="0"/>
          <w:shd w:val="clear" w:color="auto" w:fill="auto"/>
          <w:lang w:val="en-US" w:eastAsia="en-US" w:bidi="en-US"/>
        </w:rPr>
        <w:t xml:space="preserve">Grigore Condurache (persoana de incredere a lui Iurii TOPALA) a semnat contractul de cesiune a creantelor nr. 3032/IV/2019, prin care, „LEVDRA” SRL a cesionat, iar „Transalliance Group” SRL a primit dreptul de creanta a primei si totodata a devenit creditor al IS „CFM” cu suma datorata de </w:t>
      </w:r>
      <w:r>
        <w:rPr>
          <w:color w:val="000000"/>
          <w:spacing w:val="0"/>
          <w:w w:val="100"/>
          <w:position w:val="0"/>
          <w:shd w:val="clear" w:color="auto" w:fill="auto"/>
          <w:lang w:val="ru-RU" w:eastAsia="ru-RU" w:bidi="ru-RU"/>
        </w:rPr>
        <w:t xml:space="preserve">6 358 336,88 </w:t>
      </w:r>
      <w:r>
        <w:rPr>
          <w:color w:val="000000"/>
          <w:spacing w:val="0"/>
          <w:w w:val="100"/>
          <w:position w:val="0"/>
          <w:shd w:val="clear" w:color="auto" w:fill="auto"/>
          <w:lang w:val="en-US" w:eastAsia="en-US" w:bidi="en-US"/>
        </w:rPr>
        <w:t xml:space="preserve">de lei, reflectata in actul de decontare reciproca din perioada </w:t>
      </w:r>
      <w:r>
        <w:rPr>
          <w:color w:val="000000"/>
          <w:spacing w:val="0"/>
          <w:w w:val="100"/>
          <w:position w:val="0"/>
          <w:shd w:val="clear" w:color="auto" w:fill="auto"/>
          <w:lang w:val="ru-RU" w:eastAsia="ru-RU" w:bidi="ru-RU"/>
        </w:rPr>
        <w:t>01.01.2019 - 30.06.2019.</w:t>
      </w:r>
    </w:p>
    <w:p>
      <w:pPr>
        <w:pStyle w:val="Style17"/>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en-US" w:eastAsia="en-US" w:bidi="en-US"/>
        </w:rPr>
        <w:t>Anterior, a fost sesizata legatura lui Iurii TOPALA cu SRL „Transalliance Group”, in urmatoarele circumstante:</w:t>
      </w:r>
    </w:p>
    <w:p>
      <w:pPr>
        <w:pStyle w:val="Style17"/>
        <w:keepNext w:val="0"/>
        <w:keepLines w:val="0"/>
        <w:widowControl w:val="0"/>
        <w:numPr>
          <w:ilvl w:val="0"/>
          <w:numId w:val="3"/>
        </w:numPr>
        <w:shd w:val="clear" w:color="auto" w:fill="auto"/>
        <w:tabs>
          <w:tab w:pos="760" w:val="left"/>
        </w:tabs>
        <w:bidi w:val="0"/>
        <w:spacing w:before="0" w:after="0" w:line="240" w:lineRule="auto"/>
        <w:ind w:left="760" w:right="0" w:hanging="320"/>
        <w:jc w:val="both"/>
      </w:pPr>
      <w:r>
        <w:rPr>
          <w:color w:val="000000"/>
          <w:spacing w:val="0"/>
          <w:w w:val="100"/>
          <w:position w:val="0"/>
          <w:shd w:val="clear" w:color="auto" w:fill="auto"/>
          <w:lang w:val="en-US" w:eastAsia="en-US" w:bidi="en-US"/>
        </w:rPr>
        <w:t xml:space="preserve">in decembrie </w:t>
      </w:r>
      <w:r>
        <w:rPr>
          <w:color w:val="000000"/>
          <w:spacing w:val="0"/>
          <w:w w:val="100"/>
          <w:position w:val="0"/>
          <w:shd w:val="clear" w:color="auto" w:fill="auto"/>
          <w:lang w:val="ru-RU" w:eastAsia="ru-RU" w:bidi="ru-RU"/>
        </w:rPr>
        <w:t xml:space="preserve">2015, </w:t>
      </w:r>
      <w:r>
        <w:rPr>
          <w:color w:val="000000"/>
          <w:spacing w:val="0"/>
          <w:w w:val="100"/>
          <w:position w:val="0"/>
          <w:shd w:val="clear" w:color="auto" w:fill="auto"/>
          <w:lang w:val="en-US" w:eastAsia="en-US" w:bidi="en-US"/>
        </w:rPr>
        <w:t xml:space="preserve">Iurii Topala a preluata cota de </w:t>
      </w:r>
      <w:r>
        <w:rPr>
          <w:color w:val="000000"/>
          <w:spacing w:val="0"/>
          <w:w w:val="100"/>
          <w:position w:val="0"/>
          <w:shd w:val="clear" w:color="auto" w:fill="auto"/>
          <w:lang w:val="ru-RU" w:eastAsia="ru-RU" w:bidi="ru-RU"/>
        </w:rPr>
        <w:t xml:space="preserve">100% </w:t>
      </w:r>
      <w:r>
        <w:rPr>
          <w:color w:val="000000"/>
          <w:spacing w:val="0"/>
          <w:w w:val="100"/>
          <w:position w:val="0"/>
          <w:shd w:val="clear" w:color="auto" w:fill="auto"/>
          <w:lang w:val="en-US" w:eastAsia="en-US" w:bidi="en-US"/>
        </w:rPr>
        <w:t>din „Transcancor” SRL (operator de expeditie pe cale ferata), prin interpunere, ca fondator, a lui Balan Dorel (fin de cununie al directorului general al IS „CFM” Iurii Topala).</w:t>
      </w:r>
    </w:p>
    <w:p>
      <w:pPr>
        <w:pStyle w:val="Style17"/>
        <w:keepNext w:val="0"/>
        <w:keepLines w:val="0"/>
        <w:widowControl w:val="0"/>
        <w:numPr>
          <w:ilvl w:val="0"/>
          <w:numId w:val="3"/>
        </w:numPr>
        <w:shd w:val="clear" w:color="auto" w:fill="auto"/>
        <w:tabs>
          <w:tab w:pos="760" w:val="left"/>
        </w:tabs>
        <w:bidi w:val="0"/>
        <w:spacing w:before="0" w:after="0" w:line="240" w:lineRule="auto"/>
        <w:ind w:left="760" w:right="0" w:hanging="320"/>
        <w:jc w:val="both"/>
      </w:pPr>
      <w:r>
        <w:rPr>
          <w:color w:val="000000"/>
          <w:spacing w:val="0"/>
          <w:w w:val="100"/>
          <w:position w:val="0"/>
          <w:shd w:val="clear" w:color="auto" w:fill="auto"/>
          <w:lang w:val="en-US" w:eastAsia="en-US" w:bidi="en-US"/>
        </w:rPr>
        <w:t xml:space="preserve">„Transcancor” SRL a fost fondata la </w:t>
      </w:r>
      <w:r>
        <w:rPr>
          <w:color w:val="000000"/>
          <w:spacing w:val="0"/>
          <w:w w:val="100"/>
          <w:position w:val="0"/>
          <w:shd w:val="clear" w:color="auto" w:fill="auto"/>
          <w:lang w:val="ru-RU" w:eastAsia="ru-RU" w:bidi="ru-RU"/>
        </w:rPr>
        <w:t xml:space="preserve">16.08.2007 </w:t>
      </w:r>
      <w:r>
        <w:rPr>
          <w:color w:val="000000"/>
          <w:spacing w:val="0"/>
          <w:w w:val="100"/>
          <w:position w:val="0"/>
          <w:shd w:val="clear" w:color="auto" w:fill="auto"/>
          <w:lang w:val="en-US" w:eastAsia="en-US" w:bidi="en-US"/>
        </w:rPr>
        <w:t>si a fost condusa timp de mai multi ani de Irina Objeleanscaia. Dupa preluarea companiei de catre Dorel Balan, aceasta a fost mentinuta in functie.</w:t>
      </w:r>
    </w:p>
    <w:p>
      <w:pPr>
        <w:pStyle w:val="Style17"/>
        <w:keepNext w:val="0"/>
        <w:keepLines w:val="0"/>
        <w:widowControl w:val="0"/>
        <w:numPr>
          <w:ilvl w:val="0"/>
          <w:numId w:val="3"/>
        </w:numPr>
        <w:shd w:val="clear" w:color="auto" w:fill="auto"/>
        <w:tabs>
          <w:tab w:pos="760" w:val="left"/>
        </w:tabs>
        <w:bidi w:val="0"/>
        <w:spacing w:before="0" w:after="0" w:line="240" w:lineRule="auto"/>
        <w:ind w:left="760" w:right="0" w:hanging="320"/>
        <w:jc w:val="both"/>
      </w:pPr>
      <w:r>
        <w:rPr>
          <w:color w:val="000000"/>
          <w:spacing w:val="0"/>
          <w:w w:val="100"/>
          <w:position w:val="0"/>
          <w:shd w:val="clear" w:color="auto" w:fill="auto"/>
          <w:lang w:val="en-US" w:eastAsia="en-US" w:bidi="en-US"/>
        </w:rPr>
        <w:t xml:space="preserve">Irina Objeleanscaia a gestionat mai intai neoficial, apoi oficial (din </w:t>
      </w:r>
      <w:r>
        <w:rPr>
          <w:color w:val="000000"/>
          <w:spacing w:val="0"/>
          <w:w w:val="100"/>
          <w:position w:val="0"/>
          <w:shd w:val="clear" w:color="auto" w:fill="auto"/>
          <w:lang w:val="ru-RU" w:eastAsia="ru-RU" w:bidi="ru-RU"/>
        </w:rPr>
        <w:t xml:space="preserve">02.08.2019) </w:t>
      </w:r>
      <w:r>
        <w:rPr>
          <w:color w:val="000000"/>
          <w:spacing w:val="0"/>
          <w:w w:val="100"/>
          <w:position w:val="0"/>
          <w:shd w:val="clear" w:color="auto" w:fill="auto"/>
          <w:lang w:val="en-US" w:eastAsia="en-US" w:bidi="en-US"/>
        </w:rPr>
        <w:t xml:space="preserve">si activitatea „Transalliance Group” SRL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 xml:space="preserve">operator de expeditie pe cale ferata (fondat la </w:t>
      </w:r>
      <w:r>
        <w:rPr>
          <w:color w:val="000000"/>
          <w:spacing w:val="0"/>
          <w:w w:val="100"/>
          <w:position w:val="0"/>
          <w:shd w:val="clear" w:color="auto" w:fill="auto"/>
          <w:lang w:val="ru-RU" w:eastAsia="ru-RU" w:bidi="ru-RU"/>
        </w:rPr>
        <w:t xml:space="preserve">14.03.2017, </w:t>
      </w:r>
      <w:r>
        <w:rPr>
          <w:color w:val="000000"/>
          <w:spacing w:val="0"/>
          <w:w w:val="100"/>
          <w:position w:val="0"/>
          <w:shd w:val="clear" w:color="auto" w:fill="auto"/>
          <w:lang w:val="en-US" w:eastAsia="en-US" w:bidi="en-US"/>
        </w:rPr>
        <w:t xml:space="preserve">afiliat la fel lui Iurii Topala, lui Miron Gagauz si Veaceslav Baida), lider in prestarea expeditiei pe cale ferata in I-ul semestru al anului </w:t>
      </w:r>
      <w:r>
        <w:rPr>
          <w:color w:val="000000"/>
          <w:spacing w:val="0"/>
          <w:w w:val="100"/>
          <w:position w:val="0"/>
          <w:shd w:val="clear" w:color="auto" w:fill="auto"/>
          <w:lang w:val="ru-RU" w:eastAsia="ru-RU" w:bidi="ru-RU"/>
        </w:rPr>
        <w:t xml:space="preserve">2019, </w:t>
      </w:r>
      <w:r>
        <w:rPr>
          <w:color w:val="000000"/>
          <w:spacing w:val="0"/>
          <w:w w:val="100"/>
          <w:position w:val="0"/>
          <w:shd w:val="clear" w:color="auto" w:fill="auto"/>
          <w:lang w:val="en-US" w:eastAsia="en-US" w:bidi="en-US"/>
        </w:rPr>
        <w:t xml:space="preserve">cu o pondere de </w:t>
      </w:r>
      <w:r>
        <w:rPr>
          <w:color w:val="000000"/>
          <w:spacing w:val="0"/>
          <w:w w:val="100"/>
          <w:position w:val="0"/>
          <w:shd w:val="clear" w:color="auto" w:fill="auto"/>
          <w:lang w:val="ru-RU" w:eastAsia="ru-RU" w:bidi="ru-RU"/>
        </w:rPr>
        <w:t>28%.</w:t>
      </w:r>
    </w:p>
    <w:p>
      <w:pPr>
        <w:pStyle w:val="Style17"/>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en-US" w:eastAsia="en-US" w:bidi="en-US"/>
        </w:rPr>
        <w:t>Prin semnarea contractului de cesiune s-ar fi urmarit interesul „Transalliance Group” SRL de a obtine mijloacele financiare de la „LEVDRA” SRL, in schimbul favorizarii achizitiei la suprapret a produselor (uleiuri si piese), ceea ce ar prezuma si o modalitate de legalizare a veniturilor din coruptie (spalarea banilor).</w:t>
      </w:r>
    </w:p>
    <w:p>
      <w:pPr>
        <w:pStyle w:val="Style17"/>
        <w:keepNext w:val="0"/>
        <w:keepLines w:val="0"/>
        <w:widowControl w:val="0"/>
        <w:numPr>
          <w:ilvl w:val="0"/>
          <w:numId w:val="27"/>
        </w:numPr>
        <w:shd w:val="clear" w:color="auto" w:fill="auto"/>
        <w:tabs>
          <w:tab w:pos="1114" w:val="left"/>
        </w:tabs>
        <w:bidi w:val="0"/>
        <w:spacing w:before="0" w:after="0" w:line="240" w:lineRule="auto"/>
        <w:ind w:left="0" w:right="0" w:firstLine="780"/>
        <w:jc w:val="both"/>
      </w:pPr>
      <w:r>
        <w:rPr>
          <w:color w:val="000000"/>
          <w:spacing w:val="0"/>
          <w:w w:val="100"/>
          <w:position w:val="0"/>
          <w:shd w:val="clear" w:color="auto" w:fill="auto"/>
          <w:lang w:val="en-US" w:eastAsia="en-US" w:bidi="en-US"/>
        </w:rPr>
        <w:t>Grupul „INDELCO-GC” SRL, „GLOBCONSULT” SRL si „SADEN- GUTU” II.</w:t>
      </w:r>
    </w:p>
    <w:p>
      <w:pPr>
        <w:pStyle w:val="Style17"/>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en-US" w:eastAsia="en-US" w:bidi="en-US"/>
        </w:rPr>
        <w:t xml:space="preserve">Companiile sunt interafiliate (legaturile fiind sesizate prin detinerea calitatii de </w:t>
      </w:r>
      <w:r>
        <w:rPr>
          <w:color w:val="000000"/>
          <w:spacing w:val="0"/>
          <w:w w:val="100"/>
          <w:position w:val="0"/>
          <w:shd w:val="clear" w:color="auto" w:fill="auto"/>
          <w:lang w:val="en-US" w:eastAsia="en-US" w:bidi="en-US"/>
        </w:rPr>
        <w:t>fondatori si administratori de catre aceleasi persoane, prin adresa juridica comuna,, relatiile comerciale reciproce etc.) si sunt gestionate de Gutu Ion, in comun sotia sa Irina.</w:t>
      </w:r>
    </w:p>
    <w:p>
      <w:pPr>
        <w:pStyle w:val="Style17"/>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en-US" w:eastAsia="en-US" w:bidi="en-US"/>
        </w:rPr>
        <w:t xml:space="preserve">Intreprinderile au castigat frecvent la licitatiile organizate de IS „CFM” pentru achizitionarea pieselor electrice, acumulatoarelor, pieselor pentru locomotivele diesel, etc. In perioada </w:t>
      </w:r>
      <w:r>
        <w:rPr>
          <w:color w:val="000000"/>
          <w:spacing w:val="0"/>
          <w:w w:val="100"/>
          <w:position w:val="0"/>
          <w:shd w:val="clear" w:color="auto" w:fill="auto"/>
          <w:lang w:val="ru-RU" w:eastAsia="ru-RU" w:bidi="ru-RU"/>
        </w:rPr>
        <w:t xml:space="preserve">09.01.2018 - 12.08.2019, </w:t>
      </w:r>
      <w:r>
        <w:rPr>
          <w:color w:val="000000"/>
          <w:spacing w:val="0"/>
          <w:w w:val="100"/>
          <w:position w:val="0"/>
          <w:shd w:val="clear" w:color="auto" w:fill="auto"/>
          <w:lang w:val="en-US" w:eastAsia="en-US" w:bidi="en-US"/>
        </w:rPr>
        <w:t xml:space="preserve">IS „CFM” a achizitionat, pe facturi fiscale, de la „Saden-Gutu” II piese in valoare de cca. </w:t>
      </w:r>
      <w:r>
        <w:rPr>
          <w:color w:val="000000"/>
          <w:spacing w:val="0"/>
          <w:w w:val="100"/>
          <w:position w:val="0"/>
          <w:shd w:val="clear" w:color="auto" w:fill="auto"/>
          <w:lang w:val="ru-RU" w:eastAsia="ru-RU" w:bidi="ru-RU"/>
        </w:rPr>
        <w:t xml:space="preserve">2 000 000 </w:t>
      </w:r>
      <w:r>
        <w:rPr>
          <w:color w:val="000000"/>
          <w:spacing w:val="0"/>
          <w:w w:val="100"/>
          <w:position w:val="0"/>
          <w:shd w:val="clear" w:color="auto" w:fill="auto"/>
          <w:lang w:val="en-US" w:eastAsia="en-US" w:bidi="en-US"/>
        </w:rPr>
        <w:t xml:space="preserve">de lei (cu TVA). In acelasi timp, „Saden-Gutu” II, din toate procurarile sale de cca. </w:t>
      </w:r>
      <w:r>
        <w:rPr>
          <w:color w:val="000000"/>
          <w:spacing w:val="0"/>
          <w:w w:val="100"/>
          <w:position w:val="0"/>
          <w:shd w:val="clear" w:color="auto" w:fill="auto"/>
          <w:lang w:val="ru-RU" w:eastAsia="ru-RU" w:bidi="ru-RU"/>
        </w:rPr>
        <w:t xml:space="preserve">1 443 000 </w:t>
      </w:r>
      <w:r>
        <w:rPr>
          <w:color w:val="000000"/>
          <w:spacing w:val="0"/>
          <w:w w:val="100"/>
          <w:position w:val="0"/>
          <w:shd w:val="clear" w:color="auto" w:fill="auto"/>
          <w:lang w:val="en-US" w:eastAsia="en-US" w:bidi="en-US"/>
        </w:rPr>
        <w:t xml:space="preserve">de lei, din acea perioada, a efectuat procurari de la „Indelco-GC” SRL (firma afiliata), la suma de cca. </w:t>
      </w:r>
      <w:r>
        <w:rPr>
          <w:color w:val="000000"/>
          <w:spacing w:val="0"/>
          <w:w w:val="100"/>
          <w:position w:val="0"/>
          <w:shd w:val="clear" w:color="auto" w:fill="auto"/>
          <w:lang w:val="ru-RU" w:eastAsia="ru-RU" w:bidi="ru-RU"/>
        </w:rPr>
        <w:t xml:space="preserve">1 430 000 </w:t>
      </w:r>
      <w:r>
        <w:rPr>
          <w:color w:val="000000"/>
          <w:spacing w:val="0"/>
          <w:w w:val="100"/>
          <w:position w:val="0"/>
          <w:shd w:val="clear" w:color="auto" w:fill="auto"/>
          <w:lang w:val="en-US" w:eastAsia="en-US" w:bidi="en-US"/>
        </w:rPr>
        <w:t>de lei (cu TVA).</w:t>
      </w:r>
    </w:p>
    <w:p>
      <w:pPr>
        <w:pStyle w:val="Style17"/>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en-US" w:eastAsia="en-US" w:bidi="en-US"/>
        </w:rPr>
        <w:t xml:space="preserve">Totodata, „Indelco-GC” SRL a livrat catre IS „CFM” in perioada </w:t>
      </w:r>
      <w:r>
        <w:rPr>
          <w:color w:val="000000"/>
          <w:spacing w:val="0"/>
          <w:w w:val="100"/>
          <w:position w:val="0"/>
          <w:shd w:val="clear" w:color="auto" w:fill="auto"/>
          <w:lang w:val="ru-RU" w:eastAsia="ru-RU" w:bidi="ru-RU"/>
        </w:rPr>
        <w:t xml:space="preserve">09.01.2018 - 13.08.2019, </w:t>
      </w:r>
      <w:r>
        <w:rPr>
          <w:color w:val="000000"/>
          <w:spacing w:val="0"/>
          <w:w w:val="100"/>
          <w:position w:val="0"/>
          <w:shd w:val="clear" w:color="auto" w:fill="auto"/>
          <w:lang w:val="en-US" w:eastAsia="en-US" w:bidi="en-US"/>
        </w:rPr>
        <w:t xml:space="preserve">marfa in valoare de cca. </w:t>
      </w:r>
      <w:r>
        <w:rPr>
          <w:color w:val="000000"/>
          <w:spacing w:val="0"/>
          <w:w w:val="100"/>
          <w:position w:val="0"/>
          <w:shd w:val="clear" w:color="auto" w:fill="auto"/>
          <w:lang w:val="ru-RU" w:eastAsia="ru-RU" w:bidi="ru-RU"/>
        </w:rPr>
        <w:t xml:space="preserve">6 620 000 </w:t>
      </w:r>
      <w:r>
        <w:rPr>
          <w:color w:val="000000"/>
          <w:spacing w:val="0"/>
          <w:w w:val="100"/>
          <w:position w:val="0"/>
          <w:shd w:val="clear" w:color="auto" w:fill="auto"/>
          <w:lang w:val="en-US" w:eastAsia="en-US" w:bidi="en-US"/>
        </w:rPr>
        <w:t xml:space="preserve">de lei (cu TVA), in timp ce valoarea tuturor procurarilor nu a depasit </w:t>
      </w:r>
      <w:r>
        <w:rPr>
          <w:color w:val="000000"/>
          <w:spacing w:val="0"/>
          <w:w w:val="100"/>
          <w:position w:val="0"/>
          <w:shd w:val="clear" w:color="auto" w:fill="auto"/>
          <w:lang w:val="ru-RU" w:eastAsia="ru-RU" w:bidi="ru-RU"/>
        </w:rPr>
        <w:t xml:space="preserve">1 000 000 </w:t>
      </w:r>
      <w:r>
        <w:rPr>
          <w:color w:val="000000"/>
          <w:spacing w:val="0"/>
          <w:w w:val="100"/>
          <w:position w:val="0"/>
          <w:shd w:val="clear" w:color="auto" w:fill="auto"/>
          <w:lang w:val="en-US" w:eastAsia="en-US" w:bidi="en-US"/>
        </w:rPr>
        <w:t xml:space="preserve">de lei. SRL „Globconsult”, din </w:t>
      </w:r>
      <w:r>
        <w:rPr>
          <w:color w:val="000000"/>
          <w:spacing w:val="0"/>
          <w:w w:val="100"/>
          <w:position w:val="0"/>
          <w:shd w:val="clear" w:color="auto" w:fill="auto"/>
          <w:lang w:val="ru-RU" w:eastAsia="ru-RU" w:bidi="ru-RU"/>
        </w:rPr>
        <w:t xml:space="preserve">26.06.2018 </w:t>
      </w:r>
      <w:r>
        <w:rPr>
          <w:color w:val="000000"/>
          <w:spacing w:val="0"/>
          <w:w w:val="100"/>
          <w:position w:val="0"/>
          <w:shd w:val="clear" w:color="auto" w:fill="auto"/>
          <w:lang w:val="en-US" w:eastAsia="en-US" w:bidi="en-US"/>
        </w:rPr>
        <w:t xml:space="preserve">pana la </w:t>
      </w:r>
      <w:r>
        <w:rPr>
          <w:color w:val="000000"/>
          <w:spacing w:val="0"/>
          <w:w w:val="100"/>
          <w:position w:val="0"/>
          <w:shd w:val="clear" w:color="auto" w:fill="auto"/>
          <w:lang w:val="ru-RU" w:eastAsia="ru-RU" w:bidi="ru-RU"/>
        </w:rPr>
        <w:t xml:space="preserve">23.09.2019 </w:t>
      </w:r>
      <w:r>
        <w:rPr>
          <w:color w:val="000000"/>
          <w:spacing w:val="0"/>
          <w:w w:val="100"/>
          <w:position w:val="0"/>
          <w:shd w:val="clear" w:color="auto" w:fill="auto"/>
          <w:lang w:val="en-US" w:eastAsia="en-US" w:bidi="en-US"/>
        </w:rPr>
        <w:t xml:space="preserve">a facturat marfuri pentru IS „CFM” in valoare de cca. </w:t>
      </w:r>
      <w:r>
        <w:rPr>
          <w:color w:val="000000"/>
          <w:spacing w:val="0"/>
          <w:w w:val="100"/>
          <w:position w:val="0"/>
          <w:shd w:val="clear" w:color="auto" w:fill="auto"/>
          <w:lang w:val="ru-RU" w:eastAsia="ru-RU" w:bidi="ru-RU"/>
        </w:rPr>
        <w:t xml:space="preserve">1 510 000 </w:t>
      </w:r>
      <w:r>
        <w:rPr>
          <w:color w:val="000000"/>
          <w:spacing w:val="0"/>
          <w:w w:val="100"/>
          <w:position w:val="0"/>
          <w:shd w:val="clear" w:color="auto" w:fill="auto"/>
          <w:lang w:val="en-US" w:eastAsia="en-US" w:bidi="en-US"/>
        </w:rPr>
        <w:t xml:space="preserve">de lei. Totodata, pe parcursul anilor </w:t>
      </w:r>
      <w:r>
        <w:rPr>
          <w:color w:val="000000"/>
          <w:spacing w:val="0"/>
          <w:w w:val="100"/>
          <w:position w:val="0"/>
          <w:shd w:val="clear" w:color="auto" w:fill="auto"/>
          <w:lang w:val="ru-RU" w:eastAsia="ru-RU" w:bidi="ru-RU"/>
        </w:rPr>
        <w:t xml:space="preserve">2018 - </w:t>
      </w:r>
      <w:r>
        <w:rPr>
          <w:color w:val="000000"/>
          <w:spacing w:val="0"/>
          <w:w w:val="100"/>
          <w:position w:val="0"/>
          <w:shd w:val="clear" w:color="auto" w:fill="auto"/>
          <w:lang w:val="en-US" w:eastAsia="en-US" w:bidi="en-US"/>
        </w:rPr>
        <w:t xml:space="preserve">noiembrie </w:t>
      </w:r>
      <w:r>
        <w:rPr>
          <w:color w:val="000000"/>
          <w:spacing w:val="0"/>
          <w:w w:val="100"/>
          <w:position w:val="0"/>
          <w:shd w:val="clear" w:color="auto" w:fill="auto"/>
          <w:lang w:val="ru-RU" w:eastAsia="ru-RU" w:bidi="ru-RU"/>
        </w:rPr>
        <w:t xml:space="preserve">2019, </w:t>
      </w:r>
      <w:r>
        <w:rPr>
          <w:color w:val="000000"/>
          <w:spacing w:val="0"/>
          <w:w w:val="100"/>
          <w:position w:val="0"/>
          <w:shd w:val="clear" w:color="auto" w:fill="auto"/>
          <w:lang w:val="en-US" w:eastAsia="en-US" w:bidi="en-US"/>
        </w:rPr>
        <w:t xml:space="preserve">„Globconsult” SRL nu a importat marfuri destinate necesitatilor IS „CFM”. insa, au fost constatate procurari „dubioase” de cca. </w:t>
      </w:r>
      <w:r>
        <w:rPr>
          <w:color w:val="000000"/>
          <w:spacing w:val="0"/>
          <w:w w:val="100"/>
          <w:position w:val="0"/>
          <w:shd w:val="clear" w:color="auto" w:fill="auto"/>
          <w:lang w:val="ru-RU" w:eastAsia="ru-RU" w:bidi="ru-RU"/>
        </w:rPr>
        <w:t xml:space="preserve">890 000 </w:t>
      </w:r>
      <w:r>
        <w:rPr>
          <w:color w:val="000000"/>
          <w:spacing w:val="0"/>
          <w:w w:val="100"/>
          <w:position w:val="0"/>
          <w:shd w:val="clear" w:color="auto" w:fill="auto"/>
          <w:lang w:val="en-US" w:eastAsia="en-US" w:bidi="en-US"/>
        </w:rPr>
        <w:t>de lei de la „Indelco-GC” SRL.</w:t>
      </w:r>
    </w:p>
    <w:p>
      <w:pPr>
        <w:pStyle w:val="Style17"/>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en-US" w:eastAsia="en-US" w:bidi="en-US"/>
        </w:rPr>
        <w:t xml:space="preserve">Ne referim doar la contractele semnate in anii </w:t>
      </w:r>
      <w:r>
        <w:rPr>
          <w:color w:val="000000"/>
          <w:spacing w:val="0"/>
          <w:w w:val="100"/>
          <w:position w:val="0"/>
          <w:shd w:val="clear" w:color="auto" w:fill="auto"/>
          <w:lang w:val="ru-RU" w:eastAsia="ru-RU" w:bidi="ru-RU"/>
        </w:rPr>
        <w:t xml:space="preserve">2018 - 2019 </w:t>
      </w:r>
      <w:r>
        <w:rPr>
          <w:color w:val="000000"/>
          <w:spacing w:val="0"/>
          <w:w w:val="100"/>
          <w:position w:val="0"/>
          <w:shd w:val="clear" w:color="auto" w:fill="auto"/>
          <w:lang w:val="en-US" w:eastAsia="en-US" w:bidi="en-US"/>
        </w:rPr>
        <w:t>(august), de catre Iurii TOPALA sau Grigore Condurache (cu „Indelco-GC” SRL, „Globconsult” SRL si „Saden- Gutu” II). Ca si cazuri abuzive, pentru exemplificare, mentionam:</w:t>
      </w:r>
    </w:p>
    <w:p>
      <w:pPr>
        <w:pStyle w:val="Style17"/>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en-US" w:eastAsia="en-US" w:bidi="en-US"/>
        </w:rPr>
        <w:t xml:space="preserve">Contractul semnat cu „Indelco-GC” SRL, nr. 2399/IV/2018 din </w:t>
      </w:r>
      <w:r>
        <w:rPr>
          <w:color w:val="000000"/>
          <w:spacing w:val="0"/>
          <w:w w:val="100"/>
          <w:position w:val="0"/>
          <w:shd w:val="clear" w:color="auto" w:fill="auto"/>
          <w:lang w:val="ru-RU" w:eastAsia="ru-RU" w:bidi="ru-RU"/>
        </w:rPr>
        <w:t xml:space="preserve">06.02.2018, </w:t>
      </w:r>
      <w:r>
        <w:rPr>
          <w:color w:val="000000"/>
          <w:spacing w:val="0"/>
          <w:w w:val="100"/>
          <w:position w:val="0"/>
          <w:shd w:val="clear" w:color="auto" w:fill="auto"/>
          <w:lang w:val="en-US" w:eastAsia="en-US" w:bidi="en-US"/>
        </w:rPr>
        <w:t xml:space="preserve">la suma de </w:t>
      </w:r>
      <w:r>
        <w:rPr>
          <w:color w:val="000000"/>
          <w:spacing w:val="0"/>
          <w:w w:val="100"/>
          <w:position w:val="0"/>
          <w:shd w:val="clear" w:color="auto" w:fill="auto"/>
          <w:lang w:val="ru-RU" w:eastAsia="ru-RU" w:bidi="ru-RU"/>
        </w:rPr>
        <w:t xml:space="preserve">3 390 275 </w:t>
      </w:r>
      <w:r>
        <w:rPr>
          <w:color w:val="000000"/>
          <w:spacing w:val="0"/>
          <w:w w:val="100"/>
          <w:position w:val="0"/>
          <w:shd w:val="clear" w:color="auto" w:fill="auto"/>
          <w:lang w:val="en-US" w:eastAsia="en-US" w:bidi="en-US"/>
        </w:rPr>
        <w:t xml:space="preserve">de lei (cu TVA), pentru procurarea a </w:t>
      </w:r>
      <w:r>
        <w:rPr>
          <w:color w:val="000000"/>
          <w:spacing w:val="0"/>
          <w:w w:val="100"/>
          <w:position w:val="0"/>
          <w:shd w:val="clear" w:color="auto" w:fill="auto"/>
          <w:lang w:val="ru-RU" w:eastAsia="ru-RU" w:bidi="ru-RU"/>
        </w:rPr>
        <w:t xml:space="preserve">680 </w:t>
      </w:r>
      <w:r>
        <w:rPr>
          <w:color w:val="000000"/>
          <w:spacing w:val="0"/>
          <w:w w:val="100"/>
          <w:position w:val="0"/>
          <w:shd w:val="clear" w:color="auto" w:fill="auto"/>
          <w:lang w:val="en-US" w:eastAsia="en-US" w:bidi="en-US"/>
        </w:rPr>
        <w:t xml:space="preserve">de acumulatoare (tip: </w:t>
      </w:r>
      <w:r>
        <w:rPr>
          <w:color w:val="000000"/>
          <w:spacing w:val="0"/>
          <w:w w:val="100"/>
          <w:position w:val="0"/>
          <w:shd w:val="clear" w:color="auto" w:fill="auto"/>
          <w:lang w:val="ru-RU" w:eastAsia="ru-RU" w:bidi="ru-RU"/>
        </w:rPr>
        <w:t xml:space="preserve">ТНЖ-250М- У2, ЗБП-75, 6БП-150, 9БП-225). </w:t>
      </w:r>
      <w:r>
        <w:rPr>
          <w:color w:val="000000"/>
          <w:spacing w:val="0"/>
          <w:w w:val="100"/>
          <w:position w:val="0"/>
          <w:shd w:val="clear" w:color="auto" w:fill="auto"/>
          <w:lang w:val="en-US" w:eastAsia="en-US" w:bidi="en-US"/>
        </w:rPr>
        <w:t xml:space="preserve">Potrivit informatiilor oficiale ale producatorilor de acumulatoare similare, din Federatia Rusa sau Ucraina, costul unui acumulator, de exemplu </w:t>
      </w:r>
      <w:r>
        <w:rPr>
          <w:color w:val="000000"/>
          <w:spacing w:val="0"/>
          <w:w w:val="100"/>
          <w:position w:val="0"/>
          <w:shd w:val="clear" w:color="auto" w:fill="auto"/>
          <w:lang w:val="ru-RU" w:eastAsia="ru-RU" w:bidi="ru-RU"/>
        </w:rPr>
        <w:t xml:space="preserve">ТНЖ-250М- У2 </w:t>
      </w:r>
      <w:r>
        <w:rPr>
          <w:color w:val="000000"/>
          <w:spacing w:val="0"/>
          <w:w w:val="100"/>
          <w:position w:val="0"/>
          <w:shd w:val="clear" w:color="auto" w:fill="auto"/>
          <w:lang w:val="en-US" w:eastAsia="en-US" w:bidi="en-US"/>
        </w:rPr>
        <w:t xml:space="preserve">sau </w:t>
      </w:r>
      <w:r>
        <w:rPr>
          <w:color w:val="000000"/>
          <w:spacing w:val="0"/>
          <w:w w:val="100"/>
          <w:position w:val="0"/>
          <w:shd w:val="clear" w:color="auto" w:fill="auto"/>
          <w:lang w:val="ru-RU" w:eastAsia="ru-RU" w:bidi="ru-RU"/>
        </w:rPr>
        <w:t xml:space="preserve">ЗБП-75 </w:t>
      </w:r>
      <w:r>
        <w:rPr>
          <w:color w:val="000000"/>
          <w:spacing w:val="0"/>
          <w:w w:val="100"/>
          <w:position w:val="0"/>
          <w:shd w:val="clear" w:color="auto" w:fill="auto"/>
          <w:lang w:val="en-US" w:eastAsia="en-US" w:bidi="en-US"/>
        </w:rPr>
        <w:t xml:space="preserve">este estimat la cca. </w:t>
      </w:r>
      <w:r>
        <w:rPr>
          <w:color w:val="000000"/>
          <w:spacing w:val="0"/>
          <w:w w:val="100"/>
          <w:position w:val="0"/>
          <w:shd w:val="clear" w:color="auto" w:fill="auto"/>
          <w:lang w:val="ru-RU" w:eastAsia="ru-RU" w:bidi="ru-RU"/>
        </w:rPr>
        <w:t xml:space="preserve">800 </w:t>
      </w:r>
      <w:r>
        <w:rPr>
          <w:color w:val="000000"/>
          <w:spacing w:val="0"/>
          <w:w w:val="100"/>
          <w:position w:val="0"/>
          <w:shd w:val="clear" w:color="auto" w:fill="auto"/>
          <w:lang w:val="en-US" w:eastAsia="en-US" w:bidi="en-US"/>
        </w:rPr>
        <w:t xml:space="preserve">lei. Acestea insa au fost procurate la preturi de cca. </w:t>
      </w:r>
      <w:r>
        <w:rPr>
          <w:color w:val="000000"/>
          <w:spacing w:val="0"/>
          <w:w w:val="100"/>
          <w:position w:val="0"/>
          <w:shd w:val="clear" w:color="auto" w:fill="auto"/>
          <w:lang w:val="ru-RU" w:eastAsia="ru-RU" w:bidi="ru-RU"/>
        </w:rPr>
        <w:t xml:space="preserve">3 800 - 3 900 </w:t>
      </w:r>
      <w:r>
        <w:rPr>
          <w:color w:val="000000"/>
          <w:spacing w:val="0"/>
          <w:w w:val="100"/>
          <w:position w:val="0"/>
          <w:shd w:val="clear" w:color="auto" w:fill="auto"/>
          <w:lang w:val="en-US" w:eastAsia="en-US" w:bidi="en-US"/>
        </w:rPr>
        <w:t xml:space="preserve">lei, cu un adaos de peste </w:t>
      </w:r>
      <w:r>
        <w:rPr>
          <w:color w:val="000000"/>
          <w:spacing w:val="0"/>
          <w:w w:val="100"/>
          <w:position w:val="0"/>
          <w:shd w:val="clear" w:color="auto" w:fill="auto"/>
          <w:lang w:val="ru-RU" w:eastAsia="ru-RU" w:bidi="ru-RU"/>
        </w:rPr>
        <w:t>300%.</w:t>
      </w:r>
    </w:p>
    <w:p>
      <w:pPr>
        <w:pStyle w:val="Style17"/>
        <w:keepNext w:val="0"/>
        <w:keepLines w:val="0"/>
        <w:widowControl w:val="0"/>
        <w:numPr>
          <w:ilvl w:val="0"/>
          <w:numId w:val="29"/>
        </w:numPr>
        <w:shd w:val="clear" w:color="auto" w:fill="auto"/>
        <w:tabs>
          <w:tab w:pos="771" w:val="left"/>
        </w:tabs>
        <w:bidi w:val="0"/>
        <w:spacing w:before="0" w:after="0" w:line="240" w:lineRule="auto"/>
        <w:ind w:left="0" w:right="0" w:firstLine="340"/>
        <w:jc w:val="left"/>
      </w:pPr>
      <w:r>
        <w:rPr>
          <w:color w:val="000000"/>
          <w:spacing w:val="0"/>
          <w:w w:val="100"/>
          <w:position w:val="0"/>
          <w:shd w:val="clear" w:color="auto" w:fill="auto"/>
          <w:lang w:val="en-US" w:eastAsia="en-US" w:bidi="en-US"/>
        </w:rPr>
        <w:t>Contractele semnate cu „Globconsult” SRL:</w:t>
      </w:r>
    </w:p>
    <w:p>
      <w:pPr>
        <w:pStyle w:val="Style17"/>
        <w:keepNext w:val="0"/>
        <w:keepLines w:val="0"/>
        <w:widowControl w:val="0"/>
        <w:numPr>
          <w:ilvl w:val="0"/>
          <w:numId w:val="3"/>
        </w:numPr>
        <w:shd w:val="clear" w:color="auto" w:fill="auto"/>
        <w:tabs>
          <w:tab w:pos="721" w:val="left"/>
        </w:tabs>
        <w:bidi w:val="0"/>
        <w:spacing w:before="0" w:after="40" w:line="240" w:lineRule="auto"/>
        <w:ind w:left="0" w:right="0" w:firstLine="480"/>
        <w:jc w:val="both"/>
      </w:pPr>
      <w:r>
        <w:rPr>
          <w:color w:val="000000"/>
          <w:spacing w:val="0"/>
          <w:w w:val="100"/>
          <w:position w:val="0"/>
          <w:shd w:val="clear" w:color="auto" w:fill="auto"/>
          <w:lang w:val="en-US" w:eastAsia="en-US" w:bidi="en-US"/>
        </w:rPr>
        <w:t xml:space="preserve">nr. 2882/IV/2019 din </w:t>
      </w:r>
      <w:r>
        <w:rPr>
          <w:color w:val="000000"/>
          <w:spacing w:val="0"/>
          <w:w w:val="100"/>
          <w:position w:val="0"/>
          <w:shd w:val="clear" w:color="auto" w:fill="auto"/>
          <w:lang w:val="ru-RU" w:eastAsia="ru-RU" w:bidi="ru-RU"/>
        </w:rPr>
        <w:t xml:space="preserve">14.03.2019, </w:t>
      </w:r>
      <w:r>
        <w:rPr>
          <w:color w:val="000000"/>
          <w:spacing w:val="0"/>
          <w:w w:val="100"/>
          <w:position w:val="0"/>
          <w:shd w:val="clear" w:color="auto" w:fill="auto"/>
          <w:lang w:val="en-US" w:eastAsia="en-US" w:bidi="en-US"/>
        </w:rPr>
        <w:t xml:space="preserve">pentru procurarea a </w:t>
      </w:r>
      <w:r>
        <w:rPr>
          <w:color w:val="000000"/>
          <w:spacing w:val="0"/>
          <w:w w:val="100"/>
          <w:position w:val="0"/>
          <w:shd w:val="clear" w:color="auto" w:fill="auto"/>
          <w:lang w:val="ru-RU" w:eastAsia="ru-RU" w:bidi="ru-RU"/>
        </w:rPr>
        <w:t xml:space="preserve">2 000 </w:t>
      </w:r>
      <w:r>
        <w:rPr>
          <w:color w:val="000000"/>
          <w:spacing w:val="0"/>
          <w:w w:val="100"/>
          <w:position w:val="0"/>
          <w:shd w:val="clear" w:color="auto" w:fill="auto"/>
          <w:lang w:val="en-US" w:eastAsia="en-US" w:bidi="en-US"/>
        </w:rPr>
        <w:t xml:space="preserve">de metri de cablu, la suma de </w:t>
      </w:r>
      <w:r>
        <w:rPr>
          <w:color w:val="000000"/>
          <w:spacing w:val="0"/>
          <w:w w:val="100"/>
          <w:position w:val="0"/>
          <w:shd w:val="clear" w:color="auto" w:fill="auto"/>
          <w:lang w:val="ru-RU" w:eastAsia="ru-RU" w:bidi="ru-RU"/>
        </w:rPr>
        <w:t xml:space="preserve">445 200 </w:t>
      </w:r>
      <w:r>
        <w:rPr>
          <w:color w:val="000000"/>
          <w:spacing w:val="0"/>
          <w:w w:val="100"/>
          <w:position w:val="0"/>
          <w:shd w:val="clear" w:color="auto" w:fill="auto"/>
          <w:lang w:val="en-US" w:eastAsia="en-US" w:bidi="en-US"/>
        </w:rPr>
        <w:t xml:space="preserve">de lei (cu TVA), sau </w:t>
      </w:r>
      <w:r>
        <w:rPr>
          <w:color w:val="000000"/>
          <w:spacing w:val="0"/>
          <w:w w:val="100"/>
          <w:position w:val="0"/>
          <w:shd w:val="clear" w:color="auto" w:fill="auto"/>
          <w:lang w:val="ru-RU" w:eastAsia="ru-RU" w:bidi="ru-RU"/>
        </w:rPr>
        <w:t xml:space="preserve">222,6 </w:t>
      </w:r>
      <w:r>
        <w:rPr>
          <w:color w:val="000000"/>
          <w:spacing w:val="0"/>
          <w:w w:val="100"/>
          <w:position w:val="0"/>
          <w:shd w:val="clear" w:color="auto" w:fill="auto"/>
          <w:lang w:val="en-US" w:eastAsia="en-US" w:bidi="en-US"/>
        </w:rPr>
        <w:t xml:space="preserve">lei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 xml:space="preserve">m. SRL „Globconsult” nu a efectuat operatiuni de import in perioada de referinta, ci a efectuat procurari de la SRL „Indelco- GC”. Astfel, la </w:t>
      </w:r>
      <w:r>
        <w:rPr>
          <w:color w:val="000000"/>
          <w:spacing w:val="0"/>
          <w:w w:val="100"/>
          <w:position w:val="0"/>
          <w:shd w:val="clear" w:color="auto" w:fill="auto"/>
          <w:lang w:val="ru-RU" w:eastAsia="ru-RU" w:bidi="ru-RU"/>
        </w:rPr>
        <w:t xml:space="preserve">12.04.2019, </w:t>
      </w:r>
      <w:r>
        <w:rPr>
          <w:color w:val="000000"/>
          <w:spacing w:val="0"/>
          <w:w w:val="100"/>
          <w:position w:val="0"/>
          <w:shd w:val="clear" w:color="auto" w:fill="auto"/>
          <w:lang w:val="en-US" w:eastAsia="en-US" w:bidi="en-US"/>
        </w:rPr>
        <w:t xml:space="preserve">ultima a vamuit si introdus in tara </w:t>
      </w:r>
      <w:r>
        <w:rPr>
          <w:color w:val="000000"/>
          <w:spacing w:val="0"/>
          <w:w w:val="100"/>
          <w:position w:val="0"/>
          <w:shd w:val="clear" w:color="auto" w:fill="auto"/>
          <w:lang w:val="ru-RU" w:eastAsia="ru-RU" w:bidi="ru-RU"/>
        </w:rPr>
        <w:t xml:space="preserve">2 171 </w:t>
      </w:r>
      <w:r>
        <w:rPr>
          <w:color w:val="000000"/>
          <w:spacing w:val="0"/>
          <w:w w:val="100"/>
          <w:position w:val="0"/>
          <w:shd w:val="clear" w:color="auto" w:fill="auto"/>
          <w:lang w:val="en-US" w:eastAsia="en-US" w:bidi="en-US"/>
        </w:rPr>
        <w:t xml:space="preserve">m de cablu cu o valoare statistica de </w:t>
      </w:r>
      <w:r>
        <w:rPr>
          <w:color w:val="000000"/>
          <w:spacing w:val="0"/>
          <w:w w:val="100"/>
          <w:position w:val="0"/>
          <w:shd w:val="clear" w:color="auto" w:fill="auto"/>
          <w:lang w:val="ru-RU" w:eastAsia="ru-RU" w:bidi="ru-RU"/>
        </w:rPr>
        <w:t xml:space="preserve">231 888 </w:t>
      </w:r>
      <w:r>
        <w:rPr>
          <w:color w:val="000000"/>
          <w:spacing w:val="0"/>
          <w:w w:val="100"/>
          <w:position w:val="0"/>
          <w:shd w:val="clear" w:color="auto" w:fill="auto"/>
          <w:lang w:val="en-US" w:eastAsia="en-US" w:bidi="en-US"/>
        </w:rPr>
        <w:t>de lei, ceea ce constituie jumatate din pretul de livrare de la „Globconsult” SRL catre IS „CFM”.</w:t>
      </w:r>
    </w:p>
    <w:p>
      <w:pPr>
        <w:pStyle w:val="Style17"/>
        <w:keepNext w:val="0"/>
        <w:keepLines w:val="0"/>
        <w:widowControl w:val="0"/>
        <w:numPr>
          <w:ilvl w:val="0"/>
          <w:numId w:val="3"/>
        </w:numPr>
        <w:shd w:val="clear" w:color="auto" w:fill="auto"/>
        <w:tabs>
          <w:tab w:pos="771" w:val="left"/>
        </w:tabs>
        <w:bidi w:val="0"/>
        <w:spacing w:before="0" w:after="0" w:line="269" w:lineRule="auto"/>
        <w:ind w:left="0" w:right="0" w:firstLine="480"/>
        <w:jc w:val="both"/>
      </w:pPr>
      <w:r>
        <w:rPr>
          <w:color w:val="000000"/>
          <w:spacing w:val="0"/>
          <w:w w:val="100"/>
          <w:position w:val="0"/>
          <w:shd w:val="clear" w:color="auto" w:fill="auto"/>
          <w:lang w:val="en-US" w:eastAsia="en-US" w:bidi="en-US"/>
        </w:rPr>
        <w:t xml:space="preserve">nr. 2970/IV/2019 din </w:t>
      </w:r>
      <w:r>
        <w:rPr>
          <w:color w:val="000000"/>
          <w:spacing w:val="0"/>
          <w:w w:val="100"/>
          <w:position w:val="0"/>
          <w:shd w:val="clear" w:color="auto" w:fill="auto"/>
          <w:lang w:val="ru-RU" w:eastAsia="ru-RU" w:bidi="ru-RU"/>
        </w:rPr>
        <w:t xml:space="preserve">03.05.2019, </w:t>
      </w:r>
      <w:r>
        <w:rPr>
          <w:color w:val="000000"/>
          <w:spacing w:val="0"/>
          <w:w w:val="100"/>
          <w:position w:val="0"/>
          <w:shd w:val="clear" w:color="auto" w:fill="auto"/>
          <w:lang w:val="en-US" w:eastAsia="en-US" w:bidi="en-US"/>
        </w:rPr>
        <w:t xml:space="preserve">pentru procurarea pieselor de schimb pentru trenurile cu motor diesel D1M, la suma de </w:t>
      </w:r>
      <w:r>
        <w:rPr>
          <w:color w:val="000000"/>
          <w:spacing w:val="0"/>
          <w:w w:val="100"/>
          <w:position w:val="0"/>
          <w:shd w:val="clear" w:color="auto" w:fill="auto"/>
          <w:lang w:val="ru-RU" w:eastAsia="ru-RU" w:bidi="ru-RU"/>
        </w:rPr>
        <w:t xml:space="preserve">1 435 039 </w:t>
      </w:r>
      <w:r>
        <w:rPr>
          <w:color w:val="000000"/>
          <w:spacing w:val="0"/>
          <w:w w:val="100"/>
          <w:position w:val="0"/>
          <w:shd w:val="clear" w:color="auto" w:fill="auto"/>
          <w:lang w:val="en-US" w:eastAsia="en-US" w:bidi="en-US"/>
        </w:rPr>
        <w:t>de lei.</w:t>
      </w:r>
    </w:p>
    <w:p>
      <w:pPr>
        <w:pStyle w:val="Style17"/>
        <w:keepNext w:val="0"/>
        <w:keepLines w:val="0"/>
        <w:widowControl w:val="0"/>
        <w:shd w:val="clear" w:color="auto" w:fill="auto"/>
        <w:bidi w:val="0"/>
        <w:spacing w:before="0" w:after="40" w:line="240" w:lineRule="auto"/>
        <w:ind w:left="0" w:right="0" w:firstLine="480"/>
        <w:jc w:val="both"/>
      </w:pPr>
      <w:r>
        <w:rPr>
          <w:color w:val="000000"/>
          <w:spacing w:val="0"/>
          <w:w w:val="100"/>
          <w:position w:val="0"/>
          <w:shd w:val="clear" w:color="auto" w:fill="auto"/>
          <w:lang w:val="en-US" w:eastAsia="en-US" w:bidi="en-US"/>
        </w:rPr>
        <w:t>Conform anexei contractului, toate bunurile specificate au fost importate de fapt de aceeasi „Indelco-GC” SRL (ca intermediara), iar in consecinta preturile de livrare catre intreprinderea de stat au fost majorate de cateva ori.</w:t>
      </w:r>
    </w:p>
    <w:p>
      <w:pPr>
        <w:pStyle w:val="Style17"/>
        <w:keepNext w:val="0"/>
        <w:keepLines w:val="0"/>
        <w:widowControl w:val="0"/>
        <w:numPr>
          <w:ilvl w:val="0"/>
          <w:numId w:val="3"/>
        </w:numPr>
        <w:shd w:val="clear" w:color="auto" w:fill="auto"/>
        <w:tabs>
          <w:tab w:pos="771" w:val="left"/>
        </w:tabs>
        <w:bidi w:val="0"/>
        <w:spacing w:before="0" w:after="0" w:line="259" w:lineRule="auto"/>
        <w:ind w:left="0" w:right="0" w:firstLine="480"/>
        <w:jc w:val="both"/>
      </w:pPr>
      <w:r>
        <w:rPr>
          <w:color w:val="000000"/>
          <w:spacing w:val="0"/>
          <w:w w:val="100"/>
          <w:position w:val="0"/>
          <w:shd w:val="clear" w:color="auto" w:fill="auto"/>
          <w:lang w:val="en-US" w:eastAsia="en-US" w:bidi="en-US"/>
        </w:rPr>
        <w:t xml:space="preserve">nr. 3001/IV/2019 din </w:t>
      </w:r>
      <w:r>
        <w:rPr>
          <w:color w:val="000000"/>
          <w:spacing w:val="0"/>
          <w:w w:val="100"/>
          <w:position w:val="0"/>
          <w:shd w:val="clear" w:color="auto" w:fill="auto"/>
          <w:lang w:val="ru-RU" w:eastAsia="ru-RU" w:bidi="ru-RU"/>
        </w:rPr>
        <w:t xml:space="preserve">06.06.2019, </w:t>
      </w:r>
      <w:r>
        <w:rPr>
          <w:color w:val="000000"/>
          <w:spacing w:val="0"/>
          <w:w w:val="100"/>
          <w:position w:val="0"/>
          <w:shd w:val="clear" w:color="auto" w:fill="auto"/>
          <w:lang w:val="en-US" w:eastAsia="en-US" w:bidi="en-US"/>
        </w:rPr>
        <w:t xml:space="preserve">pentru procurarea echipamentelor de telecomunicatii, piese de schimb pentru locomotive TE </w:t>
      </w:r>
      <w:r>
        <w:rPr>
          <w:color w:val="000000"/>
          <w:spacing w:val="0"/>
          <w:w w:val="100"/>
          <w:position w:val="0"/>
          <w:shd w:val="clear" w:color="auto" w:fill="auto"/>
          <w:lang w:val="ru-RU" w:eastAsia="ru-RU" w:bidi="ru-RU"/>
        </w:rPr>
        <w:t xml:space="preserve">10, </w:t>
      </w:r>
      <w:r>
        <w:rPr>
          <w:color w:val="000000"/>
          <w:spacing w:val="0"/>
          <w:w w:val="100"/>
          <w:position w:val="0"/>
          <w:shd w:val="clear" w:color="auto" w:fill="auto"/>
          <w:lang w:val="en-US" w:eastAsia="en-US" w:bidi="en-US"/>
        </w:rPr>
        <w:t xml:space="preserve">Diesel D6 si D12, la suma de </w:t>
      </w:r>
      <w:r>
        <w:rPr>
          <w:color w:val="000000"/>
          <w:spacing w:val="0"/>
          <w:w w:val="100"/>
          <w:position w:val="0"/>
          <w:shd w:val="clear" w:color="auto" w:fill="auto"/>
          <w:lang w:val="ru-RU" w:eastAsia="ru-RU" w:bidi="ru-RU"/>
        </w:rPr>
        <w:t xml:space="preserve">665 802 </w:t>
      </w:r>
      <w:r>
        <w:rPr>
          <w:color w:val="000000"/>
          <w:spacing w:val="0"/>
          <w:w w:val="100"/>
          <w:position w:val="0"/>
          <w:shd w:val="clear" w:color="auto" w:fill="auto"/>
          <w:lang w:val="en-US" w:eastAsia="en-US" w:bidi="en-US"/>
        </w:rPr>
        <w:t>de lei (cu TVA).</w:t>
      </w:r>
    </w:p>
    <w:p>
      <w:pPr>
        <w:pStyle w:val="Style17"/>
        <w:keepNext w:val="0"/>
        <w:keepLines w:val="0"/>
        <w:widowControl w:val="0"/>
        <w:shd w:val="clear" w:color="auto" w:fill="auto"/>
        <w:bidi w:val="0"/>
        <w:spacing w:before="0" w:after="40" w:line="240" w:lineRule="auto"/>
        <w:ind w:left="0" w:right="0" w:firstLine="480"/>
        <w:jc w:val="both"/>
      </w:pPr>
      <w:r>
        <w:rPr>
          <w:color w:val="000000"/>
          <w:spacing w:val="0"/>
          <w:w w:val="100"/>
          <w:position w:val="0"/>
          <w:shd w:val="clear" w:color="auto" w:fill="auto"/>
          <w:lang w:val="en-US" w:eastAsia="en-US" w:bidi="en-US"/>
        </w:rPr>
        <w:t>Ca si in cazul mentionat mai sus, livrarea pieselor a fost intermediata, importurile fiind efectuate de „Indelco-GC” SRL.</w:t>
      </w:r>
    </w:p>
    <w:p>
      <w:pPr>
        <w:pStyle w:val="Style17"/>
        <w:keepNext w:val="0"/>
        <w:keepLines w:val="0"/>
        <w:widowControl w:val="0"/>
        <w:numPr>
          <w:ilvl w:val="0"/>
          <w:numId w:val="3"/>
        </w:numPr>
        <w:shd w:val="clear" w:color="auto" w:fill="auto"/>
        <w:tabs>
          <w:tab w:pos="771" w:val="left"/>
        </w:tabs>
        <w:bidi w:val="0"/>
        <w:spacing w:before="0" w:after="0" w:line="269" w:lineRule="auto"/>
        <w:ind w:left="0" w:right="0" w:firstLine="480"/>
        <w:jc w:val="both"/>
      </w:pPr>
      <w:r>
        <w:rPr>
          <w:color w:val="000000"/>
          <w:spacing w:val="0"/>
          <w:w w:val="100"/>
          <w:position w:val="0"/>
          <w:shd w:val="clear" w:color="auto" w:fill="auto"/>
          <w:lang w:val="en-US" w:eastAsia="en-US" w:bidi="en-US"/>
        </w:rPr>
        <w:t xml:space="preserve">nr. 3940/IV/2019 din </w:t>
      </w:r>
      <w:r>
        <w:rPr>
          <w:color w:val="000000"/>
          <w:spacing w:val="0"/>
          <w:w w:val="100"/>
          <w:position w:val="0"/>
          <w:shd w:val="clear" w:color="auto" w:fill="auto"/>
          <w:lang w:val="ru-RU" w:eastAsia="ru-RU" w:bidi="ru-RU"/>
        </w:rPr>
        <w:t xml:space="preserve">16.08.2019, </w:t>
      </w:r>
      <w:r>
        <w:rPr>
          <w:color w:val="000000"/>
          <w:spacing w:val="0"/>
          <w:w w:val="100"/>
          <w:position w:val="0"/>
          <w:shd w:val="clear" w:color="auto" w:fill="auto"/>
          <w:lang w:val="en-US" w:eastAsia="en-US" w:bidi="en-US"/>
        </w:rPr>
        <w:t xml:space="preserve">pentru procurarea produselor din cablu, la suma de </w:t>
      </w:r>
      <w:r>
        <w:rPr>
          <w:color w:val="000000"/>
          <w:spacing w:val="0"/>
          <w:w w:val="100"/>
          <w:position w:val="0"/>
          <w:shd w:val="clear" w:color="auto" w:fill="auto"/>
          <w:lang w:val="ru-RU" w:eastAsia="ru-RU" w:bidi="ru-RU"/>
        </w:rPr>
        <w:t xml:space="preserve">296 991 </w:t>
      </w:r>
      <w:r>
        <w:rPr>
          <w:color w:val="000000"/>
          <w:spacing w:val="0"/>
          <w:w w:val="100"/>
          <w:position w:val="0"/>
          <w:shd w:val="clear" w:color="auto" w:fill="auto"/>
          <w:lang w:val="en-US" w:eastAsia="en-US" w:bidi="en-US"/>
        </w:rPr>
        <w:t>lei (cu TVA).</w:t>
      </w:r>
    </w:p>
    <w:p>
      <w:pPr>
        <w:pStyle w:val="Style17"/>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en-US" w:eastAsia="en-US" w:bidi="en-US"/>
        </w:rPr>
        <w:t xml:space="preserve">Toata gama de produse specificate in anexa contractului </w:t>
      </w:r>
      <w:r>
        <w:rPr>
          <w:color w:val="000000"/>
          <w:spacing w:val="0"/>
          <w:w w:val="100"/>
          <w:position w:val="0"/>
          <w:shd w:val="clear" w:color="auto" w:fill="auto"/>
          <w:lang w:val="ru-RU" w:eastAsia="ru-RU" w:bidi="ru-RU"/>
        </w:rPr>
        <w:t xml:space="preserve">(кабель АВВГ, АВБбШв, ППСТВМ, ПРППМ, </w:t>
      </w:r>
      <w:r>
        <w:rPr>
          <w:color w:val="000000"/>
          <w:spacing w:val="0"/>
          <w:w w:val="100"/>
          <w:position w:val="0"/>
          <w:shd w:val="clear" w:color="auto" w:fill="auto"/>
          <w:lang w:val="en-US" w:eastAsia="en-US" w:bidi="en-US"/>
        </w:rPr>
        <w:t xml:space="preserve">etc.), a fost de fapt importata la </w:t>
      </w:r>
      <w:r>
        <w:rPr>
          <w:color w:val="000000"/>
          <w:spacing w:val="0"/>
          <w:w w:val="100"/>
          <w:position w:val="0"/>
          <w:shd w:val="clear" w:color="auto" w:fill="auto"/>
          <w:lang w:val="ru-RU" w:eastAsia="ru-RU" w:bidi="ru-RU"/>
        </w:rPr>
        <w:t xml:space="preserve">07.11.2019 </w:t>
      </w:r>
      <w:r>
        <w:rPr>
          <w:color w:val="000000"/>
          <w:spacing w:val="0"/>
          <w:w w:val="100"/>
          <w:position w:val="0"/>
          <w:shd w:val="clear" w:color="auto" w:fill="auto"/>
          <w:lang w:val="en-US" w:eastAsia="en-US" w:bidi="en-US"/>
        </w:rPr>
        <w:t>de „Indelco-GC” SRL.</w:t>
      </w:r>
    </w:p>
    <w:p>
      <w:pPr>
        <w:pStyle w:val="Style17"/>
        <w:keepNext w:val="0"/>
        <w:keepLines w:val="0"/>
        <w:widowControl w:val="0"/>
        <w:numPr>
          <w:ilvl w:val="0"/>
          <w:numId w:val="31"/>
        </w:numPr>
        <w:shd w:val="clear" w:color="auto" w:fill="auto"/>
        <w:tabs>
          <w:tab w:pos="658" w:val="left"/>
        </w:tabs>
        <w:bidi w:val="0"/>
        <w:spacing w:before="0" w:after="40" w:line="240" w:lineRule="auto"/>
        <w:ind w:left="0" w:right="0" w:firstLine="340"/>
        <w:jc w:val="both"/>
      </w:pPr>
      <w:r>
        <w:rPr>
          <w:color w:val="000000"/>
          <w:spacing w:val="0"/>
          <w:w w:val="100"/>
          <w:position w:val="0"/>
          <w:shd w:val="clear" w:color="auto" w:fill="auto"/>
          <w:lang w:val="en-US" w:eastAsia="en-US" w:bidi="en-US"/>
        </w:rPr>
        <w:t xml:space="preserve">Contractul incheiat cu „Saden-Gutu” II, nr. 2613/IV/2018 din </w:t>
      </w:r>
      <w:r>
        <w:rPr>
          <w:color w:val="000000"/>
          <w:spacing w:val="0"/>
          <w:w w:val="100"/>
          <w:position w:val="0"/>
          <w:shd w:val="clear" w:color="auto" w:fill="auto"/>
          <w:lang w:val="ru-RU" w:eastAsia="ru-RU" w:bidi="ru-RU"/>
        </w:rPr>
        <w:t xml:space="preserve">08.10.2018, </w:t>
      </w:r>
      <w:r>
        <w:rPr>
          <w:color w:val="000000"/>
          <w:spacing w:val="0"/>
          <w:w w:val="100"/>
          <w:position w:val="0"/>
          <w:shd w:val="clear" w:color="auto" w:fill="auto"/>
          <w:lang w:val="en-US" w:eastAsia="en-US" w:bidi="en-US"/>
        </w:rPr>
        <w:t>la suma de</w:t>
      </w:r>
    </w:p>
    <w:p>
      <w:pPr>
        <w:pStyle w:val="Style17"/>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 xml:space="preserve">381 366,6 </w:t>
      </w:r>
      <w:r>
        <w:rPr>
          <w:color w:val="000000"/>
          <w:spacing w:val="0"/>
          <w:w w:val="100"/>
          <w:position w:val="0"/>
          <w:shd w:val="clear" w:color="auto" w:fill="auto"/>
          <w:lang w:val="en-US" w:eastAsia="en-US" w:bidi="en-US"/>
        </w:rPr>
        <w:t>de lei (cu TVA). „Saden-Gutu” II nu a importat piesele respective, acestea fiind achizitionate de la „Indelco-GC” SRL (care intervine la fel ca importator).</w:t>
      </w:r>
    </w:p>
    <w:p>
      <w:pPr>
        <w:pStyle w:val="Style17"/>
        <w:keepNext w:val="0"/>
        <w:keepLines w:val="0"/>
        <w:widowControl w:val="0"/>
        <w:numPr>
          <w:ilvl w:val="0"/>
          <w:numId w:val="33"/>
        </w:numPr>
        <w:shd w:val="clear" w:color="auto" w:fill="auto"/>
        <w:tabs>
          <w:tab w:pos="695" w:val="left"/>
        </w:tabs>
        <w:bidi w:val="0"/>
        <w:spacing w:before="0" w:after="0" w:line="240" w:lineRule="auto"/>
        <w:ind w:left="0" w:right="0" w:firstLine="320"/>
        <w:jc w:val="both"/>
      </w:pPr>
      <w:r>
        <w:rPr>
          <w:color w:val="000000"/>
          <w:spacing w:val="0"/>
          <w:w w:val="100"/>
          <w:position w:val="0"/>
          <w:shd w:val="clear" w:color="auto" w:fill="auto"/>
          <w:lang w:val="en-US" w:eastAsia="en-US" w:bidi="en-US"/>
        </w:rPr>
        <w:t>Grupul de companii „BSA-IMPEX” SRL si „METVIL” SRL</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en-US" w:eastAsia="en-US" w:bidi="en-US"/>
        </w:rPr>
        <w:t xml:space="preserve">Acestea au obtinut venituri neordinare, ca furnizori principali ai pieselor de schimb pentru IS „CFM”, fiind favorizate inca din </w:t>
      </w:r>
      <w:r>
        <w:rPr>
          <w:color w:val="000000"/>
          <w:spacing w:val="0"/>
          <w:w w:val="100"/>
          <w:position w:val="0"/>
          <w:shd w:val="clear" w:color="auto" w:fill="auto"/>
          <w:lang w:val="ru-RU" w:eastAsia="ru-RU" w:bidi="ru-RU"/>
        </w:rPr>
        <w:t>2015.</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en-US" w:eastAsia="en-US" w:bidi="en-US"/>
        </w:rPr>
        <w:t xml:space="preserve">Ca exemplificari, s-a facut referinta la contractele semnate in perioada anilor </w:t>
      </w:r>
      <w:r>
        <w:rPr>
          <w:color w:val="000000"/>
          <w:spacing w:val="0"/>
          <w:w w:val="100"/>
          <w:position w:val="0"/>
          <w:shd w:val="clear" w:color="auto" w:fill="auto"/>
          <w:lang w:val="ru-RU" w:eastAsia="ru-RU" w:bidi="ru-RU"/>
        </w:rPr>
        <w:t xml:space="preserve">2018 - </w:t>
      </w:r>
      <w:r>
        <w:rPr>
          <w:color w:val="000000"/>
          <w:spacing w:val="0"/>
          <w:w w:val="100"/>
          <w:position w:val="0"/>
          <w:shd w:val="clear" w:color="auto" w:fill="auto"/>
          <w:lang w:val="en-US" w:eastAsia="en-US" w:bidi="en-US"/>
        </w:rPr>
        <w:t xml:space="preserve">august </w:t>
      </w:r>
      <w:r>
        <w:rPr>
          <w:color w:val="000000"/>
          <w:spacing w:val="0"/>
          <w:w w:val="100"/>
          <w:position w:val="0"/>
          <w:shd w:val="clear" w:color="auto" w:fill="auto"/>
          <w:lang w:val="ru-RU" w:eastAsia="ru-RU" w:bidi="ru-RU"/>
        </w:rPr>
        <w:t>2019:</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en-US" w:eastAsia="en-US" w:bidi="en-US"/>
        </w:rPr>
        <w:t>Cu „BSA-Impex” SRL:</w:t>
      </w:r>
    </w:p>
    <w:p>
      <w:pPr>
        <w:pStyle w:val="Style17"/>
        <w:keepNext w:val="0"/>
        <w:keepLines w:val="0"/>
        <w:widowControl w:val="0"/>
        <w:numPr>
          <w:ilvl w:val="0"/>
          <w:numId w:val="35"/>
        </w:numPr>
        <w:shd w:val="clear" w:color="auto" w:fill="auto"/>
        <w:tabs>
          <w:tab w:pos="811" w:val="left"/>
        </w:tabs>
        <w:bidi w:val="0"/>
        <w:spacing w:before="0" w:after="0" w:line="307" w:lineRule="auto"/>
        <w:ind w:left="0" w:right="0" w:firstLine="480"/>
        <w:jc w:val="both"/>
      </w:pPr>
      <w:r>
        <w:rPr>
          <w:color w:val="000000"/>
          <w:spacing w:val="0"/>
          <w:w w:val="100"/>
          <w:position w:val="0"/>
          <w:shd w:val="clear" w:color="auto" w:fill="auto"/>
          <w:lang w:val="en-US" w:eastAsia="en-US" w:bidi="en-US"/>
        </w:rPr>
        <w:t xml:space="preserve">nr. 2415/IV/2018 din </w:t>
      </w:r>
      <w:r>
        <w:rPr>
          <w:color w:val="000000"/>
          <w:spacing w:val="0"/>
          <w:w w:val="100"/>
          <w:position w:val="0"/>
          <w:shd w:val="clear" w:color="auto" w:fill="auto"/>
          <w:lang w:val="ru-RU" w:eastAsia="ru-RU" w:bidi="ru-RU"/>
        </w:rPr>
        <w:t xml:space="preserve">02.03.2018, </w:t>
      </w:r>
      <w:r>
        <w:rPr>
          <w:color w:val="000000"/>
          <w:spacing w:val="0"/>
          <w:w w:val="100"/>
          <w:position w:val="0"/>
          <w:shd w:val="clear" w:color="auto" w:fill="auto"/>
          <w:lang w:val="en-US" w:eastAsia="en-US" w:bidi="en-US"/>
        </w:rPr>
        <w:t xml:space="preserve">la suma de </w:t>
      </w:r>
      <w:r>
        <w:rPr>
          <w:color w:val="000000"/>
          <w:spacing w:val="0"/>
          <w:w w:val="100"/>
          <w:position w:val="0"/>
          <w:shd w:val="clear" w:color="auto" w:fill="auto"/>
          <w:lang w:val="ru-RU" w:eastAsia="ru-RU" w:bidi="ru-RU"/>
        </w:rPr>
        <w:t xml:space="preserve">81 615 </w:t>
      </w:r>
      <w:r>
        <w:rPr>
          <w:color w:val="000000"/>
          <w:spacing w:val="0"/>
          <w:w w:val="100"/>
          <w:position w:val="0"/>
          <w:shd w:val="clear" w:color="auto" w:fill="auto"/>
          <w:lang w:val="en-US" w:eastAsia="en-US" w:bidi="en-US"/>
        </w:rPr>
        <w:t>de lei (cu TVA.),</w:t>
      </w:r>
    </w:p>
    <w:p>
      <w:pPr>
        <w:pStyle w:val="Style17"/>
        <w:keepNext w:val="0"/>
        <w:keepLines w:val="0"/>
        <w:widowControl w:val="0"/>
        <w:numPr>
          <w:ilvl w:val="0"/>
          <w:numId w:val="35"/>
        </w:numPr>
        <w:shd w:val="clear" w:color="auto" w:fill="auto"/>
        <w:tabs>
          <w:tab w:pos="811" w:val="left"/>
        </w:tabs>
        <w:bidi w:val="0"/>
        <w:spacing w:before="0" w:after="0" w:line="271" w:lineRule="auto"/>
        <w:ind w:left="880" w:right="0" w:hanging="400"/>
        <w:jc w:val="both"/>
      </w:pPr>
      <w:r>
        <w:rPr>
          <w:color w:val="000000"/>
          <w:spacing w:val="0"/>
          <w:w w:val="100"/>
          <w:position w:val="0"/>
          <w:shd w:val="clear" w:color="auto" w:fill="auto"/>
          <w:lang w:val="en-US" w:eastAsia="en-US" w:bidi="en-US"/>
        </w:rPr>
        <w:t xml:space="preserve">nr. 2824/IV/2019 din </w:t>
      </w:r>
      <w:r>
        <w:rPr>
          <w:color w:val="000000"/>
          <w:spacing w:val="0"/>
          <w:w w:val="100"/>
          <w:position w:val="0"/>
          <w:shd w:val="clear" w:color="auto" w:fill="auto"/>
          <w:lang w:val="ru-RU" w:eastAsia="ru-RU" w:bidi="ru-RU"/>
        </w:rPr>
        <w:t xml:space="preserve">18.02.2019, </w:t>
      </w:r>
      <w:r>
        <w:rPr>
          <w:color w:val="000000"/>
          <w:spacing w:val="0"/>
          <w:w w:val="100"/>
          <w:position w:val="0"/>
          <w:shd w:val="clear" w:color="auto" w:fill="auto"/>
          <w:lang w:val="en-US" w:eastAsia="en-US" w:bidi="en-US"/>
        </w:rPr>
        <w:t xml:space="preserve">la suma de </w:t>
      </w:r>
      <w:r>
        <w:rPr>
          <w:color w:val="000000"/>
          <w:spacing w:val="0"/>
          <w:w w:val="100"/>
          <w:position w:val="0"/>
          <w:shd w:val="clear" w:color="auto" w:fill="auto"/>
          <w:lang w:val="ru-RU" w:eastAsia="ru-RU" w:bidi="ru-RU"/>
        </w:rPr>
        <w:t xml:space="preserve">4 569 360 </w:t>
      </w:r>
      <w:r>
        <w:rPr>
          <w:color w:val="000000"/>
          <w:spacing w:val="0"/>
          <w:w w:val="100"/>
          <w:position w:val="0"/>
          <w:shd w:val="clear" w:color="auto" w:fill="auto"/>
          <w:lang w:val="en-US" w:eastAsia="en-US" w:bidi="en-US"/>
        </w:rPr>
        <w:t xml:space="preserve">de lei, pentru procurarea pieselor pentru locomotive </w:t>
      </w:r>
      <w:r>
        <w:rPr>
          <w:color w:val="000000"/>
          <w:spacing w:val="0"/>
          <w:w w:val="100"/>
          <w:position w:val="0"/>
          <w:shd w:val="clear" w:color="auto" w:fill="auto"/>
          <w:lang w:val="ru-RU" w:eastAsia="ru-RU" w:bidi="ru-RU"/>
        </w:rPr>
        <w:t>ТЭ10;</w:t>
      </w:r>
    </w:p>
    <w:p>
      <w:pPr>
        <w:pStyle w:val="Style17"/>
        <w:keepNext w:val="0"/>
        <w:keepLines w:val="0"/>
        <w:widowControl w:val="0"/>
        <w:numPr>
          <w:ilvl w:val="0"/>
          <w:numId w:val="35"/>
        </w:numPr>
        <w:shd w:val="clear" w:color="auto" w:fill="auto"/>
        <w:tabs>
          <w:tab w:pos="811" w:val="left"/>
        </w:tabs>
        <w:bidi w:val="0"/>
        <w:spacing w:before="0" w:after="0" w:line="271" w:lineRule="auto"/>
        <w:ind w:left="880" w:right="0" w:hanging="400"/>
        <w:jc w:val="both"/>
      </w:pPr>
      <w:r>
        <w:rPr>
          <w:color w:val="000000"/>
          <w:spacing w:val="0"/>
          <w:w w:val="100"/>
          <w:position w:val="0"/>
          <w:shd w:val="clear" w:color="auto" w:fill="auto"/>
          <w:lang w:val="en-US" w:eastAsia="en-US" w:bidi="en-US"/>
        </w:rPr>
        <w:t xml:space="preserve">nr. 2823/IV/2019 din </w:t>
      </w:r>
      <w:r>
        <w:rPr>
          <w:color w:val="000000"/>
          <w:spacing w:val="0"/>
          <w:w w:val="100"/>
          <w:position w:val="0"/>
          <w:shd w:val="clear" w:color="auto" w:fill="auto"/>
          <w:lang w:val="ru-RU" w:eastAsia="ru-RU" w:bidi="ru-RU"/>
        </w:rPr>
        <w:t xml:space="preserve">18.02.2019, </w:t>
      </w:r>
      <w:r>
        <w:rPr>
          <w:color w:val="000000"/>
          <w:spacing w:val="0"/>
          <w:w w:val="100"/>
          <w:position w:val="0"/>
          <w:shd w:val="clear" w:color="auto" w:fill="auto"/>
          <w:lang w:val="en-US" w:eastAsia="en-US" w:bidi="en-US"/>
        </w:rPr>
        <w:t xml:space="preserve">la suma de </w:t>
      </w:r>
      <w:r>
        <w:rPr>
          <w:color w:val="000000"/>
          <w:spacing w:val="0"/>
          <w:w w:val="100"/>
          <w:position w:val="0"/>
          <w:shd w:val="clear" w:color="auto" w:fill="auto"/>
          <w:lang w:val="ru-RU" w:eastAsia="ru-RU" w:bidi="ru-RU"/>
        </w:rPr>
        <w:t xml:space="preserve">2 499 543 </w:t>
      </w:r>
      <w:r>
        <w:rPr>
          <w:color w:val="000000"/>
          <w:spacing w:val="0"/>
          <w:w w:val="100"/>
          <w:position w:val="0"/>
          <w:shd w:val="clear" w:color="auto" w:fill="auto"/>
          <w:lang w:val="en-US" w:eastAsia="en-US" w:bidi="en-US"/>
        </w:rPr>
        <w:t>de lei, pentru procurarea placilor cu densitate sporita;</w:t>
      </w:r>
    </w:p>
    <w:p>
      <w:pPr>
        <w:pStyle w:val="Style17"/>
        <w:keepNext w:val="0"/>
        <w:keepLines w:val="0"/>
        <w:widowControl w:val="0"/>
        <w:numPr>
          <w:ilvl w:val="0"/>
          <w:numId w:val="35"/>
        </w:numPr>
        <w:shd w:val="clear" w:color="auto" w:fill="auto"/>
        <w:tabs>
          <w:tab w:pos="811" w:val="left"/>
        </w:tabs>
        <w:bidi w:val="0"/>
        <w:spacing w:before="0" w:after="0" w:line="271" w:lineRule="auto"/>
        <w:ind w:left="880" w:right="0" w:hanging="400"/>
        <w:jc w:val="both"/>
      </w:pPr>
      <w:r>
        <w:rPr>
          <w:color w:val="000000"/>
          <w:spacing w:val="0"/>
          <w:w w:val="100"/>
          <w:position w:val="0"/>
          <w:shd w:val="clear" w:color="auto" w:fill="auto"/>
          <w:lang w:val="en-US" w:eastAsia="en-US" w:bidi="en-US"/>
        </w:rPr>
        <w:t xml:space="preserve">nr. 2877/IV/2019 din </w:t>
      </w:r>
      <w:r>
        <w:rPr>
          <w:color w:val="000000"/>
          <w:spacing w:val="0"/>
          <w:w w:val="100"/>
          <w:position w:val="0"/>
          <w:shd w:val="clear" w:color="auto" w:fill="auto"/>
          <w:lang w:val="ru-RU" w:eastAsia="ru-RU" w:bidi="ru-RU"/>
        </w:rPr>
        <w:t xml:space="preserve">14.03.2019, </w:t>
      </w:r>
      <w:r>
        <w:rPr>
          <w:color w:val="000000"/>
          <w:spacing w:val="0"/>
          <w:w w:val="100"/>
          <w:position w:val="0"/>
          <w:shd w:val="clear" w:color="auto" w:fill="auto"/>
          <w:lang w:val="en-US" w:eastAsia="en-US" w:bidi="en-US"/>
        </w:rPr>
        <w:t xml:space="preserve">la suma de </w:t>
      </w:r>
      <w:r>
        <w:rPr>
          <w:color w:val="000000"/>
          <w:spacing w:val="0"/>
          <w:w w:val="100"/>
          <w:position w:val="0"/>
          <w:shd w:val="clear" w:color="auto" w:fill="auto"/>
          <w:lang w:val="ru-RU" w:eastAsia="ru-RU" w:bidi="ru-RU"/>
        </w:rPr>
        <w:t xml:space="preserve">1 985 373 </w:t>
      </w:r>
      <w:r>
        <w:rPr>
          <w:color w:val="000000"/>
          <w:spacing w:val="0"/>
          <w:w w:val="100"/>
          <w:position w:val="0"/>
          <w:shd w:val="clear" w:color="auto" w:fill="auto"/>
          <w:lang w:val="en-US" w:eastAsia="en-US" w:bidi="en-US"/>
        </w:rPr>
        <w:t>de lei, pentru procurarea pieselor pentru locomotive;</w:t>
      </w:r>
    </w:p>
    <w:p>
      <w:pPr>
        <w:pStyle w:val="Style17"/>
        <w:keepNext w:val="0"/>
        <w:keepLines w:val="0"/>
        <w:widowControl w:val="0"/>
        <w:numPr>
          <w:ilvl w:val="0"/>
          <w:numId w:val="35"/>
        </w:numPr>
        <w:shd w:val="clear" w:color="auto" w:fill="auto"/>
        <w:tabs>
          <w:tab w:pos="811" w:val="left"/>
        </w:tabs>
        <w:bidi w:val="0"/>
        <w:spacing w:before="0" w:after="0" w:line="271" w:lineRule="auto"/>
        <w:ind w:left="880" w:right="0" w:hanging="400"/>
        <w:jc w:val="both"/>
      </w:pPr>
      <w:r>
        <w:rPr>
          <w:color w:val="000000"/>
          <w:spacing w:val="0"/>
          <w:w w:val="100"/>
          <w:position w:val="0"/>
          <w:shd w:val="clear" w:color="auto" w:fill="auto"/>
          <w:lang w:val="en-US" w:eastAsia="en-US" w:bidi="en-US"/>
        </w:rPr>
        <w:t xml:space="preserve">nr. 2954/IV/2019 din </w:t>
      </w:r>
      <w:r>
        <w:rPr>
          <w:color w:val="000000"/>
          <w:spacing w:val="0"/>
          <w:w w:val="100"/>
          <w:position w:val="0"/>
          <w:shd w:val="clear" w:color="auto" w:fill="auto"/>
          <w:lang w:val="ru-RU" w:eastAsia="ru-RU" w:bidi="ru-RU"/>
        </w:rPr>
        <w:t xml:space="preserve">17.04.2019, </w:t>
      </w:r>
      <w:r>
        <w:rPr>
          <w:color w:val="000000"/>
          <w:spacing w:val="0"/>
          <w:w w:val="100"/>
          <w:position w:val="0"/>
          <w:shd w:val="clear" w:color="auto" w:fill="auto"/>
          <w:lang w:val="en-US" w:eastAsia="en-US" w:bidi="en-US"/>
        </w:rPr>
        <w:t xml:space="preserve">la suma de </w:t>
      </w:r>
      <w:r>
        <w:rPr>
          <w:color w:val="000000"/>
          <w:spacing w:val="0"/>
          <w:w w:val="100"/>
          <w:position w:val="0"/>
          <w:shd w:val="clear" w:color="auto" w:fill="auto"/>
          <w:lang w:val="ru-RU" w:eastAsia="ru-RU" w:bidi="ru-RU"/>
        </w:rPr>
        <w:t xml:space="preserve">1 284 075 </w:t>
      </w:r>
      <w:r>
        <w:rPr>
          <w:color w:val="000000"/>
          <w:spacing w:val="0"/>
          <w:w w:val="100"/>
          <w:position w:val="0"/>
          <w:shd w:val="clear" w:color="auto" w:fill="auto"/>
          <w:lang w:val="en-US" w:eastAsia="en-US" w:bidi="en-US"/>
        </w:rPr>
        <w:t>de lei, pentru procurarea pieselor pentru vagoane;</w:t>
      </w:r>
    </w:p>
    <w:p>
      <w:pPr>
        <w:pStyle w:val="Style17"/>
        <w:keepNext w:val="0"/>
        <w:keepLines w:val="0"/>
        <w:widowControl w:val="0"/>
        <w:numPr>
          <w:ilvl w:val="0"/>
          <w:numId w:val="35"/>
        </w:numPr>
        <w:shd w:val="clear" w:color="auto" w:fill="auto"/>
        <w:tabs>
          <w:tab w:pos="1028" w:val="left"/>
        </w:tabs>
        <w:bidi w:val="0"/>
        <w:spacing w:before="0" w:after="0" w:line="271" w:lineRule="auto"/>
        <w:ind w:left="0" w:right="0" w:firstLine="740"/>
        <w:jc w:val="both"/>
      </w:pPr>
      <w:r>
        <w:rPr>
          <w:color w:val="000000"/>
          <w:spacing w:val="0"/>
          <w:w w:val="100"/>
          <w:position w:val="0"/>
          <w:shd w:val="clear" w:color="auto" w:fill="auto"/>
          <w:lang w:val="en-US" w:eastAsia="en-US" w:bidi="en-US"/>
        </w:rPr>
        <w:t xml:space="preserve">nr. 2968/IV/2019 din </w:t>
      </w:r>
      <w:r>
        <w:rPr>
          <w:color w:val="000000"/>
          <w:spacing w:val="0"/>
          <w:w w:val="100"/>
          <w:position w:val="0"/>
          <w:shd w:val="clear" w:color="auto" w:fill="auto"/>
          <w:lang w:val="ru-RU" w:eastAsia="ru-RU" w:bidi="ru-RU"/>
        </w:rPr>
        <w:t xml:space="preserve">03.05.2019, </w:t>
      </w:r>
      <w:r>
        <w:rPr>
          <w:color w:val="000000"/>
          <w:spacing w:val="0"/>
          <w:w w:val="100"/>
          <w:position w:val="0"/>
          <w:shd w:val="clear" w:color="auto" w:fill="auto"/>
          <w:lang w:val="en-US" w:eastAsia="en-US" w:bidi="en-US"/>
        </w:rPr>
        <w:t xml:space="preserve">la suma de </w:t>
      </w:r>
      <w:r>
        <w:rPr>
          <w:color w:val="000000"/>
          <w:spacing w:val="0"/>
          <w:w w:val="100"/>
          <w:position w:val="0"/>
          <w:shd w:val="clear" w:color="auto" w:fill="auto"/>
          <w:lang w:val="ru-RU" w:eastAsia="ru-RU" w:bidi="ru-RU"/>
        </w:rPr>
        <w:t xml:space="preserve">1 263 839 </w:t>
      </w:r>
      <w:r>
        <w:rPr>
          <w:color w:val="000000"/>
          <w:spacing w:val="0"/>
          <w:w w:val="100"/>
          <w:position w:val="0"/>
          <w:shd w:val="clear" w:color="auto" w:fill="auto"/>
          <w:lang w:val="en-US" w:eastAsia="en-US" w:bidi="en-US"/>
        </w:rPr>
        <w:t>de lei, pentru procurarea pieselor pentru locomotive diesel Dl;</w:t>
      </w:r>
    </w:p>
    <w:p>
      <w:pPr>
        <w:pStyle w:val="Style17"/>
        <w:keepNext w:val="0"/>
        <w:keepLines w:val="0"/>
        <w:widowControl w:val="0"/>
        <w:numPr>
          <w:ilvl w:val="0"/>
          <w:numId w:val="35"/>
        </w:numPr>
        <w:shd w:val="clear" w:color="auto" w:fill="auto"/>
        <w:tabs>
          <w:tab w:pos="811" w:val="left"/>
        </w:tabs>
        <w:bidi w:val="0"/>
        <w:spacing w:before="0" w:after="0" w:line="271" w:lineRule="auto"/>
        <w:ind w:left="880" w:right="0" w:hanging="400"/>
        <w:jc w:val="both"/>
      </w:pPr>
      <w:r>
        <w:rPr>
          <w:color w:val="000000"/>
          <w:spacing w:val="0"/>
          <w:w w:val="100"/>
          <w:position w:val="0"/>
          <w:shd w:val="clear" w:color="auto" w:fill="auto"/>
          <w:lang w:val="en-US" w:eastAsia="en-US" w:bidi="en-US"/>
        </w:rPr>
        <w:t xml:space="preserve">nr. 3003/IV/2019 din </w:t>
      </w:r>
      <w:r>
        <w:rPr>
          <w:color w:val="000000"/>
          <w:spacing w:val="0"/>
          <w:w w:val="100"/>
          <w:position w:val="0"/>
          <w:shd w:val="clear" w:color="auto" w:fill="auto"/>
          <w:lang w:val="ru-RU" w:eastAsia="ru-RU" w:bidi="ru-RU"/>
        </w:rPr>
        <w:t xml:space="preserve">06.06.2019, </w:t>
      </w:r>
      <w:r>
        <w:rPr>
          <w:color w:val="000000"/>
          <w:spacing w:val="0"/>
          <w:w w:val="100"/>
          <w:position w:val="0"/>
          <w:shd w:val="clear" w:color="auto" w:fill="auto"/>
          <w:lang w:val="en-US" w:eastAsia="en-US" w:bidi="en-US"/>
        </w:rPr>
        <w:t xml:space="preserve">la suma de </w:t>
      </w:r>
      <w:r>
        <w:rPr>
          <w:color w:val="000000"/>
          <w:spacing w:val="0"/>
          <w:w w:val="100"/>
          <w:position w:val="0"/>
          <w:shd w:val="clear" w:color="auto" w:fill="auto"/>
          <w:lang w:val="ru-RU" w:eastAsia="ru-RU" w:bidi="ru-RU"/>
        </w:rPr>
        <w:t xml:space="preserve">918 180 </w:t>
      </w:r>
      <w:r>
        <w:rPr>
          <w:color w:val="000000"/>
          <w:spacing w:val="0"/>
          <w:w w:val="100"/>
          <w:position w:val="0"/>
          <w:shd w:val="clear" w:color="auto" w:fill="auto"/>
          <w:lang w:val="en-US" w:eastAsia="en-US" w:bidi="en-US"/>
        </w:rPr>
        <w:t>de lei, pentru procurarea pieselor de schimb.</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en-US" w:eastAsia="en-US" w:bidi="en-US"/>
        </w:rPr>
        <w:t>Exemplificare:</w:t>
      </w:r>
    </w:p>
    <w:p>
      <w:pPr>
        <w:pStyle w:val="Style17"/>
        <w:keepNext w:val="0"/>
        <w:keepLines w:val="0"/>
        <w:widowControl w:val="0"/>
        <w:numPr>
          <w:ilvl w:val="0"/>
          <w:numId w:val="37"/>
        </w:numPr>
        <w:shd w:val="clear" w:color="auto" w:fill="auto"/>
        <w:tabs>
          <w:tab w:pos="811" w:val="left"/>
        </w:tabs>
        <w:bidi w:val="0"/>
        <w:spacing w:before="0" w:after="0" w:line="240" w:lineRule="auto"/>
        <w:ind w:left="0" w:right="0" w:firstLine="340"/>
        <w:jc w:val="both"/>
      </w:pPr>
      <w:r>
        <w:rPr>
          <w:color w:val="000000"/>
          <w:spacing w:val="0"/>
          <w:w w:val="100"/>
          <w:position w:val="0"/>
          <w:shd w:val="clear" w:color="auto" w:fill="auto"/>
          <w:lang w:val="en-US" w:eastAsia="en-US" w:bidi="en-US"/>
        </w:rPr>
        <w:t xml:space="preserve">Specificatia bunurilor livrate, conform contractului nr. 2415/IV/2018, in raport cu importurile acestora operate de „BSA-Impex” SRL, evidentiaza caracterul supraevaluat cu </w:t>
      </w:r>
      <w:r>
        <w:rPr>
          <w:color w:val="000000"/>
          <w:spacing w:val="0"/>
          <w:w w:val="100"/>
          <w:position w:val="0"/>
          <w:shd w:val="clear" w:color="auto" w:fill="auto"/>
          <w:lang w:val="ru-RU" w:eastAsia="ru-RU" w:bidi="ru-RU"/>
        </w:rPr>
        <w:t xml:space="preserve">300% </w:t>
      </w:r>
      <w:r>
        <w:rPr>
          <w:color w:val="000000"/>
          <w:spacing w:val="0"/>
          <w:w w:val="100"/>
          <w:position w:val="0"/>
          <w:shd w:val="clear" w:color="auto" w:fill="auto"/>
          <w:lang w:val="en-US" w:eastAsia="en-US" w:bidi="en-US"/>
        </w:rPr>
        <w:t xml:space="preserve">al preturilor achitate IS „CFM” pentru: </w:t>
      </w:r>
      <w:r>
        <w:rPr>
          <w:color w:val="000000"/>
          <w:spacing w:val="0"/>
          <w:w w:val="100"/>
          <w:position w:val="0"/>
          <w:shd w:val="clear" w:color="auto" w:fill="auto"/>
          <w:lang w:val="ru-RU" w:eastAsia="ru-RU" w:bidi="ru-RU"/>
        </w:rPr>
        <w:t xml:space="preserve">Вкладыш коренного подшипника Д100.02.137, Д100.02.138 </w:t>
      </w:r>
      <w:r>
        <w:rPr>
          <w:color w:val="000000"/>
          <w:spacing w:val="0"/>
          <w:w w:val="100"/>
          <w:position w:val="0"/>
          <w:shd w:val="clear" w:color="auto" w:fill="auto"/>
          <w:lang w:val="en-US" w:eastAsia="en-US" w:bidi="en-US"/>
        </w:rPr>
        <w:t xml:space="preserve">sau </w:t>
      </w:r>
      <w:r>
        <w:rPr>
          <w:color w:val="000000"/>
          <w:spacing w:val="0"/>
          <w:w w:val="100"/>
          <w:position w:val="0"/>
          <w:shd w:val="clear" w:color="auto" w:fill="auto"/>
          <w:lang w:val="ru-RU" w:eastAsia="ru-RU" w:bidi="ru-RU"/>
        </w:rPr>
        <w:t xml:space="preserve">Д100.02.139, </w:t>
      </w:r>
      <w:r>
        <w:rPr>
          <w:color w:val="000000"/>
          <w:spacing w:val="0"/>
          <w:w w:val="100"/>
          <w:position w:val="0"/>
          <w:shd w:val="clear" w:color="auto" w:fill="auto"/>
          <w:lang w:val="en-US" w:eastAsia="en-US" w:bidi="en-US"/>
        </w:rPr>
        <w:t xml:space="preserve">care constituie </w:t>
      </w:r>
      <w:r>
        <w:rPr>
          <w:color w:val="000000"/>
          <w:spacing w:val="0"/>
          <w:w w:val="100"/>
          <w:position w:val="0"/>
          <w:shd w:val="clear" w:color="auto" w:fill="auto"/>
          <w:lang w:val="ru-RU" w:eastAsia="ru-RU" w:bidi="ru-RU"/>
        </w:rPr>
        <w:t xml:space="preserve">2784 </w:t>
      </w:r>
      <w:r>
        <w:rPr>
          <w:color w:val="000000"/>
          <w:spacing w:val="0"/>
          <w:w w:val="100"/>
          <w:position w:val="0"/>
          <w:shd w:val="clear" w:color="auto" w:fill="auto"/>
          <w:lang w:val="en-US" w:eastAsia="en-US" w:bidi="en-US"/>
        </w:rPr>
        <w:t xml:space="preserve">lei/unit., </w:t>
      </w:r>
      <w:r>
        <w:rPr>
          <w:color w:val="000000"/>
          <w:spacing w:val="0"/>
          <w:w w:val="100"/>
          <w:position w:val="0"/>
          <w:shd w:val="clear" w:color="auto" w:fill="auto"/>
          <w:lang w:val="ru-RU" w:eastAsia="ru-RU" w:bidi="ru-RU"/>
        </w:rPr>
        <w:t xml:space="preserve">2838 </w:t>
      </w:r>
      <w:r>
        <w:rPr>
          <w:color w:val="000000"/>
          <w:spacing w:val="0"/>
          <w:w w:val="100"/>
          <w:position w:val="0"/>
          <w:shd w:val="clear" w:color="auto" w:fill="auto"/>
          <w:lang w:val="en-US" w:eastAsia="en-US" w:bidi="en-US"/>
        </w:rPr>
        <w:t xml:space="preserve">lei/unit. si </w:t>
      </w:r>
      <w:r>
        <w:rPr>
          <w:color w:val="000000"/>
          <w:spacing w:val="0"/>
          <w:w w:val="100"/>
          <w:position w:val="0"/>
          <w:shd w:val="clear" w:color="auto" w:fill="auto"/>
          <w:lang w:val="ru-RU" w:eastAsia="ru-RU" w:bidi="ru-RU"/>
        </w:rPr>
        <w:t xml:space="preserve">2874 </w:t>
      </w:r>
      <w:r>
        <w:rPr>
          <w:color w:val="000000"/>
          <w:spacing w:val="0"/>
          <w:w w:val="100"/>
          <w:position w:val="0"/>
          <w:shd w:val="clear" w:color="auto" w:fill="auto"/>
          <w:lang w:val="en-US" w:eastAsia="en-US" w:bidi="en-US"/>
        </w:rPr>
        <w:t xml:space="preserve">lei/unit, respectiv. Valoarea medie statistica a unei unitati de piesa, la import, a constituit cca. </w:t>
      </w:r>
      <w:r>
        <w:rPr>
          <w:color w:val="000000"/>
          <w:spacing w:val="0"/>
          <w:w w:val="100"/>
          <w:position w:val="0"/>
          <w:shd w:val="clear" w:color="auto" w:fill="auto"/>
          <w:lang w:val="ru-RU" w:eastAsia="ru-RU" w:bidi="ru-RU"/>
        </w:rPr>
        <w:t xml:space="preserve">943 </w:t>
      </w:r>
      <w:r>
        <w:rPr>
          <w:color w:val="000000"/>
          <w:spacing w:val="0"/>
          <w:w w:val="100"/>
          <w:position w:val="0"/>
          <w:shd w:val="clear" w:color="auto" w:fill="auto"/>
          <w:lang w:val="en-US" w:eastAsia="en-US" w:bidi="en-US"/>
        </w:rPr>
        <w:t xml:space="preserve">de lei (la situatia din </w:t>
      </w:r>
      <w:r>
        <w:rPr>
          <w:color w:val="000000"/>
          <w:spacing w:val="0"/>
          <w:w w:val="100"/>
          <w:position w:val="0"/>
          <w:shd w:val="clear" w:color="auto" w:fill="auto"/>
          <w:lang w:val="ru-RU" w:eastAsia="ru-RU" w:bidi="ru-RU"/>
        </w:rPr>
        <w:t>19.04.2018).</w:t>
      </w:r>
    </w:p>
    <w:p>
      <w:pPr>
        <w:pStyle w:val="Style17"/>
        <w:keepNext w:val="0"/>
        <w:keepLines w:val="0"/>
        <w:widowControl w:val="0"/>
        <w:numPr>
          <w:ilvl w:val="0"/>
          <w:numId w:val="37"/>
        </w:numPr>
        <w:shd w:val="clear" w:color="auto" w:fill="auto"/>
        <w:tabs>
          <w:tab w:pos="811" w:val="left"/>
        </w:tabs>
        <w:bidi w:val="0"/>
        <w:spacing w:before="0" w:after="0" w:line="240" w:lineRule="auto"/>
        <w:ind w:left="0" w:right="0" w:firstLine="340"/>
        <w:jc w:val="both"/>
      </w:pPr>
      <w:r>
        <w:rPr>
          <w:color w:val="000000"/>
          <w:spacing w:val="0"/>
          <w:w w:val="100"/>
          <w:position w:val="0"/>
          <w:shd w:val="clear" w:color="auto" w:fill="auto"/>
          <w:lang w:val="en-US" w:eastAsia="en-US" w:bidi="en-US"/>
        </w:rPr>
        <w:t xml:space="preserve">Specificatia bunurilor din anexa nr.l la contractul nr. 2824/IV/2019, in raport cu importurile efectuate de „BSA-Impex” SRL, denota ca IS „CFM” a achitat un cost majorat cu cca. </w:t>
      </w:r>
      <w:r>
        <w:rPr>
          <w:color w:val="000000"/>
          <w:spacing w:val="0"/>
          <w:w w:val="100"/>
          <w:position w:val="0"/>
          <w:shd w:val="clear" w:color="auto" w:fill="auto"/>
          <w:lang w:val="ru-RU" w:eastAsia="ru-RU" w:bidi="ru-RU"/>
        </w:rPr>
        <w:t xml:space="preserve">200%, </w:t>
      </w:r>
      <w:r>
        <w:rPr>
          <w:color w:val="000000"/>
          <w:spacing w:val="0"/>
          <w:w w:val="100"/>
          <w:position w:val="0"/>
          <w:shd w:val="clear" w:color="auto" w:fill="auto"/>
          <w:lang w:val="en-US" w:eastAsia="en-US" w:bidi="en-US"/>
        </w:rPr>
        <w:t xml:space="preserve">pentru piesele </w:t>
      </w:r>
      <w:r>
        <w:rPr>
          <w:color w:val="000000"/>
          <w:spacing w:val="0"/>
          <w:w w:val="100"/>
          <w:position w:val="0"/>
          <w:shd w:val="clear" w:color="auto" w:fill="auto"/>
          <w:lang w:val="ru-RU" w:eastAsia="ru-RU" w:bidi="ru-RU"/>
        </w:rPr>
        <w:t xml:space="preserve">Элемент упругий У300.30.55.016 </w:t>
      </w:r>
      <w:r>
        <w:rPr>
          <w:color w:val="000000"/>
          <w:spacing w:val="0"/>
          <w:w w:val="100"/>
          <w:position w:val="0"/>
          <w:shd w:val="clear" w:color="auto" w:fill="auto"/>
          <w:lang w:val="en-US" w:eastAsia="en-US" w:bidi="en-US"/>
        </w:rPr>
        <w:t xml:space="preserve">si </w:t>
      </w:r>
      <w:r>
        <w:rPr>
          <w:color w:val="000000"/>
          <w:spacing w:val="0"/>
          <w:w w:val="100"/>
          <w:position w:val="0"/>
          <w:shd w:val="clear" w:color="auto" w:fill="auto"/>
          <w:lang w:val="ru-RU" w:eastAsia="ru-RU" w:bidi="ru-RU"/>
        </w:rPr>
        <w:t xml:space="preserve">Элемент упругий У300.30.55.017, </w:t>
      </w:r>
      <w:r>
        <w:rPr>
          <w:color w:val="000000"/>
          <w:spacing w:val="0"/>
          <w:w w:val="100"/>
          <w:position w:val="0"/>
          <w:shd w:val="clear" w:color="auto" w:fill="auto"/>
          <w:lang w:val="en-US" w:eastAsia="en-US" w:bidi="en-US"/>
        </w:rPr>
        <w:t xml:space="preserve">de </w:t>
      </w:r>
      <w:r>
        <w:rPr>
          <w:color w:val="000000"/>
          <w:spacing w:val="0"/>
          <w:w w:val="100"/>
          <w:position w:val="0"/>
          <w:shd w:val="clear" w:color="auto" w:fill="auto"/>
          <w:lang w:val="ru-RU" w:eastAsia="ru-RU" w:bidi="ru-RU"/>
        </w:rPr>
        <w:t xml:space="preserve">1 380 </w:t>
      </w:r>
      <w:r>
        <w:rPr>
          <w:color w:val="000000"/>
          <w:spacing w:val="0"/>
          <w:w w:val="100"/>
          <w:position w:val="0"/>
          <w:shd w:val="clear" w:color="auto" w:fill="auto"/>
          <w:lang w:val="en-US" w:eastAsia="en-US" w:bidi="en-US"/>
        </w:rPr>
        <w:t xml:space="preserve">lei/unit. si respectiv de </w:t>
      </w:r>
      <w:r>
        <w:rPr>
          <w:color w:val="000000"/>
          <w:spacing w:val="0"/>
          <w:w w:val="100"/>
          <w:position w:val="0"/>
          <w:shd w:val="clear" w:color="auto" w:fill="auto"/>
          <w:lang w:val="ru-RU" w:eastAsia="ru-RU" w:bidi="ru-RU"/>
        </w:rPr>
        <w:t xml:space="preserve">1365 </w:t>
      </w:r>
      <w:r>
        <w:rPr>
          <w:color w:val="000000"/>
          <w:spacing w:val="0"/>
          <w:w w:val="100"/>
          <w:position w:val="0"/>
          <w:shd w:val="clear" w:color="auto" w:fill="auto"/>
          <w:lang w:val="en-US" w:eastAsia="en-US" w:bidi="en-US"/>
        </w:rPr>
        <w:t xml:space="preserve">lei/unit. Valoarea statistica a unei unitati de piesa la import (la </w:t>
      </w:r>
      <w:r>
        <w:rPr>
          <w:color w:val="000000"/>
          <w:spacing w:val="0"/>
          <w:w w:val="100"/>
          <w:position w:val="0"/>
          <w:shd w:val="clear" w:color="auto" w:fill="auto"/>
          <w:lang w:val="ru-RU" w:eastAsia="ru-RU" w:bidi="ru-RU"/>
        </w:rPr>
        <w:t xml:space="preserve">01.02.2019), </w:t>
      </w:r>
      <w:r>
        <w:rPr>
          <w:color w:val="000000"/>
          <w:spacing w:val="0"/>
          <w:w w:val="100"/>
          <w:position w:val="0"/>
          <w:shd w:val="clear" w:color="auto" w:fill="auto"/>
          <w:lang w:val="en-US" w:eastAsia="en-US" w:bidi="en-US"/>
        </w:rPr>
        <w:t xml:space="preserve">in medie a constituit cca. </w:t>
      </w:r>
      <w:r>
        <w:rPr>
          <w:color w:val="000000"/>
          <w:spacing w:val="0"/>
          <w:w w:val="100"/>
          <w:position w:val="0"/>
          <w:shd w:val="clear" w:color="auto" w:fill="auto"/>
          <w:lang w:val="ru-RU" w:eastAsia="ru-RU" w:bidi="ru-RU"/>
        </w:rPr>
        <w:t xml:space="preserve">622 </w:t>
      </w:r>
      <w:r>
        <w:rPr>
          <w:color w:val="000000"/>
          <w:spacing w:val="0"/>
          <w:w w:val="100"/>
          <w:position w:val="0"/>
          <w:shd w:val="clear" w:color="auto" w:fill="auto"/>
          <w:lang w:val="en-US" w:eastAsia="en-US" w:bidi="en-US"/>
        </w:rPr>
        <w:t>de lei.</w:t>
      </w:r>
    </w:p>
    <w:p>
      <w:pPr>
        <w:pStyle w:val="Style17"/>
        <w:keepNext w:val="0"/>
        <w:keepLines w:val="0"/>
        <w:widowControl w:val="0"/>
        <w:numPr>
          <w:ilvl w:val="0"/>
          <w:numId w:val="37"/>
        </w:numPr>
        <w:shd w:val="clear" w:color="auto" w:fill="auto"/>
        <w:tabs>
          <w:tab w:pos="811" w:val="left"/>
        </w:tabs>
        <w:bidi w:val="0"/>
        <w:spacing w:before="0" w:after="0" w:line="240" w:lineRule="auto"/>
        <w:ind w:left="0" w:right="0" w:firstLine="340"/>
        <w:jc w:val="both"/>
      </w:pPr>
      <w:r>
        <w:rPr>
          <w:color w:val="000000"/>
          <w:spacing w:val="0"/>
          <w:w w:val="100"/>
          <w:position w:val="0"/>
          <w:shd w:val="clear" w:color="auto" w:fill="auto"/>
          <w:lang w:val="en-US" w:eastAsia="en-US" w:bidi="en-US"/>
        </w:rPr>
        <w:t xml:space="preserve">Specificatia bunurilor livrate din anexa nr.l la contractul nr. 2823/IV/2019 in comparatie cu importurile efectuate de „BSA-Impex” SRL, evidentiaza un adaos de </w:t>
      </w:r>
      <w:r>
        <w:rPr>
          <w:color w:val="000000"/>
          <w:spacing w:val="0"/>
          <w:w w:val="100"/>
          <w:position w:val="0"/>
          <w:shd w:val="clear" w:color="auto" w:fill="auto"/>
          <w:lang w:val="ru-RU" w:eastAsia="ru-RU" w:bidi="ru-RU"/>
        </w:rPr>
        <w:t xml:space="preserve">100%. </w:t>
      </w:r>
      <w:r>
        <w:rPr>
          <w:color w:val="000000"/>
          <w:spacing w:val="0"/>
          <w:w w:val="100"/>
          <w:position w:val="0"/>
          <w:shd w:val="clear" w:color="auto" w:fill="auto"/>
          <w:lang w:val="en-US" w:eastAsia="en-US" w:bidi="en-US"/>
        </w:rPr>
        <w:t xml:space="preserve">Astfel, IS „CFM” a achitat pentru </w:t>
      </w:r>
      <w:r>
        <w:rPr>
          <w:color w:val="000000"/>
          <w:spacing w:val="0"/>
          <w:w w:val="100"/>
          <w:position w:val="0"/>
          <w:shd w:val="clear" w:color="auto" w:fill="auto"/>
          <w:lang w:val="ru-RU" w:eastAsia="ru-RU" w:bidi="ru-RU"/>
        </w:rPr>
        <w:t xml:space="preserve">Пластина </w:t>
      </w:r>
      <w:r>
        <w:rPr>
          <w:color w:val="000000"/>
          <w:spacing w:val="0"/>
          <w:w w:val="100"/>
          <w:position w:val="0"/>
          <w:shd w:val="clear" w:color="auto" w:fill="auto"/>
          <w:lang w:val="en-US" w:eastAsia="en-US" w:bidi="en-US"/>
        </w:rPr>
        <w:t xml:space="preserve">KC-25 </w:t>
      </w:r>
      <w:r>
        <w:rPr>
          <w:color w:val="000000"/>
          <w:spacing w:val="0"/>
          <w:w w:val="100"/>
          <w:position w:val="0"/>
          <w:shd w:val="clear" w:color="auto" w:fill="auto"/>
          <w:lang w:val="ru-RU" w:eastAsia="ru-RU" w:bidi="ru-RU"/>
        </w:rPr>
        <w:t xml:space="preserve">(35) </w:t>
      </w:r>
      <w:r>
        <w:rPr>
          <w:color w:val="000000"/>
          <w:spacing w:val="0"/>
          <w:w w:val="100"/>
          <w:position w:val="0"/>
          <w:shd w:val="clear" w:color="auto" w:fill="auto"/>
          <w:lang w:val="en-US" w:eastAsia="en-US" w:bidi="en-US"/>
        </w:rPr>
        <w:t xml:space="preserve">LNUX 301940TN02, RPUX 3010MOTN, BNUX 201540TN sau TNUN 381060TN </w:t>
      </w:r>
      <w:r>
        <w:rPr>
          <w:color w:val="000000"/>
          <w:spacing w:val="0"/>
          <w:w w:val="100"/>
          <w:position w:val="0"/>
          <w:shd w:val="clear" w:color="auto" w:fill="auto"/>
          <w:lang w:val="ru-RU" w:eastAsia="ru-RU" w:bidi="ru-RU"/>
        </w:rPr>
        <w:t xml:space="preserve">- 669 </w:t>
      </w:r>
      <w:r>
        <w:rPr>
          <w:color w:val="000000"/>
          <w:spacing w:val="0"/>
          <w:w w:val="100"/>
          <w:position w:val="0"/>
          <w:shd w:val="clear" w:color="auto" w:fill="auto"/>
          <w:lang w:val="en-US" w:eastAsia="en-US" w:bidi="en-US"/>
        </w:rPr>
        <w:t xml:space="preserve">lei, </w:t>
      </w:r>
      <w:r>
        <w:rPr>
          <w:color w:val="000000"/>
          <w:spacing w:val="0"/>
          <w:w w:val="100"/>
          <w:position w:val="0"/>
          <w:shd w:val="clear" w:color="auto" w:fill="auto"/>
          <w:lang w:val="ru-RU" w:eastAsia="ru-RU" w:bidi="ru-RU"/>
        </w:rPr>
        <w:t xml:space="preserve">552 </w:t>
      </w:r>
      <w:r>
        <w:rPr>
          <w:color w:val="000000"/>
          <w:spacing w:val="0"/>
          <w:w w:val="100"/>
          <w:position w:val="0"/>
          <w:shd w:val="clear" w:color="auto" w:fill="auto"/>
          <w:lang w:val="en-US" w:eastAsia="en-US" w:bidi="en-US"/>
        </w:rPr>
        <w:t xml:space="preserve">lei, </w:t>
      </w:r>
      <w:r>
        <w:rPr>
          <w:color w:val="000000"/>
          <w:spacing w:val="0"/>
          <w:w w:val="100"/>
          <w:position w:val="0"/>
          <w:shd w:val="clear" w:color="auto" w:fill="auto"/>
          <w:lang w:val="ru-RU" w:eastAsia="ru-RU" w:bidi="ru-RU"/>
        </w:rPr>
        <w:t xml:space="preserve">705 </w:t>
      </w:r>
      <w:r>
        <w:rPr>
          <w:color w:val="000000"/>
          <w:spacing w:val="0"/>
          <w:w w:val="100"/>
          <w:position w:val="0"/>
          <w:shd w:val="clear" w:color="auto" w:fill="auto"/>
          <w:lang w:val="en-US" w:eastAsia="en-US" w:bidi="en-US"/>
        </w:rPr>
        <w:t xml:space="preserve">lei, </w:t>
      </w:r>
      <w:r>
        <w:rPr>
          <w:color w:val="000000"/>
          <w:spacing w:val="0"/>
          <w:w w:val="100"/>
          <w:position w:val="0"/>
          <w:shd w:val="clear" w:color="auto" w:fill="auto"/>
          <w:lang w:val="ru-RU" w:eastAsia="ru-RU" w:bidi="ru-RU"/>
        </w:rPr>
        <w:t xml:space="preserve">438 </w:t>
      </w:r>
      <w:r>
        <w:rPr>
          <w:color w:val="000000"/>
          <w:spacing w:val="0"/>
          <w:w w:val="100"/>
          <w:position w:val="0"/>
          <w:shd w:val="clear" w:color="auto" w:fill="auto"/>
          <w:lang w:val="en-US" w:eastAsia="en-US" w:bidi="en-US"/>
        </w:rPr>
        <w:t xml:space="preserve">lei sau </w:t>
      </w:r>
      <w:r>
        <w:rPr>
          <w:color w:val="000000"/>
          <w:spacing w:val="0"/>
          <w:w w:val="100"/>
          <w:position w:val="0"/>
          <w:shd w:val="clear" w:color="auto" w:fill="auto"/>
          <w:lang w:val="ru-RU" w:eastAsia="ru-RU" w:bidi="ru-RU"/>
        </w:rPr>
        <w:t xml:space="preserve">618 </w:t>
      </w:r>
      <w:r>
        <w:rPr>
          <w:color w:val="000000"/>
          <w:spacing w:val="0"/>
          <w:w w:val="100"/>
          <w:position w:val="0"/>
          <w:shd w:val="clear" w:color="auto" w:fill="auto"/>
          <w:lang w:val="en-US" w:eastAsia="en-US" w:bidi="en-US"/>
        </w:rPr>
        <w:t xml:space="preserve">lei per unitate. Concomitent, valoarea statistica a unei unitati de piesa la import (la situatia din </w:t>
      </w:r>
      <w:r>
        <w:rPr>
          <w:color w:val="000000"/>
          <w:spacing w:val="0"/>
          <w:w w:val="100"/>
          <w:position w:val="0"/>
          <w:shd w:val="clear" w:color="auto" w:fill="auto"/>
          <w:lang w:val="ru-RU" w:eastAsia="ru-RU" w:bidi="ru-RU"/>
        </w:rPr>
        <w:t xml:space="preserve">14.03.2019), </w:t>
      </w:r>
      <w:r>
        <w:rPr>
          <w:color w:val="000000"/>
          <w:spacing w:val="0"/>
          <w:w w:val="100"/>
          <w:position w:val="0"/>
          <w:shd w:val="clear" w:color="auto" w:fill="auto"/>
          <w:lang w:val="en-US" w:eastAsia="en-US" w:bidi="en-US"/>
        </w:rPr>
        <w:t xml:space="preserve">in medie a constituit cca. </w:t>
      </w:r>
      <w:r>
        <w:rPr>
          <w:color w:val="000000"/>
          <w:spacing w:val="0"/>
          <w:w w:val="100"/>
          <w:position w:val="0"/>
          <w:shd w:val="clear" w:color="auto" w:fill="auto"/>
          <w:lang w:val="ru-RU" w:eastAsia="ru-RU" w:bidi="ru-RU"/>
        </w:rPr>
        <w:t xml:space="preserve">348 </w:t>
      </w:r>
      <w:r>
        <w:rPr>
          <w:color w:val="000000"/>
          <w:spacing w:val="0"/>
          <w:w w:val="100"/>
          <w:position w:val="0"/>
          <w:shd w:val="clear" w:color="auto" w:fill="auto"/>
          <w:lang w:val="en-US" w:eastAsia="en-US" w:bidi="en-US"/>
        </w:rPr>
        <w:t>lei/unit.</w:t>
      </w:r>
    </w:p>
    <w:p>
      <w:pPr>
        <w:pStyle w:val="Style17"/>
        <w:keepNext w:val="0"/>
        <w:keepLines w:val="0"/>
        <w:widowControl w:val="0"/>
        <w:shd w:val="clear" w:color="auto" w:fill="auto"/>
        <w:bidi w:val="0"/>
        <w:spacing w:before="0" w:after="0" w:line="240" w:lineRule="auto"/>
        <w:ind w:left="0" w:right="0" w:firstLine="340"/>
        <w:jc w:val="both"/>
      </w:pPr>
      <w:r>
        <w:rPr>
          <w:color w:val="000000"/>
          <w:spacing w:val="0"/>
          <w:w w:val="100"/>
          <w:position w:val="0"/>
          <w:shd w:val="clear" w:color="auto" w:fill="auto"/>
          <w:lang w:val="en-US" w:eastAsia="en-US" w:bidi="en-US"/>
        </w:rPr>
        <w:t>Cu „Metvil” SRL:</w:t>
      </w:r>
    </w:p>
    <w:p>
      <w:pPr>
        <w:pStyle w:val="Style17"/>
        <w:keepNext w:val="0"/>
        <w:keepLines w:val="0"/>
        <w:widowControl w:val="0"/>
        <w:numPr>
          <w:ilvl w:val="0"/>
          <w:numId w:val="35"/>
        </w:numPr>
        <w:shd w:val="clear" w:color="auto" w:fill="auto"/>
        <w:tabs>
          <w:tab w:pos="1028" w:val="left"/>
        </w:tabs>
        <w:bidi w:val="0"/>
        <w:spacing w:before="0" w:after="0" w:line="271" w:lineRule="auto"/>
        <w:ind w:left="0" w:right="0" w:firstLine="740"/>
        <w:jc w:val="both"/>
      </w:pPr>
      <w:r>
        <w:rPr>
          <w:color w:val="000000"/>
          <w:spacing w:val="0"/>
          <w:w w:val="100"/>
          <w:position w:val="0"/>
          <w:shd w:val="clear" w:color="auto" w:fill="auto"/>
          <w:lang w:val="en-US" w:eastAsia="en-US" w:bidi="en-US"/>
        </w:rPr>
        <w:t xml:space="preserve">nr. 2414/IV/2018 din </w:t>
      </w:r>
      <w:r>
        <w:rPr>
          <w:color w:val="000000"/>
          <w:spacing w:val="0"/>
          <w:w w:val="100"/>
          <w:position w:val="0"/>
          <w:shd w:val="clear" w:color="auto" w:fill="auto"/>
          <w:lang w:val="ru-RU" w:eastAsia="ru-RU" w:bidi="ru-RU"/>
        </w:rPr>
        <w:t xml:space="preserve">02.03.2018, </w:t>
      </w:r>
      <w:r>
        <w:rPr>
          <w:color w:val="000000"/>
          <w:spacing w:val="0"/>
          <w:w w:val="100"/>
          <w:position w:val="0"/>
          <w:shd w:val="clear" w:color="auto" w:fill="auto"/>
          <w:lang w:val="en-US" w:eastAsia="en-US" w:bidi="en-US"/>
        </w:rPr>
        <w:t xml:space="preserve">la suma de </w:t>
      </w:r>
      <w:r>
        <w:rPr>
          <w:color w:val="000000"/>
          <w:spacing w:val="0"/>
          <w:w w:val="100"/>
          <w:position w:val="0"/>
          <w:shd w:val="clear" w:color="auto" w:fill="auto"/>
          <w:lang w:val="ru-RU" w:eastAsia="ru-RU" w:bidi="ru-RU"/>
        </w:rPr>
        <w:t xml:space="preserve">95 952 </w:t>
      </w:r>
      <w:r>
        <w:rPr>
          <w:color w:val="000000"/>
          <w:spacing w:val="0"/>
          <w:w w:val="100"/>
          <w:position w:val="0"/>
          <w:shd w:val="clear" w:color="auto" w:fill="auto"/>
          <w:lang w:val="en-US" w:eastAsia="en-US" w:bidi="en-US"/>
        </w:rPr>
        <w:t>de lei, pentru procurarea pieselor de schimb pentru locomotive si materialul rulant;</w:t>
      </w:r>
    </w:p>
    <w:p>
      <w:pPr>
        <w:pStyle w:val="Style17"/>
        <w:keepNext w:val="0"/>
        <w:keepLines w:val="0"/>
        <w:widowControl w:val="0"/>
        <w:numPr>
          <w:ilvl w:val="0"/>
          <w:numId w:val="35"/>
        </w:numPr>
        <w:shd w:val="clear" w:color="auto" w:fill="auto"/>
        <w:tabs>
          <w:tab w:pos="1028" w:val="left"/>
        </w:tabs>
        <w:bidi w:val="0"/>
        <w:spacing w:before="0" w:after="0" w:line="271" w:lineRule="auto"/>
        <w:ind w:left="0" w:right="0" w:firstLine="740"/>
        <w:jc w:val="both"/>
      </w:pPr>
      <w:r>
        <w:rPr>
          <w:color w:val="000000"/>
          <w:spacing w:val="0"/>
          <w:w w:val="100"/>
          <w:position w:val="0"/>
          <w:shd w:val="clear" w:color="auto" w:fill="auto"/>
          <w:lang w:val="en-US" w:eastAsia="en-US" w:bidi="en-US"/>
        </w:rPr>
        <w:t xml:space="preserve">nr. 2876/IV/2018 din </w:t>
      </w:r>
      <w:r>
        <w:rPr>
          <w:color w:val="000000"/>
          <w:spacing w:val="0"/>
          <w:w w:val="100"/>
          <w:position w:val="0"/>
          <w:shd w:val="clear" w:color="auto" w:fill="auto"/>
          <w:lang w:val="ru-RU" w:eastAsia="ru-RU" w:bidi="ru-RU"/>
        </w:rPr>
        <w:t xml:space="preserve">14.03.2018, </w:t>
      </w:r>
      <w:r>
        <w:rPr>
          <w:color w:val="000000"/>
          <w:spacing w:val="0"/>
          <w:w w:val="100"/>
          <w:position w:val="0"/>
          <w:shd w:val="clear" w:color="auto" w:fill="auto"/>
          <w:lang w:val="en-US" w:eastAsia="en-US" w:bidi="en-US"/>
        </w:rPr>
        <w:t xml:space="preserve">la suma de </w:t>
      </w:r>
      <w:r>
        <w:rPr>
          <w:color w:val="000000"/>
          <w:spacing w:val="0"/>
          <w:w w:val="100"/>
          <w:position w:val="0"/>
          <w:shd w:val="clear" w:color="auto" w:fill="auto"/>
          <w:lang w:val="ru-RU" w:eastAsia="ru-RU" w:bidi="ru-RU"/>
        </w:rPr>
        <w:t xml:space="preserve">5 364 552 </w:t>
      </w:r>
      <w:r>
        <w:rPr>
          <w:color w:val="000000"/>
          <w:spacing w:val="0"/>
          <w:w w:val="100"/>
          <w:position w:val="0"/>
          <w:shd w:val="clear" w:color="auto" w:fill="auto"/>
          <w:lang w:val="en-US" w:eastAsia="en-US" w:bidi="en-US"/>
        </w:rPr>
        <w:t xml:space="preserve">de lei, pentru procurarea pieselor de schimb pentru locomotive </w:t>
      </w:r>
      <w:r>
        <w:rPr>
          <w:color w:val="000000"/>
          <w:spacing w:val="0"/>
          <w:w w:val="100"/>
          <w:position w:val="0"/>
          <w:shd w:val="clear" w:color="auto" w:fill="auto"/>
          <w:lang w:val="ru-RU" w:eastAsia="ru-RU" w:bidi="ru-RU"/>
        </w:rPr>
        <w:t>ТЭ10;</w:t>
      </w:r>
    </w:p>
    <w:p>
      <w:pPr>
        <w:pStyle w:val="Style17"/>
        <w:keepNext w:val="0"/>
        <w:keepLines w:val="0"/>
        <w:widowControl w:val="0"/>
        <w:numPr>
          <w:ilvl w:val="0"/>
          <w:numId w:val="35"/>
        </w:numPr>
        <w:shd w:val="clear" w:color="auto" w:fill="auto"/>
        <w:tabs>
          <w:tab w:pos="1028" w:val="left"/>
        </w:tabs>
        <w:bidi w:val="0"/>
        <w:spacing w:before="0" w:after="0" w:line="271" w:lineRule="auto"/>
        <w:ind w:left="0" w:right="0" w:firstLine="740"/>
        <w:jc w:val="both"/>
      </w:pPr>
      <w:r>
        <w:rPr>
          <w:color w:val="000000"/>
          <w:spacing w:val="0"/>
          <w:w w:val="100"/>
          <w:position w:val="0"/>
          <w:shd w:val="clear" w:color="auto" w:fill="auto"/>
          <w:lang w:val="en-US" w:eastAsia="en-US" w:bidi="en-US"/>
        </w:rPr>
        <w:t xml:space="preserve">nr. 2969/IV/2018 din </w:t>
      </w:r>
      <w:r>
        <w:rPr>
          <w:color w:val="000000"/>
          <w:spacing w:val="0"/>
          <w:w w:val="100"/>
          <w:position w:val="0"/>
          <w:shd w:val="clear" w:color="auto" w:fill="auto"/>
          <w:lang w:val="ru-RU" w:eastAsia="ru-RU" w:bidi="ru-RU"/>
        </w:rPr>
        <w:t xml:space="preserve">03.05.2019, </w:t>
      </w:r>
      <w:r>
        <w:rPr>
          <w:color w:val="000000"/>
          <w:spacing w:val="0"/>
          <w:w w:val="100"/>
          <w:position w:val="0"/>
          <w:shd w:val="clear" w:color="auto" w:fill="auto"/>
          <w:lang w:val="en-US" w:eastAsia="en-US" w:bidi="en-US"/>
        </w:rPr>
        <w:t xml:space="preserve">la suma de </w:t>
      </w:r>
      <w:r>
        <w:rPr>
          <w:color w:val="000000"/>
          <w:spacing w:val="0"/>
          <w:w w:val="100"/>
          <w:position w:val="0"/>
          <w:shd w:val="clear" w:color="auto" w:fill="auto"/>
          <w:lang w:val="ru-RU" w:eastAsia="ru-RU" w:bidi="ru-RU"/>
        </w:rPr>
        <w:t xml:space="preserve">2 040 420 </w:t>
      </w:r>
      <w:r>
        <w:rPr>
          <w:color w:val="000000"/>
          <w:spacing w:val="0"/>
          <w:w w:val="100"/>
          <w:position w:val="0"/>
          <w:shd w:val="clear" w:color="auto" w:fill="auto"/>
          <w:lang w:val="en-US" w:eastAsia="en-US" w:bidi="en-US"/>
        </w:rPr>
        <w:t xml:space="preserve">de lei, pentru procurarea pieselor de schimb pentru locomotive diesel Dl si </w:t>
      </w:r>
      <w:r>
        <w:rPr>
          <w:color w:val="000000"/>
          <w:spacing w:val="0"/>
          <w:w w:val="100"/>
          <w:position w:val="0"/>
          <w:shd w:val="clear" w:color="auto" w:fill="auto"/>
          <w:lang w:val="ru-RU" w:eastAsia="ru-RU" w:bidi="ru-RU"/>
        </w:rPr>
        <w:t>ТЭ10.</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en-US" w:eastAsia="en-US" w:bidi="en-US"/>
        </w:rPr>
        <w:t>Exemplificare:</w:t>
      </w:r>
    </w:p>
    <w:p>
      <w:pPr>
        <w:pStyle w:val="Style17"/>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en-US" w:eastAsia="en-US" w:bidi="en-US"/>
        </w:rPr>
        <w:t>Specificatia bunurilor livrate conform contractului nr. 2414/IV/2018, in coroborare cu importurile acestora, efectuate de „Metvil” SRL, reflecta achitarea unor preturi duble de catre IS „CFM”, respectiv, pentru:</w:t>
      </w:r>
    </w:p>
    <w:p>
      <w:pPr>
        <w:pStyle w:val="Style17"/>
        <w:keepNext w:val="0"/>
        <w:keepLines w:val="0"/>
        <w:widowControl w:val="0"/>
        <w:shd w:val="clear" w:color="auto" w:fill="auto"/>
        <w:bidi w:val="0"/>
        <w:spacing w:before="0" w:after="0" w:line="259" w:lineRule="auto"/>
        <w:ind w:left="720" w:right="0" w:hanging="300"/>
        <w:jc w:val="both"/>
      </w:pPr>
      <w:r>
        <w:rPr>
          <w:color w:val="000000"/>
          <w:spacing w:val="0"/>
          <w:w w:val="100"/>
          <w:position w:val="0"/>
          <w:sz w:val="22"/>
          <w:szCs w:val="22"/>
          <w:shd w:val="clear" w:color="auto" w:fill="auto"/>
          <w:lang w:val="ru-RU" w:eastAsia="ru-RU" w:bidi="ru-RU"/>
        </w:rPr>
        <w:t xml:space="preserve">- </w:t>
      </w:r>
      <w:r>
        <w:rPr>
          <w:color w:val="000000"/>
          <w:spacing w:val="0"/>
          <w:w w:val="100"/>
          <w:position w:val="0"/>
          <w:shd w:val="clear" w:color="auto" w:fill="auto"/>
          <w:lang w:val="ru-RU" w:eastAsia="ru-RU" w:bidi="ru-RU"/>
        </w:rPr>
        <w:t xml:space="preserve">Сухарь Д100.25.006 </w:t>
      </w:r>
      <w:r>
        <w:rPr>
          <w:color w:val="000000"/>
          <w:spacing w:val="0"/>
          <w:w w:val="100"/>
          <w:position w:val="0"/>
          <w:shd w:val="clear" w:color="auto" w:fill="auto"/>
          <w:lang w:val="en-US" w:eastAsia="en-US" w:bidi="en-US"/>
        </w:rPr>
        <w:t xml:space="preserve">si </w:t>
      </w:r>
      <w:r>
        <w:rPr>
          <w:color w:val="000000"/>
          <w:spacing w:val="0"/>
          <w:w w:val="100"/>
          <w:position w:val="0"/>
          <w:shd w:val="clear" w:color="auto" w:fill="auto"/>
          <w:lang w:val="ru-RU" w:eastAsia="ru-RU" w:bidi="ru-RU"/>
        </w:rPr>
        <w:t xml:space="preserve">9Д100.37.248 - 516 </w:t>
      </w:r>
      <w:r>
        <w:rPr>
          <w:color w:val="000000"/>
          <w:spacing w:val="0"/>
          <w:w w:val="100"/>
          <w:position w:val="0"/>
          <w:shd w:val="clear" w:color="auto" w:fill="auto"/>
          <w:lang w:val="en-US" w:eastAsia="en-US" w:bidi="en-US"/>
        </w:rPr>
        <w:t xml:space="preserve">lei/unit sau </w:t>
      </w:r>
      <w:r>
        <w:rPr>
          <w:color w:val="000000"/>
          <w:spacing w:val="0"/>
          <w:w w:val="100"/>
          <w:position w:val="0"/>
          <w:shd w:val="clear" w:color="auto" w:fill="auto"/>
          <w:lang w:val="ru-RU" w:eastAsia="ru-RU" w:bidi="ru-RU"/>
        </w:rPr>
        <w:t xml:space="preserve">582 </w:t>
      </w:r>
      <w:r>
        <w:rPr>
          <w:color w:val="000000"/>
          <w:spacing w:val="0"/>
          <w:w w:val="100"/>
          <w:position w:val="0"/>
          <w:shd w:val="clear" w:color="auto" w:fill="auto"/>
          <w:lang w:val="en-US" w:eastAsia="en-US" w:bidi="en-US"/>
        </w:rPr>
        <w:t xml:space="preserve">lei/unit. Valoarea statistica a unei unitati de piesa la import a constituit o medie de cca. </w:t>
      </w:r>
      <w:r>
        <w:rPr>
          <w:color w:val="000000"/>
          <w:spacing w:val="0"/>
          <w:w w:val="100"/>
          <w:position w:val="0"/>
          <w:shd w:val="clear" w:color="auto" w:fill="auto"/>
          <w:lang w:val="ru-RU" w:eastAsia="ru-RU" w:bidi="ru-RU"/>
        </w:rPr>
        <w:t xml:space="preserve">288 </w:t>
      </w:r>
      <w:r>
        <w:rPr>
          <w:color w:val="000000"/>
          <w:spacing w:val="0"/>
          <w:w w:val="100"/>
          <w:position w:val="0"/>
          <w:shd w:val="clear" w:color="auto" w:fill="auto"/>
          <w:lang w:val="en-US" w:eastAsia="en-US" w:bidi="en-US"/>
        </w:rPr>
        <w:t xml:space="preserve">de lei (la situatia din </w:t>
      </w:r>
      <w:r>
        <w:rPr>
          <w:color w:val="000000"/>
          <w:spacing w:val="0"/>
          <w:w w:val="100"/>
          <w:position w:val="0"/>
          <w:shd w:val="clear" w:color="auto" w:fill="auto"/>
          <w:lang w:val="ru-RU" w:eastAsia="ru-RU" w:bidi="ru-RU"/>
        </w:rPr>
        <w:t>12.03.2019);</w:t>
      </w:r>
    </w:p>
    <w:p>
      <w:pPr>
        <w:pStyle w:val="Style17"/>
        <w:keepNext w:val="0"/>
        <w:keepLines w:val="0"/>
        <w:widowControl w:val="0"/>
        <w:shd w:val="clear" w:color="auto" w:fill="auto"/>
        <w:bidi w:val="0"/>
        <w:spacing w:before="0" w:after="0" w:line="259" w:lineRule="auto"/>
        <w:ind w:left="0" w:right="0" w:firstLine="0"/>
        <w:jc w:val="both"/>
      </w:pPr>
      <w:r>
        <w:rPr>
          <w:color w:val="000000"/>
          <w:spacing w:val="0"/>
          <w:w w:val="100"/>
          <w:position w:val="0"/>
          <w:sz w:val="22"/>
          <w:szCs w:val="22"/>
          <w:shd w:val="clear" w:color="auto" w:fill="auto"/>
          <w:lang w:val="ru-RU" w:eastAsia="ru-RU" w:bidi="ru-RU"/>
        </w:rPr>
        <w:t xml:space="preserve">- </w:t>
      </w:r>
      <w:r>
        <w:rPr>
          <w:color w:val="000000"/>
          <w:spacing w:val="0"/>
          <w:w w:val="100"/>
          <w:position w:val="0"/>
          <w:shd w:val="clear" w:color="auto" w:fill="auto"/>
          <w:lang w:val="ru-RU" w:eastAsia="ru-RU" w:bidi="ru-RU"/>
        </w:rPr>
        <w:t xml:space="preserve">Сетка пылеулавливающая </w:t>
      </w:r>
      <w:r>
        <w:rPr>
          <w:color w:val="000000"/>
          <w:spacing w:val="0"/>
          <w:w w:val="100"/>
          <w:position w:val="0"/>
          <w:shd w:val="clear" w:color="auto" w:fill="auto"/>
          <w:lang w:val="en-US" w:eastAsia="en-US" w:bidi="en-US"/>
        </w:rPr>
        <w:t xml:space="preserve">216.1497C </w:t>
      </w:r>
      <w:r>
        <w:rPr>
          <w:color w:val="000000"/>
          <w:spacing w:val="0"/>
          <w:w w:val="100"/>
          <w:position w:val="0"/>
          <w:shd w:val="clear" w:color="auto" w:fill="auto"/>
          <w:lang w:val="ru-RU" w:eastAsia="ru-RU" w:bidi="ru-RU"/>
        </w:rPr>
        <w:t xml:space="preserve">- 42 </w:t>
      </w:r>
      <w:r>
        <w:rPr>
          <w:color w:val="000000"/>
          <w:spacing w:val="0"/>
          <w:w w:val="100"/>
          <w:position w:val="0"/>
          <w:shd w:val="clear" w:color="auto" w:fill="auto"/>
          <w:lang w:val="en-US" w:eastAsia="en-US" w:bidi="en-US"/>
        </w:rPr>
        <w:t>lei/unit. Valoarea medie statistica de import a constituit (la situatia din 12.03.2018), cca. 17 lei. NOTA: pentru specificatiile altor contracte (neexemplificate) situatia este similara.</w:t>
      </w:r>
    </w:p>
    <w:p>
      <w:pPr>
        <w:pStyle w:val="Style17"/>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en-US" w:eastAsia="en-US" w:bidi="en-US"/>
        </w:rPr>
        <w:t>Catre IS „CFM”, in baza facturilor fiscale, in perioada 27.06.2016 - 19.06.2019, „BSA-Impex SRL” a efectuat livrari de peste 23,7 milioane de lei (cu TVA), iar „Metvil” SRL, din 02.02.2015 pana la 28.06.2019, peste 45,85 milioane de lei (cu TVA).</w:t>
      </w:r>
    </w:p>
    <w:p>
      <w:pPr>
        <w:pStyle w:val="Style17"/>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en-US" w:eastAsia="en-US" w:bidi="en-US"/>
        </w:rPr>
        <w:t>Suplimentar, informatiile denota ca Veaceslav BAIDA gestioneaza prin intermediul lui SUMIN Serghei, director al „BSA-Impex SRL”, activitatea urmatoarelor companii comerciale, toate fiind in topul furnizorilor de piese si materiale pentru parcul rulant al IS „CFM”:</w:t>
      </w:r>
    </w:p>
    <w:p>
      <w:pPr>
        <w:pStyle w:val="Style17"/>
        <w:keepNext w:val="0"/>
        <w:keepLines w:val="0"/>
        <w:widowControl w:val="0"/>
        <w:numPr>
          <w:ilvl w:val="0"/>
          <w:numId w:val="39"/>
        </w:numPr>
        <w:shd w:val="clear" w:color="auto" w:fill="auto"/>
        <w:tabs>
          <w:tab w:pos="1062" w:val="left"/>
        </w:tabs>
        <w:bidi w:val="0"/>
        <w:spacing w:before="0" w:after="0" w:line="240" w:lineRule="auto"/>
        <w:ind w:left="0" w:right="0" w:firstLine="720"/>
        <w:jc w:val="both"/>
      </w:pPr>
      <w:r>
        <w:rPr>
          <w:color w:val="000000"/>
          <w:spacing w:val="0"/>
          <w:w w:val="100"/>
          <w:position w:val="0"/>
          <w:shd w:val="clear" w:color="auto" w:fill="auto"/>
          <w:lang w:val="en-US" w:eastAsia="en-US" w:bidi="en-US"/>
        </w:rPr>
        <w:t>„Novastadard” SRL, cu profit declarat (in 2018) de 5,05 milioane de lei;</w:t>
      </w:r>
    </w:p>
    <w:p>
      <w:pPr>
        <w:pStyle w:val="Style17"/>
        <w:keepNext w:val="0"/>
        <w:keepLines w:val="0"/>
        <w:widowControl w:val="0"/>
        <w:numPr>
          <w:ilvl w:val="0"/>
          <w:numId w:val="39"/>
        </w:numPr>
        <w:shd w:val="clear" w:color="auto" w:fill="auto"/>
        <w:tabs>
          <w:tab w:pos="1082" w:val="left"/>
        </w:tabs>
        <w:bidi w:val="0"/>
        <w:spacing w:before="0" w:after="0" w:line="240" w:lineRule="auto"/>
        <w:ind w:left="1100" w:right="0" w:hanging="340"/>
        <w:jc w:val="both"/>
      </w:pPr>
      <w:r>
        <w:rPr>
          <w:color w:val="000000"/>
          <w:spacing w:val="0"/>
          <w:w w:val="100"/>
          <w:position w:val="0"/>
          <w:shd w:val="clear" w:color="auto" w:fill="auto"/>
          <w:lang w:val="en-US" w:eastAsia="en-US" w:bidi="en-US"/>
        </w:rPr>
        <w:t xml:space="preserve">„Spectehcom” SRL, cu profit declarat (in 2018) de 21,7 milioane de lei, dealer al </w:t>
      </w:r>
      <w:r>
        <w:rPr>
          <w:color w:val="000000"/>
          <w:spacing w:val="0"/>
          <w:w w:val="100"/>
          <w:position w:val="0"/>
          <w:shd w:val="clear" w:color="auto" w:fill="auto"/>
          <w:lang w:val="ru-RU" w:eastAsia="ru-RU" w:bidi="ru-RU"/>
        </w:rPr>
        <w:t>АО «НПК Уралвагонзавод»;</w:t>
      </w:r>
    </w:p>
    <w:p>
      <w:pPr>
        <w:pStyle w:val="Style17"/>
        <w:keepNext w:val="0"/>
        <w:keepLines w:val="0"/>
        <w:widowControl w:val="0"/>
        <w:numPr>
          <w:ilvl w:val="0"/>
          <w:numId w:val="39"/>
        </w:numPr>
        <w:shd w:val="clear" w:color="auto" w:fill="auto"/>
        <w:tabs>
          <w:tab w:pos="1082" w:val="left"/>
        </w:tabs>
        <w:bidi w:val="0"/>
        <w:spacing w:before="0" w:after="0" w:line="240" w:lineRule="auto"/>
        <w:ind w:left="0" w:right="0" w:firstLine="760"/>
        <w:jc w:val="both"/>
      </w:pPr>
      <w:r>
        <w:rPr>
          <w:color w:val="000000"/>
          <w:spacing w:val="0"/>
          <w:w w:val="100"/>
          <w:position w:val="0"/>
          <w:shd w:val="clear" w:color="auto" w:fill="auto"/>
          <w:lang w:val="en-US" w:eastAsia="en-US" w:bidi="en-US"/>
        </w:rPr>
        <w:t>„Tehuniversal” SRL, cu profit declarat (in 2018) de 1,4 milioane de lei;</w:t>
      </w:r>
    </w:p>
    <w:p>
      <w:pPr>
        <w:pStyle w:val="Style17"/>
        <w:keepNext w:val="0"/>
        <w:keepLines w:val="0"/>
        <w:widowControl w:val="0"/>
        <w:numPr>
          <w:ilvl w:val="0"/>
          <w:numId w:val="39"/>
        </w:numPr>
        <w:shd w:val="clear" w:color="auto" w:fill="auto"/>
        <w:tabs>
          <w:tab w:pos="1082" w:val="left"/>
        </w:tabs>
        <w:bidi w:val="0"/>
        <w:spacing w:before="0" w:after="0" w:line="240" w:lineRule="auto"/>
        <w:ind w:left="0" w:right="0" w:firstLine="760"/>
        <w:jc w:val="both"/>
      </w:pPr>
      <w:r>
        <w:rPr>
          <w:color w:val="000000"/>
          <w:spacing w:val="0"/>
          <w:w w:val="100"/>
          <w:position w:val="0"/>
          <w:shd w:val="clear" w:color="auto" w:fill="auto"/>
          <w:lang w:val="en-US" w:eastAsia="en-US" w:bidi="en-US"/>
        </w:rPr>
        <w:t>„Tehnomet Grup” SRL, cu profit declarat (m 2018) de 20,4 milioane de lei.</w:t>
      </w:r>
    </w:p>
    <w:p>
      <w:pPr>
        <w:pStyle w:val="Style17"/>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en-US" w:eastAsia="en-US" w:bidi="en-US"/>
        </w:rPr>
        <w:t>Acestea reprezinta informal interesele lui Veaceslav BAIDA, activeaza concertat cu alte companii (la fel „active”) in licitatiile IS „CFM”, devenind castigatoare. Prin urmare, furnizeaza piese/marfuri pentru intreprinderea de stat cu un adaos comercial dublu sau chiar triplu fata de cel de producator.</w:t>
      </w:r>
    </w:p>
    <w:p>
      <w:pPr>
        <w:pStyle w:val="Style17"/>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en-US" w:eastAsia="en-US" w:bidi="en-US"/>
        </w:rPr>
        <w:t>Conform evaluarilor preliminare prezentate de SIS</w:t>
      </w:r>
      <w:r>
        <w:rPr>
          <w:color w:val="000000"/>
          <w:spacing w:val="0"/>
          <w:w w:val="100"/>
          <w:position w:val="0"/>
          <w:shd w:val="clear" w:color="auto" w:fill="auto"/>
          <w:vertAlign w:val="superscript"/>
          <w:lang w:val="en-US" w:eastAsia="en-US" w:bidi="en-US"/>
        </w:rPr>
        <w:footnoteReference w:id="35"/>
      </w:r>
      <w:r>
        <w:rPr>
          <w:color w:val="000000"/>
          <w:spacing w:val="0"/>
          <w:w w:val="100"/>
          <w:position w:val="0"/>
          <w:shd w:val="clear" w:color="auto" w:fill="auto"/>
          <w:lang w:val="en-US" w:eastAsia="en-US" w:bidi="en-US"/>
        </w:rPr>
        <w:t>, din valoarea totala a achizitiilor IS „CFM”, pentru anul 2018 (in suma de cca. 136,33 milioane de lei), doar de la firmele susmentionate (trei grupuri de interese) au fost realizate achizitii de 83,55 milioane de lei, din care, prejudiciul intreprinderii de stat (ca urmare a stabilirii preturilor/achitarilor supradimensionate), constituie peste 40 de milioane de lei.</w:t>
      </w:r>
    </w:p>
    <w:p>
      <w:pPr>
        <w:pStyle w:val="Style17"/>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en-US" w:eastAsia="en-US" w:bidi="en-US"/>
        </w:rPr>
        <w:t>Pentru anul 2019 (la situatia din 31 octombrie), din suma totala a achizitiilor (in valoare de cca. 75,41 milioane de lei), de la aceleasi companii de referinta au fost operate procurari de 28,11 milioane de lei, prejudiciul IS „CFM” constituind cca. 15 milioane de lei. In anii precedenti perioadei mentionate ar putea fi cauzat un prejudiciu similar intreprinderii de stat, ceea ce a si cauzat caracterul deplorabil al situatiei financiare, a compromis dezvoltarea sectorului.</w:t>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Elemente de coruptie au fost identificate si in achizitiile de marfuri si servicii operate de factori de decizie de nivel inferior, cum ar fi a ex-sefului Serviciului transport calatori a IS „Calea Ferata din Moldova” Anatolie RUSU, la incheierea contractelor pentru Depoul de vagoane de calatori. Persoana vizata ar fi promovat prin abuz si/sau depasire a atributiilor de serviciu contracte in urmatoarele imprejurari, cu urmatorii agenti economici</w:t>
      </w:r>
      <w:r>
        <w:rPr>
          <w:color w:val="000000"/>
          <w:spacing w:val="0"/>
          <w:w w:val="100"/>
          <w:position w:val="0"/>
          <w:shd w:val="clear" w:color="auto" w:fill="auto"/>
          <w:vertAlign w:val="superscript"/>
          <w:lang w:val="en-US" w:eastAsia="en-US" w:bidi="en-US"/>
        </w:rPr>
        <w:footnoteReference w:id="36"/>
      </w:r>
      <w:r>
        <w:rPr>
          <w:color w:val="000000"/>
          <w:spacing w:val="0"/>
          <w:w w:val="100"/>
          <w:position w:val="0"/>
          <w:shd w:val="clear" w:color="auto" w:fill="auto"/>
          <w:lang w:val="en-US" w:eastAsia="en-US" w:bidi="en-US"/>
        </w:rPr>
        <w:t>:</w:t>
      </w:r>
    </w:p>
    <w:p>
      <w:pPr>
        <w:pStyle w:val="Style17"/>
        <w:keepNext w:val="0"/>
        <w:keepLines w:val="0"/>
        <w:widowControl w:val="0"/>
        <w:numPr>
          <w:ilvl w:val="0"/>
          <w:numId w:val="41"/>
        </w:numPr>
        <w:shd w:val="clear" w:color="auto" w:fill="auto"/>
        <w:tabs>
          <w:tab w:pos="1062" w:val="left"/>
        </w:tabs>
        <w:bidi w:val="0"/>
        <w:spacing w:before="0" w:after="0" w:line="240" w:lineRule="auto"/>
        <w:ind w:left="0" w:right="0" w:firstLine="660"/>
        <w:jc w:val="both"/>
      </w:pPr>
      <w:r>
        <w:rPr>
          <w:color w:val="000000"/>
          <w:spacing w:val="0"/>
          <w:w w:val="100"/>
          <w:position w:val="0"/>
          <w:shd w:val="clear" w:color="auto" w:fill="auto"/>
          <w:lang w:val="en-US" w:eastAsia="en-US" w:bidi="en-US"/>
        </w:rPr>
        <w:t>SRL „Sablex-Plus”</w:t>
      </w:r>
    </w:p>
    <w:p>
      <w:pPr>
        <w:pStyle w:val="Style1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 xml:space="preserve">La </w:t>
      </w:r>
      <w:r>
        <w:rPr>
          <w:color w:val="000000"/>
          <w:spacing w:val="0"/>
          <w:w w:val="100"/>
          <w:position w:val="0"/>
          <w:shd w:val="clear" w:color="auto" w:fill="auto"/>
          <w:lang w:val="ru-RU" w:eastAsia="ru-RU" w:bidi="ru-RU"/>
        </w:rPr>
        <w:t xml:space="preserve">31.01.2018, </w:t>
      </w:r>
      <w:r>
        <w:rPr>
          <w:color w:val="000000"/>
          <w:spacing w:val="0"/>
          <w:w w:val="100"/>
          <w:position w:val="0"/>
          <w:shd w:val="clear" w:color="auto" w:fill="auto"/>
          <w:lang w:val="en-US" w:eastAsia="en-US" w:bidi="en-US"/>
        </w:rPr>
        <w:t xml:space="preserve">compania in cauza a incheiat contractul nr. 2395/VI/2018 cu IS „CFM”, in baza caruia, din iunie </w:t>
      </w:r>
      <w:r>
        <w:rPr>
          <w:color w:val="000000"/>
          <w:spacing w:val="0"/>
          <w:w w:val="100"/>
          <w:position w:val="0"/>
          <w:shd w:val="clear" w:color="auto" w:fill="auto"/>
          <w:lang w:val="ru-RU" w:eastAsia="ru-RU" w:bidi="ru-RU"/>
        </w:rPr>
        <w:t xml:space="preserve">2018, </w:t>
      </w:r>
      <w:r>
        <w:rPr>
          <w:color w:val="000000"/>
          <w:spacing w:val="0"/>
          <w:w w:val="100"/>
          <w:position w:val="0"/>
          <w:shd w:val="clear" w:color="auto" w:fill="auto"/>
          <w:lang w:val="en-US" w:eastAsia="en-US" w:bidi="en-US"/>
        </w:rPr>
        <w:t xml:space="preserve">se realiza transportarea nisipului din teritoriul tarii pe cale ferata, cu ulterioara descarcare pe teritoriul depoului. Din start, aceasta relatie s-a desfasurat in lipsa contractului de arenda a teritoriului depoului (intre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 xml:space="preserve">Sablex-Plus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 xml:space="preserve">SRL si IS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CFM”).</w:t>
      </w:r>
    </w:p>
    <w:p>
      <w:pPr>
        <w:pStyle w:val="Style1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 xml:space="preserve">Dupa descarcare din vagoane, incarcarea in camioane era efectuata cu tractorul depoului (TO-18A), serviciu achitat de „Sablex-Plus” SRL, in baza unui alt contract (nr. </w:t>
      </w:r>
      <w:r>
        <w:rPr>
          <w:color w:val="000000"/>
          <w:spacing w:val="0"/>
          <w:w w:val="100"/>
          <w:position w:val="0"/>
          <w:shd w:val="clear" w:color="auto" w:fill="auto"/>
          <w:lang w:val="ru-RU" w:eastAsia="ru-RU" w:bidi="ru-RU"/>
        </w:rPr>
        <w:t xml:space="preserve">19 </w:t>
      </w:r>
      <w:r>
        <w:rPr>
          <w:color w:val="000000"/>
          <w:spacing w:val="0"/>
          <w:w w:val="100"/>
          <w:position w:val="0"/>
          <w:shd w:val="clear" w:color="auto" w:fill="auto"/>
          <w:lang w:val="en-US" w:eastAsia="en-US" w:bidi="en-US"/>
        </w:rPr>
        <w:t xml:space="preserve">din </w:t>
      </w:r>
      <w:r>
        <w:rPr>
          <w:color w:val="000000"/>
          <w:spacing w:val="0"/>
          <w:w w:val="100"/>
          <w:position w:val="0"/>
          <w:shd w:val="clear" w:color="auto" w:fill="auto"/>
          <w:lang w:val="ru-RU" w:eastAsia="ru-RU" w:bidi="ru-RU"/>
        </w:rPr>
        <w:t xml:space="preserve">07.06.2018), </w:t>
      </w:r>
      <w:r>
        <w:rPr>
          <w:color w:val="000000"/>
          <w:spacing w:val="0"/>
          <w:w w:val="100"/>
          <w:position w:val="0"/>
          <w:shd w:val="clear" w:color="auto" w:fill="auto"/>
          <w:lang w:val="en-US" w:eastAsia="en-US" w:bidi="en-US"/>
        </w:rPr>
        <w:t xml:space="preserve">semnat cu Anatolie RUSU, fara coordonare cu Directia juridica a IS „CFM” si fara stabilirea cuantumului taxelor suplimentare (pentru prestarea serviciului mai mult de </w:t>
      </w:r>
      <w:r>
        <w:rPr>
          <w:color w:val="000000"/>
          <w:spacing w:val="0"/>
          <w:w w:val="100"/>
          <w:position w:val="0"/>
          <w:shd w:val="clear" w:color="auto" w:fill="auto"/>
          <w:lang w:val="ru-RU" w:eastAsia="ru-RU" w:bidi="ru-RU"/>
        </w:rPr>
        <w:t xml:space="preserve">2 </w:t>
      </w:r>
      <w:r>
        <w:rPr>
          <w:color w:val="000000"/>
          <w:spacing w:val="0"/>
          <w:w w:val="100"/>
          <w:position w:val="0"/>
          <w:shd w:val="clear" w:color="auto" w:fill="auto"/>
          <w:lang w:val="en-US" w:eastAsia="en-US" w:bidi="en-US"/>
        </w:rPr>
        <w:t>ore).</w:t>
      </w:r>
    </w:p>
    <w:p>
      <w:pPr>
        <w:pStyle w:val="Style1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 xml:space="preserve">Depoul nu detine toate actele de receptie a serviciilor si bonurile de plata efectuate de „Sablex-Plus” SRL. In evidente exista o necorespundere a numarului autovehiculelor care au intrat pe teritoriul depoului pentru incarcarea nisipului cu datele din tabelul de intrari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iesiri, completat de personalul pazei la poarta de acces a depoului.</w:t>
      </w:r>
    </w:p>
    <w:p>
      <w:pPr>
        <w:pStyle w:val="Style1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 xml:space="preserve">Din </w:t>
      </w:r>
      <w:r>
        <w:rPr>
          <w:color w:val="000000"/>
          <w:spacing w:val="0"/>
          <w:w w:val="100"/>
          <w:position w:val="0"/>
          <w:shd w:val="clear" w:color="auto" w:fill="auto"/>
          <w:lang w:val="ru-RU" w:eastAsia="ru-RU" w:bidi="ru-RU"/>
        </w:rPr>
        <w:t xml:space="preserve">14.09.2015 </w:t>
      </w:r>
      <w:r>
        <w:rPr>
          <w:color w:val="000000"/>
          <w:spacing w:val="0"/>
          <w:w w:val="100"/>
          <w:position w:val="0"/>
          <w:shd w:val="clear" w:color="auto" w:fill="auto"/>
          <w:lang w:val="en-US" w:eastAsia="en-US" w:bidi="en-US"/>
        </w:rPr>
        <w:t xml:space="preserve">pana la momentul intocmirii scrisorii SIS nr. </w:t>
      </w:r>
      <w:r>
        <w:rPr>
          <w:color w:val="000000"/>
          <w:spacing w:val="0"/>
          <w:w w:val="100"/>
          <w:position w:val="0"/>
          <w:shd w:val="clear" w:color="auto" w:fill="auto"/>
          <w:lang w:val="ru-RU" w:eastAsia="ru-RU" w:bidi="ru-RU"/>
        </w:rPr>
        <w:t xml:space="preserve">5/1903 </w:t>
      </w:r>
      <w:r>
        <w:rPr>
          <w:color w:val="000000"/>
          <w:spacing w:val="0"/>
          <w:w w:val="100"/>
          <w:position w:val="0"/>
          <w:shd w:val="clear" w:color="auto" w:fill="auto"/>
          <w:lang w:val="en-US" w:eastAsia="en-US" w:bidi="en-US"/>
        </w:rPr>
        <w:t xml:space="preserve">din </w:t>
      </w:r>
      <w:r>
        <w:rPr>
          <w:color w:val="000000"/>
          <w:spacing w:val="0"/>
          <w:w w:val="100"/>
          <w:position w:val="0"/>
          <w:shd w:val="clear" w:color="auto" w:fill="auto"/>
          <w:lang w:val="ru-RU" w:eastAsia="ru-RU" w:bidi="ru-RU"/>
        </w:rPr>
        <w:t xml:space="preserve">10.12.2019, </w:t>
      </w:r>
      <w:r>
        <w:rPr>
          <w:color w:val="000000"/>
          <w:spacing w:val="0"/>
          <w:w w:val="100"/>
          <w:position w:val="0"/>
          <w:shd w:val="clear" w:color="auto" w:fill="auto"/>
          <w:lang w:val="en-US" w:eastAsia="en-US" w:bidi="en-US"/>
        </w:rPr>
        <w:t xml:space="preserve">fondator unic al „Sablex-Plus” SRL este SRL „Maran”, in care, fondator unic este Anatolie RUSU. Pana la </w:t>
      </w:r>
      <w:r>
        <w:rPr>
          <w:color w:val="000000"/>
          <w:spacing w:val="0"/>
          <w:w w:val="100"/>
          <w:position w:val="0"/>
          <w:shd w:val="clear" w:color="auto" w:fill="auto"/>
          <w:lang w:val="ru-RU" w:eastAsia="ru-RU" w:bidi="ru-RU"/>
        </w:rPr>
        <w:t xml:space="preserve">11.03.2016 </w:t>
      </w:r>
      <w:r>
        <w:rPr>
          <w:color w:val="000000"/>
          <w:spacing w:val="0"/>
          <w:w w:val="100"/>
          <w:position w:val="0"/>
          <w:shd w:val="clear" w:color="auto" w:fill="auto"/>
          <w:lang w:val="en-US" w:eastAsia="en-US" w:bidi="en-US"/>
        </w:rPr>
        <w:t>acesta a figurat si ca director al SRL „Maran”. Astfel, circumstantele denota ca acesta Anatolie RUSU, folosindu-se de functia detinuta in cadrul IS „CFM”, a favorizat in interes personal activitatea economica „Sablex-Plus” SRL pe teritoriul depoului.</w:t>
      </w:r>
    </w:p>
    <w:p>
      <w:pPr>
        <w:pStyle w:val="Style17"/>
        <w:keepNext w:val="0"/>
        <w:keepLines w:val="0"/>
        <w:widowControl w:val="0"/>
        <w:numPr>
          <w:ilvl w:val="0"/>
          <w:numId w:val="41"/>
        </w:numPr>
        <w:shd w:val="clear" w:color="auto" w:fill="auto"/>
        <w:tabs>
          <w:tab w:pos="1001" w:val="left"/>
        </w:tabs>
        <w:bidi w:val="0"/>
        <w:spacing w:before="0" w:after="0" w:line="240" w:lineRule="auto"/>
        <w:ind w:left="0" w:right="0" w:firstLine="640"/>
        <w:jc w:val="both"/>
      </w:pPr>
      <w:r>
        <w:rPr>
          <w:color w:val="000000"/>
          <w:spacing w:val="0"/>
          <w:w w:val="100"/>
          <w:position w:val="0"/>
          <w:shd w:val="clear" w:color="auto" w:fill="auto"/>
          <w:lang w:val="en-US" w:eastAsia="en-US" w:bidi="en-US"/>
        </w:rPr>
        <w:t>SRL „SV Prodgrup”</w:t>
      </w:r>
    </w:p>
    <w:p>
      <w:pPr>
        <w:pStyle w:val="Style1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 xml:space="preserve">La </w:t>
      </w:r>
      <w:r>
        <w:rPr>
          <w:color w:val="000000"/>
          <w:spacing w:val="0"/>
          <w:w w:val="100"/>
          <w:position w:val="0"/>
          <w:shd w:val="clear" w:color="auto" w:fill="auto"/>
          <w:lang w:val="ru-RU" w:eastAsia="ru-RU" w:bidi="ru-RU"/>
        </w:rPr>
        <w:t xml:space="preserve">17.07.2018, </w:t>
      </w:r>
      <w:r>
        <w:rPr>
          <w:color w:val="000000"/>
          <w:spacing w:val="0"/>
          <w:w w:val="100"/>
          <w:position w:val="0"/>
          <w:shd w:val="clear" w:color="auto" w:fill="auto"/>
          <w:lang w:val="en-US" w:eastAsia="en-US" w:bidi="en-US"/>
        </w:rPr>
        <w:t>Directia pentru deservirea calatorilor (denumirea de atunci) a incheiat contractul nr.1707/2018 cu „SV Prodgrup” SRL privind livrarea de catre ultima a produselor de patiserie pentru vagoanele-restaurant.</w:t>
      </w:r>
    </w:p>
    <w:p>
      <w:pPr>
        <w:pStyle w:val="Style1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Fiind in concediu, Anatolie RUSU a dat indicatie verbala de semnare a contractului adjunctului sau Constantin PAVLOV. Conform Registrului de evidenta a eliberarii procurilor, in acea perioada, nici Anatolie RUSU, nici Constantin PAVLOV nu avea imputerniciri pentru semnarea contractului.</w:t>
      </w:r>
    </w:p>
    <w:p>
      <w:pPr>
        <w:pStyle w:val="Style1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Marfa de la „SV Prodgrup” SRL era receptionata de Raisa AXIONOVA, casier al Directiei pentru deservirea calatorilor, ulterior fiind eliberata sefilor de tren, dar nu responsabililor de la vagoanele-restaurant (ca in cazul altor alimente). Produsele de patiserie nu erau pastrate in frigiderele vagoanelor- restaurant, dar in incaperile de serviciu ale insotitorilor de vagon. Ultimii erau „obligati” sa le realizeze in totalitate, ori sa le achite integral, returul nefiind acceptat. Mijloacele financiare acumulate in urma comercializarii produselor, cel mai probabil in afara evidentei fiscale, la intoarcere din cursa, erau predate aceleiasi Raisa AXIONOVA.</w:t>
      </w:r>
    </w:p>
    <w:p>
      <w:pPr>
        <w:pStyle w:val="Style17"/>
        <w:keepNext w:val="0"/>
        <w:keepLines w:val="0"/>
        <w:widowControl w:val="0"/>
        <w:numPr>
          <w:ilvl w:val="0"/>
          <w:numId w:val="41"/>
        </w:numPr>
        <w:shd w:val="clear" w:color="auto" w:fill="auto"/>
        <w:tabs>
          <w:tab w:pos="1001" w:val="left"/>
        </w:tabs>
        <w:bidi w:val="0"/>
        <w:spacing w:before="0" w:after="0" w:line="240" w:lineRule="auto"/>
        <w:ind w:left="0" w:right="0" w:firstLine="640"/>
        <w:jc w:val="both"/>
      </w:pPr>
      <w:r>
        <w:rPr>
          <w:color w:val="000000"/>
          <w:spacing w:val="0"/>
          <w:w w:val="100"/>
          <w:position w:val="0"/>
          <w:shd w:val="clear" w:color="auto" w:fill="auto"/>
          <w:lang w:val="en-US" w:eastAsia="en-US" w:bidi="en-US"/>
        </w:rPr>
        <w:t>SRL „Torpedo”</w:t>
      </w:r>
    </w:p>
    <w:p>
      <w:pPr>
        <w:pStyle w:val="Style1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 xml:space="preserve">Anatolie RUSU (actionand in baza Ordinului directorului general al IS „CFM” nr. 429/H din </w:t>
      </w:r>
      <w:r>
        <w:rPr>
          <w:color w:val="000000"/>
          <w:spacing w:val="0"/>
          <w:w w:val="100"/>
          <w:position w:val="0"/>
          <w:shd w:val="clear" w:color="auto" w:fill="auto"/>
          <w:lang w:val="ru-RU" w:eastAsia="ru-RU" w:bidi="ru-RU"/>
        </w:rPr>
        <w:t xml:space="preserve">04.12.2017) </w:t>
      </w:r>
      <w:r>
        <w:rPr>
          <w:color w:val="000000"/>
          <w:spacing w:val="0"/>
          <w:w w:val="100"/>
          <w:position w:val="0"/>
          <w:shd w:val="clear" w:color="auto" w:fill="auto"/>
          <w:lang w:val="en-US" w:eastAsia="en-US" w:bidi="en-US"/>
        </w:rPr>
        <w:t xml:space="preserve">la </w:t>
      </w:r>
      <w:r>
        <w:rPr>
          <w:color w:val="000000"/>
          <w:spacing w:val="0"/>
          <w:w w:val="100"/>
          <w:position w:val="0"/>
          <w:shd w:val="clear" w:color="auto" w:fill="auto"/>
          <w:lang w:val="ru-RU" w:eastAsia="ru-RU" w:bidi="ru-RU"/>
        </w:rPr>
        <w:t xml:space="preserve">11.12.2017 </w:t>
      </w:r>
      <w:r>
        <w:rPr>
          <w:color w:val="000000"/>
          <w:spacing w:val="0"/>
          <w:w w:val="100"/>
          <w:position w:val="0"/>
          <w:shd w:val="clear" w:color="auto" w:fill="auto"/>
          <w:lang w:val="en-US" w:eastAsia="en-US" w:bidi="en-US"/>
        </w:rPr>
        <w:t xml:space="preserve">a fost incheiat contractul nr. </w:t>
      </w:r>
      <w:r>
        <w:rPr>
          <w:color w:val="000000"/>
          <w:spacing w:val="0"/>
          <w:w w:val="100"/>
          <w:position w:val="0"/>
          <w:shd w:val="clear" w:color="auto" w:fill="auto"/>
          <w:lang w:val="ru-RU" w:eastAsia="ru-RU" w:bidi="ru-RU"/>
        </w:rPr>
        <w:t xml:space="preserve">1615 </w:t>
      </w:r>
      <w:r>
        <w:rPr>
          <w:color w:val="000000"/>
          <w:spacing w:val="0"/>
          <w:w w:val="100"/>
          <w:position w:val="0"/>
          <w:shd w:val="clear" w:color="auto" w:fill="auto"/>
          <w:lang w:val="en-US" w:eastAsia="en-US" w:bidi="en-US"/>
        </w:rPr>
        <w:t xml:space="preserve">din privind prestarea de catre SRL „Torpedo” a serviciilor de transportare auto a vamesilor pe itinerarul Ocnita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 xml:space="preserve">Valcinet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Ocnita, pentru efectuarea controlului in trenurile IS „CFM”.</w:t>
      </w:r>
    </w:p>
    <w:p>
      <w:pPr>
        <w:pStyle w:val="Style1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 xml:space="preserve">Aceste servicii au fost stabilite la un pret supraevaluat. Mijlocul de transport utilizat, apartine aceleiasi SRL „Sablex-PIus” si indirect lui Anatolie RUSU. Pentru camuflarea intereselor lui Anatolie RUSU, mijlocul de transport a fost transmis la </w:t>
      </w:r>
      <w:r>
        <w:rPr>
          <w:color w:val="000000"/>
          <w:spacing w:val="0"/>
          <w:w w:val="100"/>
          <w:position w:val="0"/>
          <w:shd w:val="clear" w:color="auto" w:fill="auto"/>
          <w:lang w:val="ru-RU" w:eastAsia="ru-RU" w:bidi="ru-RU"/>
        </w:rPr>
        <w:t xml:space="preserve">15.12.2017 </w:t>
      </w:r>
      <w:r>
        <w:rPr>
          <w:color w:val="000000"/>
          <w:spacing w:val="0"/>
          <w:w w:val="100"/>
          <w:position w:val="0"/>
          <w:shd w:val="clear" w:color="auto" w:fill="auto"/>
          <w:lang w:val="en-US" w:eastAsia="en-US" w:bidi="en-US"/>
        </w:rPr>
        <w:t xml:space="preserve">in folosinta (uzufructul) SRL „Torpedo”. IS „CFM” urma sa achite SRL „Torpedo” pentru serviciile prestate cca. </w:t>
      </w:r>
      <w:r>
        <w:rPr>
          <w:color w:val="000000"/>
          <w:spacing w:val="0"/>
          <w:w w:val="100"/>
          <w:position w:val="0"/>
          <w:shd w:val="clear" w:color="auto" w:fill="auto"/>
          <w:lang w:val="ru-RU" w:eastAsia="ru-RU" w:bidi="ru-RU"/>
        </w:rPr>
        <w:t xml:space="preserve">60 000 </w:t>
      </w:r>
      <w:r>
        <w:rPr>
          <w:color w:val="000000"/>
          <w:spacing w:val="0"/>
          <w:w w:val="100"/>
          <w:position w:val="0"/>
          <w:shd w:val="clear" w:color="auto" w:fill="auto"/>
          <w:lang w:val="en-US" w:eastAsia="en-US" w:bidi="en-US"/>
        </w:rPr>
        <w:t xml:space="preserve">de lei lunar, sau </w:t>
      </w:r>
      <w:r>
        <w:rPr>
          <w:color w:val="000000"/>
          <w:spacing w:val="0"/>
          <w:w w:val="100"/>
          <w:position w:val="0"/>
          <w:shd w:val="clear" w:color="auto" w:fill="auto"/>
          <w:lang w:val="ru-RU" w:eastAsia="ru-RU" w:bidi="ru-RU"/>
        </w:rPr>
        <w:t xml:space="preserve">423 000 </w:t>
      </w:r>
      <w:r>
        <w:rPr>
          <w:color w:val="000000"/>
          <w:spacing w:val="0"/>
          <w:w w:val="100"/>
          <w:position w:val="0"/>
          <w:shd w:val="clear" w:color="auto" w:fill="auto"/>
          <w:lang w:val="en-US" w:eastAsia="en-US" w:bidi="en-US"/>
        </w:rPr>
        <w:t xml:space="preserve">de lei in total (pe perioada </w:t>
      </w:r>
      <w:r>
        <w:rPr>
          <w:color w:val="000000"/>
          <w:spacing w:val="0"/>
          <w:w w:val="100"/>
          <w:position w:val="0"/>
          <w:shd w:val="clear" w:color="auto" w:fill="auto"/>
          <w:lang w:val="ru-RU" w:eastAsia="ru-RU" w:bidi="ru-RU"/>
        </w:rPr>
        <w:t>01.01.2019 - 31.08.2019).</w:t>
      </w:r>
    </w:p>
    <w:p>
      <w:pPr>
        <w:pStyle w:val="Style1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 xml:space="preserve">Dupa constatarea caracterului nefondat al costului serviciilor SRL „Torpedo”, IS „CFM” ar fi achitat doar </w:t>
      </w:r>
      <w:r>
        <w:rPr>
          <w:color w:val="000000"/>
          <w:spacing w:val="0"/>
          <w:w w:val="100"/>
          <w:position w:val="0"/>
          <w:shd w:val="clear" w:color="auto" w:fill="auto"/>
          <w:lang w:val="ru-RU" w:eastAsia="ru-RU" w:bidi="ru-RU"/>
        </w:rPr>
        <w:t xml:space="preserve">145 000 </w:t>
      </w:r>
      <w:r>
        <w:rPr>
          <w:color w:val="000000"/>
          <w:spacing w:val="0"/>
          <w:w w:val="100"/>
          <w:position w:val="0"/>
          <w:shd w:val="clear" w:color="auto" w:fill="auto"/>
          <w:lang w:val="en-US" w:eastAsia="en-US" w:bidi="en-US"/>
        </w:rPr>
        <w:t xml:space="preserve">de lei. Dupa plecarea din functie de sef al Serviciului transport calatori, Anatolie RUSU, personal insista sa fie achitata datoria de cca. </w:t>
      </w:r>
      <w:r>
        <w:rPr>
          <w:color w:val="000000"/>
          <w:spacing w:val="0"/>
          <w:w w:val="100"/>
          <w:position w:val="0"/>
          <w:shd w:val="clear" w:color="auto" w:fill="auto"/>
          <w:lang w:val="ru-RU" w:eastAsia="ru-RU" w:bidi="ru-RU"/>
        </w:rPr>
        <w:t xml:space="preserve">278 000 </w:t>
      </w:r>
      <w:r>
        <w:rPr>
          <w:color w:val="000000"/>
          <w:spacing w:val="0"/>
          <w:w w:val="100"/>
          <w:position w:val="0"/>
          <w:shd w:val="clear" w:color="auto" w:fill="auto"/>
          <w:lang w:val="en-US" w:eastAsia="en-US" w:bidi="en-US"/>
        </w:rPr>
        <w:t xml:space="preserve">de lei. Depoul de vagoane de calatori refuza achitarea partii restante, invocand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 xml:space="preserve">caracterul exagerat al pretului serviciilor de transport </w:t>
      </w:r>
      <w:r>
        <w:rPr>
          <w:color w:val="000000"/>
          <w:spacing w:val="0"/>
          <w:w w:val="100"/>
          <w:position w:val="0"/>
          <w:shd w:val="clear" w:color="auto" w:fill="auto"/>
          <w:lang w:val="ru-RU" w:eastAsia="ru-RU" w:bidi="ru-RU"/>
        </w:rPr>
        <w:t>”.</w:t>
      </w:r>
    </w:p>
    <w:p>
      <w:pPr>
        <w:pStyle w:val="Style17"/>
        <w:keepNext w:val="0"/>
        <w:keepLines w:val="0"/>
        <w:widowControl w:val="0"/>
        <w:numPr>
          <w:ilvl w:val="0"/>
          <w:numId w:val="43"/>
        </w:numPr>
        <w:shd w:val="clear" w:color="auto" w:fill="auto"/>
        <w:tabs>
          <w:tab w:pos="1034" w:val="left"/>
        </w:tabs>
        <w:bidi w:val="0"/>
        <w:spacing w:before="0" w:after="0" w:line="240" w:lineRule="auto"/>
        <w:ind w:left="0" w:right="0" w:firstLine="640"/>
        <w:jc w:val="both"/>
      </w:pPr>
      <w:r>
        <w:rPr>
          <w:b/>
          <w:bCs/>
          <w:color w:val="000000"/>
          <w:spacing w:val="0"/>
          <w:w w:val="100"/>
          <w:position w:val="0"/>
          <w:shd w:val="clear" w:color="auto" w:fill="auto"/>
          <w:lang w:val="en-US" w:eastAsia="en-US" w:bidi="en-US"/>
        </w:rPr>
        <w:t>Scheme/activitati ilicite</w:t>
      </w:r>
    </w:p>
    <w:p>
      <w:pPr>
        <w:pStyle w:val="Style15"/>
        <w:keepNext/>
        <w:keepLines/>
        <w:widowControl w:val="0"/>
        <w:numPr>
          <w:ilvl w:val="0"/>
          <w:numId w:val="45"/>
        </w:numPr>
        <w:shd w:val="clear" w:color="auto" w:fill="auto"/>
        <w:tabs>
          <w:tab w:pos="972" w:val="left"/>
        </w:tabs>
        <w:bidi w:val="0"/>
        <w:spacing w:before="0" w:after="0" w:line="240" w:lineRule="auto"/>
        <w:ind w:left="0" w:right="0" w:firstLine="640"/>
        <w:jc w:val="both"/>
      </w:pPr>
      <w:bookmarkStart w:id="74" w:name="bookmark74"/>
      <w:bookmarkStart w:id="75" w:name="bookmark75"/>
      <w:r>
        <w:rPr>
          <w:color w:val="000000"/>
          <w:spacing w:val="0"/>
          <w:w w:val="100"/>
          <w:position w:val="0"/>
          <w:shd w:val="clear" w:color="auto" w:fill="auto"/>
          <w:lang w:val="en-US" w:eastAsia="en-US" w:bidi="en-US"/>
        </w:rPr>
        <w:t>Transportarea fara bilete</w:t>
      </w:r>
      <w:bookmarkEnd w:id="74"/>
      <w:bookmarkEnd w:id="75"/>
    </w:p>
    <w:p>
      <w:pPr>
        <w:pStyle w:val="Style1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 xml:space="preserve">In conformitate cu actul Inspectiei Financiare din </w:t>
      </w:r>
      <w:r>
        <w:rPr>
          <w:color w:val="000000"/>
          <w:spacing w:val="0"/>
          <w:w w:val="100"/>
          <w:position w:val="0"/>
          <w:shd w:val="clear" w:color="auto" w:fill="auto"/>
          <w:lang w:val="ru-RU" w:eastAsia="ru-RU" w:bidi="ru-RU"/>
        </w:rPr>
        <w:t xml:space="preserve">21.05.2014 </w:t>
      </w:r>
      <w:r>
        <w:rPr>
          <w:color w:val="000000"/>
          <w:spacing w:val="0"/>
          <w:w w:val="100"/>
          <w:position w:val="0"/>
          <w:shd w:val="clear" w:color="auto" w:fill="auto"/>
          <w:lang w:val="en-US" w:eastAsia="en-US" w:bidi="en-US"/>
        </w:rPr>
        <w:t xml:space="preserve">privind verificarea corectitudinii incasarii si reflectarii de catre intreprindere a veniturilor din vanzarea biletelor de calatorie pe ruta Chisinau-Moscova-Chisinau pentru perioada aprilie-mai </w:t>
      </w:r>
      <w:r>
        <w:rPr>
          <w:color w:val="000000"/>
          <w:spacing w:val="0"/>
          <w:w w:val="100"/>
          <w:position w:val="0"/>
          <w:shd w:val="clear" w:color="auto" w:fill="auto"/>
          <w:lang w:val="ru-RU" w:eastAsia="ru-RU" w:bidi="ru-RU"/>
        </w:rPr>
        <w:t xml:space="preserve">2013, </w:t>
      </w:r>
      <w:r>
        <w:rPr>
          <w:color w:val="000000"/>
          <w:spacing w:val="0"/>
          <w:w w:val="100"/>
          <w:position w:val="0"/>
          <w:shd w:val="clear" w:color="auto" w:fill="auto"/>
          <w:lang w:val="en-US" w:eastAsia="en-US" w:bidi="en-US"/>
        </w:rPr>
        <w:t xml:space="preserve">a fost stabilit ca valoarea estimativa a veniturilor neinregistrate de intreprindere in perioada </w:t>
      </w:r>
      <w:r>
        <w:rPr>
          <w:color w:val="000000"/>
          <w:spacing w:val="0"/>
          <w:w w:val="100"/>
          <w:position w:val="0"/>
          <w:shd w:val="clear" w:color="auto" w:fill="auto"/>
          <w:lang w:val="ru-RU" w:eastAsia="ru-RU" w:bidi="ru-RU"/>
        </w:rPr>
        <w:t xml:space="preserve">06.05.2013-28.05.2013 </w:t>
      </w:r>
      <w:r>
        <w:rPr>
          <w:color w:val="000000"/>
          <w:spacing w:val="0"/>
          <w:w w:val="100"/>
          <w:position w:val="0"/>
          <w:shd w:val="clear" w:color="auto" w:fill="auto"/>
          <w:lang w:val="en-US" w:eastAsia="en-US" w:bidi="en-US"/>
        </w:rPr>
        <w:t xml:space="preserve">constituie </w:t>
      </w:r>
      <w:r>
        <w:rPr>
          <w:color w:val="000000"/>
          <w:spacing w:val="0"/>
          <w:w w:val="100"/>
          <w:position w:val="0"/>
          <w:shd w:val="clear" w:color="auto" w:fill="auto"/>
          <w:lang w:val="ru-RU" w:eastAsia="ru-RU" w:bidi="ru-RU"/>
        </w:rPr>
        <w:t xml:space="preserve">1,026 </w:t>
      </w:r>
      <w:r>
        <w:rPr>
          <w:color w:val="000000"/>
          <w:spacing w:val="0"/>
          <w:w w:val="100"/>
          <w:position w:val="0"/>
          <w:shd w:val="clear" w:color="auto" w:fill="auto"/>
          <w:lang w:val="en-US" w:eastAsia="en-US" w:bidi="en-US"/>
        </w:rPr>
        <w:t>mil. lei.</w:t>
      </w:r>
    </w:p>
    <w:p>
      <w:pPr>
        <w:pStyle w:val="Style1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Conform informatiei Serviciului de Informatii si Securitate</w:t>
      </w:r>
      <w:r>
        <w:rPr>
          <w:color w:val="000000"/>
          <w:spacing w:val="0"/>
          <w:w w:val="100"/>
          <w:position w:val="0"/>
          <w:shd w:val="clear" w:color="auto" w:fill="auto"/>
          <w:vertAlign w:val="superscript"/>
          <w:lang w:val="en-US" w:eastAsia="en-US" w:bidi="en-US"/>
        </w:rPr>
        <w:footnoteReference w:id="37"/>
      </w:r>
      <w:r>
        <w:rPr>
          <w:color w:val="000000"/>
          <w:spacing w:val="0"/>
          <w:w w:val="100"/>
          <w:position w:val="0"/>
          <w:shd w:val="clear" w:color="auto" w:fill="auto"/>
          <w:lang w:val="en-US" w:eastAsia="en-US" w:bidi="en-US"/>
        </w:rPr>
        <w:t xml:space="preserve"> erau sesizate organele procuraturii despre existenta unei scheme coruptibile de estorcare a mijloacelor financiare de catre functionarii din cadrul I.S. „CFM”. Sumele banesti erau estorcate de la sefii de tren si insotitorii lor pentru a musamaliza incalcarile depistate in rezultatul controalelor si pentru a nu intocmi procese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 xml:space="preserve">verbale. Astfel, se estorcau mijloace banesti de la sefii de tren care efectueaza rute internationale pe itinerarul Chisinau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 xml:space="preserve">Bucuresti, Chisinau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 xml:space="preserve">Moscova si Chisinau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 xml:space="preserve">Sankt Petersburg. Sumele acumulate variau intre </w:t>
      </w:r>
      <w:r>
        <w:rPr>
          <w:color w:val="000000"/>
          <w:spacing w:val="0"/>
          <w:w w:val="100"/>
          <w:position w:val="0"/>
          <w:shd w:val="clear" w:color="auto" w:fill="auto"/>
          <w:lang w:val="ru-RU" w:eastAsia="ru-RU" w:bidi="ru-RU"/>
        </w:rPr>
        <w:t xml:space="preserve">40 000 - 50 000 </w:t>
      </w:r>
      <w:r>
        <w:rPr>
          <w:color w:val="000000"/>
          <w:spacing w:val="0"/>
          <w:w w:val="100"/>
          <w:position w:val="0"/>
          <w:shd w:val="clear" w:color="auto" w:fill="auto"/>
          <w:lang w:val="en-US" w:eastAsia="en-US" w:bidi="en-US"/>
        </w:rPr>
        <w:t xml:space="preserve">lei pe luna. Persoanele nominalizate cu conditionarea de a nu intocmi procese verbale de constatare a unor incalcari solicita bani ocazional de la echipele de insotire a trenului, precum si sistematic de la sefii de tren. Totodata, de catre Serviciului de Informatii si Securitate au fost transmise informatii cu privire la o schema ilicita planificata si aplicata de catre unii angajati ai Garii Feroviare din mun. Chisinau, in special casieri si insotitori de vagon, prin care s-ar delapida in interes propriu, sume de bani proveniti din vanzarea biletelor de calatorie pe ruta trenului nr. </w:t>
      </w:r>
      <w:r>
        <w:rPr>
          <w:color w:val="000000"/>
          <w:spacing w:val="0"/>
          <w:w w:val="100"/>
          <w:position w:val="0"/>
          <w:shd w:val="clear" w:color="auto" w:fill="auto"/>
          <w:lang w:val="ru-RU" w:eastAsia="ru-RU" w:bidi="ru-RU"/>
        </w:rPr>
        <w:t xml:space="preserve">642 </w:t>
      </w:r>
      <w:r>
        <w:rPr>
          <w:color w:val="000000"/>
          <w:spacing w:val="0"/>
          <w:w w:val="100"/>
          <w:position w:val="0"/>
          <w:shd w:val="clear" w:color="auto" w:fill="auto"/>
          <w:lang w:val="en-US" w:eastAsia="en-US" w:bidi="en-US"/>
        </w:rPr>
        <w:t xml:space="preserve">Chisinau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 xml:space="preserve">Odessa. Astfel, Procuratura Anticoruptie a intentat </w:t>
      </w:r>
      <w:r>
        <w:rPr>
          <w:i/>
          <w:iCs/>
          <w:color w:val="000000"/>
          <w:spacing w:val="0"/>
          <w:w w:val="100"/>
          <w:position w:val="0"/>
          <w:u w:val="single"/>
          <w:shd w:val="clear" w:color="auto" w:fill="auto"/>
          <w:lang w:val="en-US" w:eastAsia="en-US" w:bidi="en-US"/>
        </w:rPr>
        <w:t>cauza penala nr. 2017978482,</w:t>
      </w:r>
      <w:r>
        <w:rPr>
          <w:color w:val="000000"/>
          <w:spacing w:val="0"/>
          <w:w w:val="100"/>
          <w:position w:val="0"/>
          <w:shd w:val="clear" w:color="auto" w:fill="auto"/>
          <w:lang w:val="en-US" w:eastAsia="en-US" w:bidi="en-US"/>
        </w:rPr>
        <w:t xml:space="preserve"> din art. 191, alin. (2) CP al RM, iar ulterior a expediat-o in gestiunea Procuraturii mun. Chisinau, oficiul Centru.</w:t>
      </w:r>
    </w:p>
    <w:p>
      <w:pPr>
        <w:pStyle w:val="Style15"/>
        <w:keepNext/>
        <w:keepLines/>
        <w:widowControl w:val="0"/>
        <w:numPr>
          <w:ilvl w:val="0"/>
          <w:numId w:val="45"/>
        </w:numPr>
        <w:shd w:val="clear" w:color="auto" w:fill="auto"/>
        <w:tabs>
          <w:tab w:pos="972" w:val="left"/>
        </w:tabs>
        <w:bidi w:val="0"/>
        <w:spacing w:before="0" w:after="0" w:line="240" w:lineRule="auto"/>
        <w:ind w:left="0" w:right="0" w:firstLine="640"/>
        <w:jc w:val="both"/>
      </w:pPr>
      <w:bookmarkStart w:id="76" w:name="bookmark76"/>
      <w:bookmarkStart w:id="77" w:name="bookmark77"/>
      <w:r>
        <w:rPr>
          <w:color w:val="000000"/>
          <w:spacing w:val="0"/>
          <w:w w:val="100"/>
          <w:position w:val="0"/>
          <w:shd w:val="clear" w:color="auto" w:fill="auto"/>
          <w:lang w:val="en-US" w:eastAsia="en-US" w:bidi="en-US"/>
        </w:rPr>
        <w:t>Transferuri nejustificate (Paza militara)</w:t>
      </w:r>
      <w:bookmarkEnd w:id="76"/>
      <w:bookmarkEnd w:id="77"/>
    </w:p>
    <w:p>
      <w:pPr>
        <w:pStyle w:val="Style1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Faptele indicate in Hotararea Curtii de Conturi nr. 31 din 8 august 2011 releva ca Serviciul paza militarizata in perioada 01.01.2008-01.10.2010, in baza a 39 de ordine de plata, semnate de seful Serviciului paza militarizata si contabilul-sef, neintemeiat, in lipsa documentelor justificative, a transferat unor unitati economice mijloace in suma de 1,947 mil. lei si respectiv 207,4 mii lei.</w:t>
      </w:r>
    </w:p>
    <w:p>
      <w:pPr>
        <w:pStyle w:val="Style1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Aceste mijloace financiare, conform informatiilor solicitate de Curtea de Conturi de la institutiile financiare, ulterior au fost ridicate in numerar in baza delegatiilor. Urmare acestor tranzactii, contabilul-sef a efectuat inregistrari contabile eronate, transferurile fiind reflectate la cheltuieli ca datorii fata de personal la retribuirea muncii, la contributii de asigurari sociale de stat obligatorii, datorii pe termen scurt la facturile comerciale. In realitate, facturi comerciale nu au fost prezentate auditului, iar transferurile s-au efectuat in lipsa contractelor incheiate. Astfel, mijloacele financiare in suma de 2,154 mil. lei au fost sustrase de pe contul bancar al intreprinderii si trecute neintemeiat la cresterea pretului de cost al transportului de marfuri si celui de calatori ale I.S. „CFM”.</w:t>
      </w:r>
    </w:p>
    <w:p>
      <w:pPr>
        <w:pStyle w:val="Style15"/>
        <w:keepNext/>
        <w:keepLines/>
        <w:widowControl w:val="0"/>
        <w:numPr>
          <w:ilvl w:val="0"/>
          <w:numId w:val="45"/>
        </w:numPr>
        <w:shd w:val="clear" w:color="auto" w:fill="auto"/>
        <w:tabs>
          <w:tab w:pos="966" w:val="left"/>
        </w:tabs>
        <w:bidi w:val="0"/>
        <w:spacing w:before="0" w:after="0" w:line="240" w:lineRule="auto"/>
        <w:ind w:left="0" w:right="0" w:firstLine="640"/>
        <w:jc w:val="both"/>
      </w:pPr>
      <w:bookmarkStart w:id="78" w:name="bookmark78"/>
      <w:bookmarkStart w:id="79" w:name="bookmark79"/>
      <w:r>
        <w:rPr>
          <w:color w:val="000000"/>
          <w:spacing w:val="0"/>
          <w:w w:val="100"/>
          <w:position w:val="0"/>
          <w:shd w:val="clear" w:color="auto" w:fill="auto"/>
          <w:lang w:val="en-US" w:eastAsia="en-US" w:bidi="en-US"/>
        </w:rPr>
        <w:t>Necalcularea taxei suplimentara pentru pregatirea si transmiterea vagoanelor la Ocnita</w:t>
      </w:r>
      <w:bookmarkEnd w:id="78"/>
      <w:bookmarkEnd w:id="79"/>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 xml:space="preserve">In rezultatul controlului efectuat de Inspectia Financiara in februarie </w:t>
      </w:r>
      <w:r>
        <w:rPr>
          <w:color w:val="000000"/>
          <w:spacing w:val="0"/>
          <w:w w:val="100"/>
          <w:position w:val="0"/>
          <w:shd w:val="clear" w:color="auto" w:fill="auto"/>
          <w:lang w:val="ru-RU" w:eastAsia="ru-RU" w:bidi="ru-RU"/>
        </w:rPr>
        <w:t xml:space="preserve">2013 </w:t>
      </w:r>
      <w:r>
        <w:rPr>
          <w:color w:val="000000"/>
          <w:spacing w:val="0"/>
          <w:w w:val="100"/>
          <w:position w:val="0"/>
          <w:shd w:val="clear" w:color="auto" w:fill="auto"/>
          <w:lang w:val="en-US" w:eastAsia="en-US" w:bidi="en-US"/>
        </w:rPr>
        <w:t xml:space="preserve">s-a stabilit ca n-a fost calculata taxa suplimentara pentru pregatirea si transmiterea a </w:t>
      </w:r>
      <w:r>
        <w:rPr>
          <w:color w:val="000000"/>
          <w:spacing w:val="0"/>
          <w:w w:val="100"/>
          <w:position w:val="0"/>
          <w:shd w:val="clear" w:color="auto" w:fill="auto"/>
          <w:lang w:val="ru-RU" w:eastAsia="ru-RU" w:bidi="ru-RU"/>
        </w:rPr>
        <w:t xml:space="preserve">37 </w:t>
      </w:r>
      <w:r>
        <w:rPr>
          <w:color w:val="000000"/>
          <w:spacing w:val="0"/>
          <w:w w:val="100"/>
          <w:position w:val="0"/>
          <w:shd w:val="clear" w:color="auto" w:fill="auto"/>
          <w:lang w:val="en-US" w:eastAsia="en-US" w:bidi="en-US"/>
        </w:rPr>
        <w:t xml:space="preserve">de vagoane descoperite sub incarcaturi la s. Gnivani (Ucraina), ca urmare fiind ratata posibilitatea incasarii a unui venit suplimentar in suma totala de </w:t>
      </w:r>
      <w:r>
        <w:rPr>
          <w:color w:val="000000"/>
          <w:spacing w:val="0"/>
          <w:w w:val="100"/>
          <w:position w:val="0"/>
          <w:shd w:val="clear" w:color="auto" w:fill="auto"/>
          <w:lang w:val="ru-RU" w:eastAsia="ru-RU" w:bidi="ru-RU"/>
        </w:rPr>
        <w:t xml:space="preserve">949,6 </w:t>
      </w:r>
      <w:r>
        <w:rPr>
          <w:color w:val="000000"/>
          <w:spacing w:val="0"/>
          <w:w w:val="100"/>
          <w:position w:val="0"/>
          <w:shd w:val="clear" w:color="auto" w:fill="auto"/>
          <w:lang w:val="en-US" w:eastAsia="en-US" w:bidi="en-US"/>
        </w:rPr>
        <w:t xml:space="preserve">mii lei </w:t>
      </w:r>
      <w:r>
        <w:rPr>
          <w:color w:val="000000"/>
          <w:spacing w:val="0"/>
          <w:w w:val="100"/>
          <w:position w:val="0"/>
          <w:shd w:val="clear" w:color="auto" w:fill="auto"/>
          <w:lang w:val="ru-RU" w:eastAsia="ru-RU" w:bidi="ru-RU"/>
        </w:rPr>
        <w:t xml:space="preserve">(73047 </w:t>
      </w:r>
      <w:r>
        <w:rPr>
          <w:color w:val="000000"/>
          <w:spacing w:val="0"/>
          <w:w w:val="100"/>
          <w:position w:val="0"/>
          <w:shd w:val="clear" w:color="auto" w:fill="auto"/>
          <w:lang w:val="en-US" w:eastAsia="en-US" w:bidi="en-US"/>
        </w:rPr>
        <w:t>franci elvetieni), inclusiv: in anul 2011- 250,45 mii lei (19265 franci elvetieni.) si in anul 2012 - 699,16 mii lei (53782 franci elvetieni). Totodata, intreprinderea a suportat cheltuieli suplimentare in suma de 607,3 mii lei, inclusiv: in anul 2011 - 124001 lei, in anul 2012 - 483340 lei. Vagoanele descoperite transmise Ucrainei au fost utilizate in majoritate cazurilor de urmatorii agenti economici: SRL „Taft-Auto”, SRL „Veromax-Impex”§i SRL „Naxin” pentru transportarea prundisului.</w:t>
      </w:r>
      <w:r>
        <w:rPr>
          <w:color w:val="000000"/>
          <w:spacing w:val="0"/>
          <w:w w:val="100"/>
          <w:position w:val="0"/>
          <w:shd w:val="clear" w:color="auto" w:fill="auto"/>
          <w:vertAlign w:val="superscript"/>
          <w:lang w:val="en-US" w:eastAsia="en-US" w:bidi="en-US"/>
        </w:rPr>
        <w:footnoteReference w:id="38"/>
      </w:r>
    </w:p>
    <w:p>
      <w:pPr>
        <w:pStyle w:val="Style15"/>
        <w:keepNext/>
        <w:keepLines/>
        <w:widowControl w:val="0"/>
        <w:numPr>
          <w:ilvl w:val="0"/>
          <w:numId w:val="45"/>
        </w:numPr>
        <w:shd w:val="clear" w:color="auto" w:fill="auto"/>
        <w:tabs>
          <w:tab w:pos="982" w:val="left"/>
        </w:tabs>
        <w:bidi w:val="0"/>
        <w:spacing w:before="0" w:after="0" w:line="240" w:lineRule="auto"/>
        <w:ind w:left="0" w:right="0"/>
        <w:jc w:val="both"/>
      </w:pPr>
      <w:bookmarkStart w:id="80" w:name="bookmark80"/>
      <w:bookmarkStart w:id="81" w:name="bookmark81"/>
      <w:r>
        <w:rPr>
          <w:color w:val="000000"/>
          <w:spacing w:val="0"/>
          <w:w w:val="100"/>
          <w:position w:val="0"/>
          <w:shd w:val="clear" w:color="auto" w:fill="auto"/>
          <w:lang w:val="en-US" w:eastAsia="en-US" w:bidi="en-US"/>
        </w:rPr>
        <w:t>Taxe neoficiale aplicate expeditorilor</w:t>
      </w:r>
      <w:bookmarkEnd w:id="80"/>
      <w:bookmarkEnd w:id="81"/>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Conform informatiilor prezentate de catre SIS</w:t>
      </w:r>
      <w:r>
        <w:rPr>
          <w:color w:val="000000"/>
          <w:spacing w:val="0"/>
          <w:w w:val="100"/>
          <w:position w:val="0"/>
          <w:shd w:val="clear" w:color="auto" w:fill="auto"/>
          <w:vertAlign w:val="superscript"/>
          <w:lang w:val="en-US" w:eastAsia="en-US" w:bidi="en-US"/>
        </w:rPr>
        <w:footnoteReference w:id="39"/>
      </w:r>
      <w:r>
        <w:rPr>
          <w:color w:val="000000"/>
          <w:spacing w:val="0"/>
          <w:w w:val="100"/>
          <w:position w:val="0"/>
          <w:shd w:val="clear" w:color="auto" w:fill="auto"/>
          <w:lang w:val="en-US" w:eastAsia="en-US" w:bidi="en-US"/>
        </w:rPr>
        <w:t xml:space="preserve">, prin intermediul unor angajati ai I.S. „CFM”, pentru taxa neoficiala de 2 dolari SUA/l tona transportata, firmele expeditoare care o achita sunt favorizate. Potrivit </w:t>
      </w:r>
      <w:r>
        <w:rPr>
          <w:i/>
          <w:iCs/>
          <w:color w:val="000000"/>
          <w:spacing w:val="0"/>
          <w:w w:val="100"/>
          <w:position w:val="0"/>
          <w:shd w:val="clear" w:color="auto" w:fill="auto"/>
          <w:lang w:val="en-US" w:eastAsia="en-US" w:bidi="en-US"/>
        </w:rPr>
        <w:t>sesizarii,</w:t>
      </w:r>
      <w:r>
        <w:rPr>
          <w:color w:val="000000"/>
          <w:spacing w:val="0"/>
          <w:w w:val="100"/>
          <w:position w:val="0"/>
          <w:shd w:val="clear" w:color="auto" w:fill="auto"/>
          <w:lang w:val="en-US" w:eastAsia="en-US" w:bidi="en-US"/>
        </w:rPr>
        <w:t xml:space="preserve"> vice directorul General al I.S. „CFM”, responsabila de activitatea comerciala, VICOL Arcadie, avantaja anumite firme de expedite pentru transportarea marfurilor agentilor economici, de regula contrar cererilor ultimilor. Prin urmare, s-a format un monopol in prestarea serviciilor de expedite.</w:t>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 xml:space="preserve">Astfel, conform Regulamentului de transportare a marfurilor pe cale feroviara, fiecare firma de expedite urma sa depuna pe contul I.S. „CFM” un milion de lei, indiferent de tranzactiile efectuate. In acelasi cont zilnic trebuia sa existe o suma de cel putin 20% din valoarea tuturor tranzactiilor derulate de firma de expedite in ultimele 3 luni. Analiza operatiunilor comerciale a evidentiat ca firmele de expedite: SRL „UNION EXPEDIJIE”, SRL „CONDALINE”, SRL </w:t>
      </w:r>
      <w:r>
        <w:rPr>
          <w:smallCaps/>
          <w:color w:val="000000"/>
          <w:spacing w:val="0"/>
          <w:w w:val="100"/>
          <w:position w:val="0"/>
          <w:shd w:val="clear" w:color="auto" w:fill="auto"/>
          <w:lang w:val="en-US" w:eastAsia="en-US" w:bidi="en-US"/>
        </w:rPr>
        <w:t>„tRaNSLOGIST SISTeM”,</w:t>
      </w:r>
      <w:r>
        <w:rPr>
          <w:color w:val="000000"/>
          <w:spacing w:val="0"/>
          <w:w w:val="100"/>
          <w:position w:val="0"/>
          <w:shd w:val="clear" w:color="auto" w:fill="auto"/>
          <w:lang w:val="en-US" w:eastAsia="en-US" w:bidi="en-US"/>
        </w:rPr>
        <w:t xml:space="preserve"> SRL „TRANSLINE-EXIM”, SRL „BRUCVUD-PLUS”, SRL „TRANSCANCOR” incalcau prevederile in cauza, astfel incat se inverseaza rolurile - intreprinderea de stat presteaza „in avans” serviciile de transport firmelor de expedite mentionate. Companiile „tutelate” achita „taxele de protectie” prin transferarea lor in conturile firmei off-shore „CARGOLOGIST” LP, sub acoperirea unor contracte fictive. Pentru organizarea transportului de marfuri, in 2014, au incheiat contracte cu I.S. „CFM” 23 de firme de expedite. Respectiv, activitatea majoritatii lor este afectata, in consecinta fenomenului descris, prin concurenta neloiala.</w:t>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Astfel, incepand cu anul 2014, functioneaza monopolul asupra serviciilor de expedite a marfurilor pe cale ferata, implementat prin coruptie, cu aplicarea „taxelor neoficiale de la 2 la 5 dolari SUA per tona de marfa transportata, de la firmele de expedite</w:t>
      </w:r>
      <w:r>
        <w:rPr>
          <w:color w:val="000000"/>
          <w:spacing w:val="0"/>
          <w:w w:val="100"/>
          <w:position w:val="0"/>
          <w:shd w:val="clear" w:color="auto" w:fill="auto"/>
          <w:vertAlign w:val="superscript"/>
          <w:lang w:val="en-US" w:eastAsia="en-US" w:bidi="en-US"/>
        </w:rPr>
        <w:footnoteReference w:id="40"/>
      </w:r>
      <w:r>
        <w:rPr>
          <w:color w:val="000000"/>
          <w:spacing w:val="0"/>
          <w:w w:val="100"/>
          <w:position w:val="0"/>
          <w:shd w:val="clear" w:color="auto" w:fill="auto"/>
          <w:lang w:val="en-US" w:eastAsia="en-US" w:bidi="en-US"/>
        </w:rPr>
        <w:t xml:space="preserve">. Conform informatiilor din scrisoarea SIS nr. </w:t>
      </w:r>
      <w:r>
        <w:rPr>
          <w:color w:val="000000"/>
          <w:spacing w:val="0"/>
          <w:w w:val="100"/>
          <w:position w:val="0"/>
          <w:shd w:val="clear" w:color="auto" w:fill="auto"/>
          <w:lang w:val="ru-RU" w:eastAsia="ru-RU" w:bidi="ru-RU"/>
        </w:rPr>
        <w:t xml:space="preserve">5/1903 </w:t>
      </w:r>
      <w:r>
        <w:rPr>
          <w:color w:val="000000"/>
          <w:spacing w:val="0"/>
          <w:w w:val="100"/>
          <w:position w:val="0"/>
          <w:shd w:val="clear" w:color="auto" w:fill="auto"/>
          <w:lang w:val="en-US" w:eastAsia="en-US" w:bidi="en-US"/>
        </w:rPr>
        <w:t>din 10.12.2019 schema functiona dupa cum urmeaza:</w:t>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Organizatori si coordonatori ai schemei si ai intregului proces de expeditie figureaza:</w:t>
      </w:r>
    </w:p>
    <w:p>
      <w:pPr>
        <w:pStyle w:val="Style17"/>
        <w:keepNext w:val="0"/>
        <w:keepLines w:val="0"/>
        <w:widowControl w:val="0"/>
        <w:shd w:val="clear" w:color="auto" w:fill="auto"/>
        <w:bidi w:val="0"/>
        <w:spacing w:before="0" w:after="40" w:line="240" w:lineRule="auto"/>
        <w:ind w:left="0" w:right="0" w:firstLine="660"/>
        <w:jc w:val="both"/>
      </w:pPr>
      <w:r>
        <w:rPr>
          <w:color w:val="000000"/>
          <w:spacing w:val="0"/>
          <w:w w:val="100"/>
          <w:position w:val="0"/>
          <w:shd w:val="clear" w:color="auto" w:fill="auto"/>
          <w:lang w:val="en-US" w:eastAsia="en-US" w:bidi="en-US"/>
        </w:rPr>
        <w:t>Veaceslav BAIDA - gestioneaza neoficial si operatorul de expeditie SRL „Transfer- SV”;</w:t>
      </w:r>
    </w:p>
    <w:p>
      <w:pPr>
        <w:pStyle w:val="Style17"/>
        <w:keepNext w:val="0"/>
        <w:keepLines w:val="0"/>
        <w:widowControl w:val="0"/>
        <w:shd w:val="clear" w:color="auto" w:fill="auto"/>
        <w:bidi w:val="0"/>
        <w:spacing w:before="0" w:after="0" w:line="254" w:lineRule="auto"/>
        <w:ind w:left="0" w:right="0" w:firstLine="660"/>
        <w:jc w:val="both"/>
      </w:pPr>
      <w:r>
        <w:rPr>
          <w:color w:val="000000"/>
          <w:spacing w:val="0"/>
          <w:w w:val="100"/>
          <w:position w:val="0"/>
          <w:sz w:val="22"/>
          <w:szCs w:val="22"/>
          <w:shd w:val="clear" w:color="auto" w:fill="auto"/>
          <w:lang w:val="en-US" w:eastAsia="en-US" w:bidi="en-US"/>
        </w:rPr>
        <w:t xml:space="preserve">- </w:t>
      </w:r>
      <w:r>
        <w:rPr>
          <w:color w:val="000000"/>
          <w:spacing w:val="0"/>
          <w:w w:val="100"/>
          <w:position w:val="0"/>
          <w:shd w:val="clear" w:color="auto" w:fill="auto"/>
          <w:lang w:val="en-US" w:eastAsia="en-US" w:bidi="en-US"/>
        </w:rPr>
        <w:t xml:space="preserve">Arcadie VICOL - angajat in SA „Moldovagaz” (2015 - 2019), anterior director comercial al SA „Metalferos” (2005 - 2013 vicedirector general al IS „CFM”, responsabil de activitatea comerciala (vara 2013 - septembrie 2015), gestioneaza neoficial SRL „Arvi Invest Logistics” - se afla in topul importatorilor de carbune in Republica Moldova din </w:t>
      </w:r>
      <w:r>
        <w:rPr>
          <w:color w:val="000000"/>
          <w:spacing w:val="0"/>
          <w:w w:val="100"/>
          <w:position w:val="0"/>
          <w:shd w:val="clear" w:color="auto" w:fill="auto"/>
          <w:lang w:val="en-US" w:eastAsia="en-US" w:bidi="en-US"/>
        </w:rPr>
        <w:t>Federatia Rusa (extras din reg. Donbas), livreaza carbune inclusiv catre IS „CFM” si este operator de expeditie pe cale ferata.</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en-US" w:eastAsia="en-US" w:bidi="en-US"/>
        </w:rPr>
        <w:t>In scopul limitarii numarului de companii de expeditie si favorizarii anumitor operatori, coordonatorii schemei au operat modificari la Regulamentul de transportare a marfurilor pe cale feroviara.</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en-US" w:eastAsia="en-US" w:bidi="en-US"/>
        </w:rPr>
        <w:t xml:space="preserve">Conform noilor conditii, incepand cu anul </w:t>
      </w:r>
      <w:r>
        <w:rPr>
          <w:color w:val="000000"/>
          <w:spacing w:val="0"/>
          <w:w w:val="100"/>
          <w:position w:val="0"/>
          <w:shd w:val="clear" w:color="auto" w:fill="auto"/>
          <w:lang w:val="ru-RU" w:eastAsia="ru-RU" w:bidi="ru-RU"/>
        </w:rPr>
        <w:t xml:space="preserve">2015, </w:t>
      </w:r>
      <w:r>
        <w:rPr>
          <w:color w:val="000000"/>
          <w:spacing w:val="0"/>
          <w:w w:val="100"/>
          <w:position w:val="0"/>
          <w:shd w:val="clear" w:color="auto" w:fill="auto"/>
          <w:lang w:val="en-US" w:eastAsia="en-US" w:bidi="en-US"/>
        </w:rPr>
        <w:t xml:space="preserve">fiecare firma de expeditie urmeaza sa depuna in contul IS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 xml:space="preserve">CFM” suma de </w:t>
      </w:r>
      <w:r>
        <w:rPr>
          <w:color w:val="000000"/>
          <w:spacing w:val="0"/>
          <w:w w:val="100"/>
          <w:position w:val="0"/>
          <w:shd w:val="clear" w:color="auto" w:fill="auto"/>
          <w:lang w:val="ru-RU" w:eastAsia="ru-RU" w:bidi="ru-RU"/>
        </w:rPr>
        <w:t xml:space="preserve">3 000 000 </w:t>
      </w:r>
      <w:r>
        <w:rPr>
          <w:color w:val="000000"/>
          <w:spacing w:val="0"/>
          <w:w w:val="100"/>
          <w:position w:val="0"/>
          <w:shd w:val="clear" w:color="auto" w:fill="auto"/>
          <w:lang w:val="en-US" w:eastAsia="en-US" w:bidi="en-US"/>
        </w:rPr>
        <w:t xml:space="preserve">de lei” (in anul </w:t>
      </w:r>
      <w:r>
        <w:rPr>
          <w:color w:val="000000"/>
          <w:spacing w:val="0"/>
          <w:w w:val="100"/>
          <w:position w:val="0"/>
          <w:shd w:val="clear" w:color="auto" w:fill="auto"/>
          <w:lang w:val="ru-RU" w:eastAsia="ru-RU" w:bidi="ru-RU"/>
        </w:rPr>
        <w:t xml:space="preserve">2014 </w:t>
      </w:r>
      <w:r>
        <w:rPr>
          <w:color w:val="000000"/>
          <w:spacing w:val="0"/>
          <w:w w:val="100"/>
          <w:position w:val="0"/>
          <w:shd w:val="clear" w:color="auto" w:fill="auto"/>
          <w:lang w:val="en-US" w:eastAsia="en-US" w:bidi="en-US"/>
        </w:rPr>
        <w:t xml:space="preserve">suma era de </w:t>
      </w:r>
      <w:r>
        <w:rPr>
          <w:color w:val="000000"/>
          <w:spacing w:val="0"/>
          <w:w w:val="100"/>
          <w:position w:val="0"/>
          <w:shd w:val="clear" w:color="auto" w:fill="auto"/>
          <w:lang w:val="ru-RU" w:eastAsia="ru-RU" w:bidi="ru-RU"/>
        </w:rPr>
        <w:t xml:space="preserve">1 000 000 </w:t>
      </w:r>
      <w:r>
        <w:rPr>
          <w:color w:val="000000"/>
          <w:spacing w:val="0"/>
          <w:w w:val="100"/>
          <w:position w:val="0"/>
          <w:shd w:val="clear" w:color="auto" w:fill="auto"/>
          <w:lang w:val="en-US" w:eastAsia="en-US" w:bidi="en-US"/>
        </w:rPr>
        <w:t xml:space="preserve">de lei). Concomitent, indiferent de numarul tranzactiilor efectuate, in acelasi cont, zilnic trebuie sa existe o suma de cel putin </w:t>
      </w:r>
      <w:r>
        <w:rPr>
          <w:color w:val="000000"/>
          <w:spacing w:val="0"/>
          <w:w w:val="100"/>
          <w:position w:val="0"/>
          <w:shd w:val="clear" w:color="auto" w:fill="auto"/>
          <w:lang w:val="ru-RU" w:eastAsia="ru-RU" w:bidi="ru-RU"/>
        </w:rPr>
        <w:t xml:space="preserve">20% </w:t>
      </w:r>
      <w:r>
        <w:rPr>
          <w:color w:val="000000"/>
          <w:spacing w:val="0"/>
          <w:w w:val="100"/>
          <w:position w:val="0"/>
          <w:shd w:val="clear" w:color="auto" w:fill="auto"/>
          <w:lang w:val="en-US" w:eastAsia="en-US" w:bidi="en-US"/>
        </w:rPr>
        <w:t xml:space="preserve">din valoarea tuturor tranzactiilor realizate in ultimele </w:t>
      </w:r>
      <w:r>
        <w:rPr>
          <w:color w:val="000000"/>
          <w:spacing w:val="0"/>
          <w:w w:val="100"/>
          <w:position w:val="0"/>
          <w:shd w:val="clear" w:color="auto" w:fill="auto"/>
          <w:lang w:val="ru-RU" w:eastAsia="ru-RU" w:bidi="ru-RU"/>
        </w:rPr>
        <w:t xml:space="preserve">3 </w:t>
      </w:r>
      <w:r>
        <w:rPr>
          <w:color w:val="000000"/>
          <w:spacing w:val="0"/>
          <w:w w:val="100"/>
          <w:position w:val="0"/>
          <w:shd w:val="clear" w:color="auto" w:fill="auto"/>
          <w:lang w:val="en-US" w:eastAsia="en-US" w:bidi="en-US"/>
        </w:rPr>
        <w:t>luni. In consecinta, mai multi agenti economici au fost nevoiti sa-si reprofileze domeniul, iar altii sa-si incheie activitatea (indeosebi firmele de expeditie mici).</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en-US" w:eastAsia="en-US" w:bidi="en-US"/>
        </w:rPr>
        <w:t xml:space="preserve">Pentru comparatie, in </w:t>
      </w:r>
      <w:r>
        <w:rPr>
          <w:color w:val="000000"/>
          <w:spacing w:val="0"/>
          <w:w w:val="100"/>
          <w:position w:val="0"/>
          <w:shd w:val="clear" w:color="auto" w:fill="auto"/>
          <w:lang w:val="ru-RU" w:eastAsia="ru-RU" w:bidi="ru-RU"/>
        </w:rPr>
        <w:t xml:space="preserve">2014, </w:t>
      </w:r>
      <w:r>
        <w:rPr>
          <w:color w:val="000000"/>
          <w:spacing w:val="0"/>
          <w:w w:val="100"/>
          <w:position w:val="0"/>
          <w:shd w:val="clear" w:color="auto" w:fill="auto"/>
          <w:lang w:val="en-US" w:eastAsia="en-US" w:bidi="en-US"/>
        </w:rPr>
        <w:t xml:space="preserve">IS „CFM” avea incheiate contracte cu peste </w:t>
      </w:r>
      <w:r>
        <w:rPr>
          <w:color w:val="000000"/>
          <w:spacing w:val="0"/>
          <w:w w:val="100"/>
          <w:position w:val="0"/>
          <w:shd w:val="clear" w:color="auto" w:fill="auto"/>
          <w:lang w:val="ru-RU" w:eastAsia="ru-RU" w:bidi="ru-RU"/>
        </w:rPr>
        <w:t xml:space="preserve">23 </w:t>
      </w:r>
      <w:r>
        <w:rPr>
          <w:color w:val="000000"/>
          <w:spacing w:val="0"/>
          <w:w w:val="100"/>
          <w:position w:val="0"/>
          <w:shd w:val="clear" w:color="auto" w:fill="auto"/>
          <w:lang w:val="en-US" w:eastAsia="en-US" w:bidi="en-US"/>
        </w:rPr>
        <w:t xml:space="preserve">de firme de expeditie. in </w:t>
      </w:r>
      <w:r>
        <w:rPr>
          <w:color w:val="000000"/>
          <w:spacing w:val="0"/>
          <w:w w:val="100"/>
          <w:position w:val="0"/>
          <w:shd w:val="clear" w:color="auto" w:fill="auto"/>
          <w:lang w:val="ru-RU" w:eastAsia="ru-RU" w:bidi="ru-RU"/>
        </w:rPr>
        <w:t xml:space="preserve">2015, </w:t>
      </w:r>
      <w:r>
        <w:rPr>
          <w:color w:val="000000"/>
          <w:spacing w:val="0"/>
          <w:w w:val="100"/>
          <w:position w:val="0"/>
          <w:shd w:val="clear" w:color="auto" w:fill="auto"/>
          <w:lang w:val="en-US" w:eastAsia="en-US" w:bidi="en-US"/>
        </w:rPr>
        <w:t xml:space="preserve">din cauza noilor conditii (catalogate drept anticoncurentiale), numarul acestora a scazut pana la </w:t>
      </w:r>
      <w:r>
        <w:rPr>
          <w:color w:val="000000"/>
          <w:spacing w:val="0"/>
          <w:w w:val="100"/>
          <w:position w:val="0"/>
          <w:shd w:val="clear" w:color="auto" w:fill="auto"/>
          <w:lang w:val="ru-RU" w:eastAsia="ru-RU" w:bidi="ru-RU"/>
        </w:rPr>
        <w:t>14.</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en-US" w:eastAsia="en-US" w:bidi="en-US"/>
        </w:rPr>
        <w:t xml:space="preserve">Aceste conditii au fost create „artificial”, prevederile mentionate fiind de fapt incalcate de catre companiile protejate (SRL „Union Expeditie”, SRL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 xml:space="preserve">Condaline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 xml:space="preserve">SRL „Translogist Sistem”, SRL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 xml:space="preserve">Transline-Exim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SRL „Brucvud- Plus” si SRL „Transcancor”). Au fost inregistrate cazuri cand, acestea, neavand lichiditati in cont, IS „CFM” le presta „in avans” servicii de transport.</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en-US" w:eastAsia="en-US" w:bidi="en-US"/>
        </w:rPr>
        <w:t>Astfel a fost instaurat monopol in prestarea serviciilor de expeditie, pentru unele si aceleasi companii:</w:t>
      </w:r>
    </w:p>
    <w:p>
      <w:pPr>
        <w:pStyle w:val="Style17"/>
        <w:keepNext w:val="0"/>
        <w:keepLines w:val="0"/>
        <w:widowControl w:val="0"/>
        <w:numPr>
          <w:ilvl w:val="0"/>
          <w:numId w:val="35"/>
        </w:numPr>
        <w:shd w:val="clear" w:color="auto" w:fill="auto"/>
        <w:tabs>
          <w:tab w:pos="924" w:val="left"/>
        </w:tabs>
        <w:bidi w:val="0"/>
        <w:spacing w:before="0" w:after="0" w:line="259" w:lineRule="auto"/>
        <w:ind w:left="0" w:right="0" w:firstLine="740"/>
        <w:jc w:val="both"/>
      </w:pPr>
      <w:r>
        <w:rPr>
          <w:color w:val="000000"/>
          <w:spacing w:val="0"/>
          <w:w w:val="100"/>
          <w:position w:val="0"/>
          <w:shd w:val="clear" w:color="auto" w:fill="auto"/>
          <w:lang w:val="en-US" w:eastAsia="en-US" w:bidi="en-US"/>
        </w:rPr>
        <w:t xml:space="preserve">SRL „Union Expeditie”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a devenit operator national de expeditie pe sectorul de transport feroviar in cadrul programului „ZUBR”. La fel, aceasta intreprindere si-a format un monopol exclusiv la organizarea transportarii loturilor de sare importata;</w:t>
      </w:r>
    </w:p>
    <w:p>
      <w:pPr>
        <w:pStyle w:val="Style17"/>
        <w:keepNext w:val="0"/>
        <w:keepLines w:val="0"/>
        <w:widowControl w:val="0"/>
        <w:numPr>
          <w:ilvl w:val="0"/>
          <w:numId w:val="35"/>
        </w:numPr>
        <w:shd w:val="clear" w:color="auto" w:fill="auto"/>
        <w:tabs>
          <w:tab w:pos="944" w:val="left"/>
        </w:tabs>
        <w:bidi w:val="0"/>
        <w:spacing w:before="0" w:after="0" w:line="307" w:lineRule="auto"/>
        <w:ind w:left="0" w:right="0" w:firstLine="740"/>
        <w:jc w:val="both"/>
      </w:pPr>
      <w:r>
        <w:rPr>
          <w:color w:val="000000"/>
          <w:spacing w:val="0"/>
          <w:w w:val="100"/>
          <w:position w:val="0"/>
          <w:shd w:val="clear" w:color="auto" w:fill="auto"/>
          <w:lang w:val="en-US" w:eastAsia="en-US" w:bidi="en-US"/>
        </w:rPr>
        <w:t xml:space="preserve">SRL „Translogist Sistem”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operator national al trenului VIKING in RM;</w:t>
      </w:r>
    </w:p>
    <w:p>
      <w:pPr>
        <w:pStyle w:val="Style17"/>
        <w:keepNext w:val="0"/>
        <w:keepLines w:val="0"/>
        <w:widowControl w:val="0"/>
        <w:numPr>
          <w:ilvl w:val="0"/>
          <w:numId w:val="35"/>
        </w:numPr>
        <w:shd w:val="clear" w:color="auto" w:fill="auto"/>
        <w:tabs>
          <w:tab w:pos="944" w:val="left"/>
        </w:tabs>
        <w:bidi w:val="0"/>
        <w:spacing w:before="0" w:after="0" w:line="307" w:lineRule="auto"/>
        <w:ind w:left="0" w:right="0" w:firstLine="740"/>
        <w:jc w:val="both"/>
      </w:pPr>
      <w:r>
        <w:rPr>
          <w:color w:val="000000"/>
          <w:spacing w:val="0"/>
          <w:w w:val="100"/>
          <w:position w:val="0"/>
          <w:shd w:val="clear" w:color="auto" w:fill="auto"/>
          <w:lang w:val="en-US" w:eastAsia="en-US" w:bidi="en-US"/>
        </w:rPr>
        <w:t xml:space="preserve">SRL „Condaline”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operatiuni de expediere/transport al prundisului pe cale ferata.</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en-US" w:eastAsia="en-US" w:bidi="en-US"/>
        </w:rPr>
        <w:t xml:space="preserve">Toate trei companii sunt interafiliate, fiind gestionate de Pirlog Marcelian (SRL „Translogist Sistem” si SRL „Condaline”) si prietenul sau Carapascal Mihail (SRL „Union Expeditie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si protejate de Veaceslav Baida.</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en-US" w:eastAsia="en-US" w:bidi="en-US"/>
        </w:rPr>
        <w:t>Anterior, taxa perceputa de la agentii economici era transferata in contul firmelor offshore. Ulterior, sub diverse pretexte, o parte din bani erau returnati ca „plati operatorilor de expeditie”.</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en-US" w:eastAsia="en-US" w:bidi="en-US"/>
        </w:rPr>
        <w:t xml:space="preserve">In perioada </w:t>
      </w:r>
      <w:r>
        <w:rPr>
          <w:color w:val="000000"/>
          <w:spacing w:val="0"/>
          <w:w w:val="100"/>
          <w:position w:val="0"/>
          <w:shd w:val="clear" w:color="auto" w:fill="auto"/>
          <w:lang w:val="ru-RU" w:eastAsia="ru-RU" w:bidi="ru-RU"/>
        </w:rPr>
        <w:t xml:space="preserve">11.09.2014 - 07.12.2016 </w:t>
      </w:r>
      <w:r>
        <w:rPr>
          <w:color w:val="000000"/>
          <w:spacing w:val="0"/>
          <w:w w:val="100"/>
          <w:position w:val="0"/>
          <w:shd w:val="clear" w:color="auto" w:fill="auto"/>
          <w:lang w:val="en-US" w:eastAsia="en-US" w:bidi="en-US"/>
        </w:rPr>
        <w:t xml:space="preserve">firmele de expeditie (SRL „Condaline”, SRL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 xml:space="preserve">Translogist Sistem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 xml:space="preserve">SRL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 xml:space="preserve">Union Expeditie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 xml:space="preserve">SRL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 xml:space="preserve">Transline Exim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 xml:space="preserve">SRL „Navibul- US”, SRL „Elit-Trans”, SA „Grandalogistic”, SRL „Eurorail”) au transferat cca. </w:t>
      </w:r>
      <w:r>
        <w:rPr>
          <w:color w:val="000000"/>
          <w:spacing w:val="0"/>
          <w:w w:val="100"/>
          <w:position w:val="0"/>
          <w:shd w:val="clear" w:color="auto" w:fill="auto"/>
          <w:lang w:val="ru-RU" w:eastAsia="ru-RU" w:bidi="ru-RU"/>
        </w:rPr>
        <w:t xml:space="preserve">158 000 000 </w:t>
      </w:r>
      <w:r>
        <w:rPr>
          <w:color w:val="000000"/>
          <w:spacing w:val="0"/>
          <w:w w:val="100"/>
          <w:position w:val="0"/>
          <w:shd w:val="clear" w:color="auto" w:fill="auto"/>
          <w:lang w:val="en-US" w:eastAsia="en-US" w:bidi="en-US"/>
        </w:rPr>
        <w:t>de lei in contul firmei offshore „CARGOLOGIST” LP</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en-US" w:eastAsia="en-US" w:bidi="en-US"/>
        </w:rPr>
        <w:t xml:space="preserve">In perioada </w:t>
      </w:r>
      <w:r>
        <w:rPr>
          <w:color w:val="000000"/>
          <w:spacing w:val="0"/>
          <w:w w:val="100"/>
          <w:position w:val="0"/>
          <w:shd w:val="clear" w:color="auto" w:fill="auto"/>
          <w:lang w:val="ru-RU" w:eastAsia="ru-RU" w:bidi="ru-RU"/>
        </w:rPr>
        <w:t xml:space="preserve">02.07.2014 - 07.12.2016 </w:t>
      </w:r>
      <w:r>
        <w:rPr>
          <w:color w:val="000000"/>
          <w:spacing w:val="0"/>
          <w:w w:val="100"/>
          <w:position w:val="0"/>
          <w:shd w:val="clear" w:color="auto" w:fill="auto"/>
          <w:lang w:val="en-US" w:eastAsia="en-US" w:bidi="en-US"/>
        </w:rPr>
        <w:t xml:space="preserve">„CARGOLOGIST” LP a transferat cca. </w:t>
      </w:r>
      <w:r>
        <w:rPr>
          <w:color w:val="000000"/>
          <w:spacing w:val="0"/>
          <w:w w:val="100"/>
          <w:position w:val="0"/>
          <w:shd w:val="clear" w:color="auto" w:fill="auto"/>
          <w:lang w:val="ru-RU" w:eastAsia="ru-RU" w:bidi="ru-RU"/>
        </w:rPr>
        <w:t xml:space="preserve">16 000 000 </w:t>
      </w:r>
      <w:r>
        <w:rPr>
          <w:color w:val="000000"/>
          <w:spacing w:val="0"/>
          <w:w w:val="100"/>
          <w:position w:val="0"/>
          <w:shd w:val="clear" w:color="auto" w:fill="auto"/>
          <w:lang w:val="en-US" w:eastAsia="en-US" w:bidi="en-US"/>
        </w:rPr>
        <w:t>de lei agentilor economici: SRL „Condaline”, SRL „Translogist Sistem”, SRL „Union Expeditie”, SRL „Eurorail”.</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en-US" w:eastAsia="en-US" w:bidi="en-US"/>
        </w:rPr>
        <w:t xml:space="preserve">Incepand cu anul </w:t>
      </w:r>
      <w:r>
        <w:rPr>
          <w:color w:val="000000"/>
          <w:spacing w:val="0"/>
          <w:w w:val="100"/>
          <w:position w:val="0"/>
          <w:shd w:val="clear" w:color="auto" w:fill="auto"/>
          <w:lang w:val="ru-RU" w:eastAsia="ru-RU" w:bidi="ru-RU"/>
        </w:rPr>
        <w:t xml:space="preserve">2017, </w:t>
      </w:r>
      <w:r>
        <w:rPr>
          <w:color w:val="000000"/>
          <w:spacing w:val="0"/>
          <w:w w:val="100"/>
          <w:position w:val="0"/>
          <w:shd w:val="clear" w:color="auto" w:fill="auto"/>
          <w:lang w:val="en-US" w:eastAsia="en-US" w:bidi="en-US"/>
        </w:rPr>
        <w:t>compania offshore pe contul careia se virau „taxe de protectie” a fost substituita cu „GLOBAL LOGISTICS RAILWAY” LP.</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en-US" w:eastAsia="en-US" w:bidi="en-US"/>
        </w:rPr>
        <w:t xml:space="preserve">In perioada </w:t>
      </w:r>
      <w:r>
        <w:rPr>
          <w:color w:val="000000"/>
          <w:spacing w:val="0"/>
          <w:w w:val="100"/>
          <w:position w:val="0"/>
          <w:shd w:val="clear" w:color="auto" w:fill="auto"/>
          <w:lang w:val="ru-RU" w:eastAsia="ru-RU" w:bidi="ru-RU"/>
        </w:rPr>
        <w:t xml:space="preserve">05.07.2016 - 26.01.2018, </w:t>
      </w:r>
      <w:r>
        <w:rPr>
          <w:color w:val="000000"/>
          <w:spacing w:val="0"/>
          <w:w w:val="100"/>
          <w:position w:val="0"/>
          <w:shd w:val="clear" w:color="auto" w:fill="auto"/>
          <w:lang w:val="en-US" w:eastAsia="en-US" w:bidi="en-US"/>
        </w:rPr>
        <w:t xml:space="preserve">firmele de expeditie au transferat cca </w:t>
      </w:r>
      <w:r>
        <w:rPr>
          <w:color w:val="000000"/>
          <w:spacing w:val="0"/>
          <w:w w:val="100"/>
          <w:position w:val="0"/>
          <w:shd w:val="clear" w:color="auto" w:fill="auto"/>
          <w:lang w:val="ru-RU" w:eastAsia="ru-RU" w:bidi="ru-RU"/>
        </w:rPr>
        <w:t xml:space="preserve">78 000 000 </w:t>
      </w:r>
      <w:r>
        <w:rPr>
          <w:color w:val="000000"/>
          <w:spacing w:val="0"/>
          <w:w w:val="100"/>
          <w:position w:val="0"/>
          <w:shd w:val="clear" w:color="auto" w:fill="auto"/>
          <w:lang w:val="en-US" w:eastAsia="en-US" w:bidi="en-US"/>
        </w:rPr>
        <w:t>de lei in contul „Global Logistics Railway” LP;</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en-US" w:eastAsia="en-US" w:bidi="en-US"/>
        </w:rPr>
        <w:t xml:space="preserve">In perioada </w:t>
      </w:r>
      <w:r>
        <w:rPr>
          <w:color w:val="000000"/>
          <w:spacing w:val="0"/>
          <w:w w:val="100"/>
          <w:position w:val="0"/>
          <w:shd w:val="clear" w:color="auto" w:fill="auto"/>
          <w:lang w:val="ru-RU" w:eastAsia="ru-RU" w:bidi="ru-RU"/>
        </w:rPr>
        <w:t xml:space="preserve">13.02.2017 - 20.03.2017, </w:t>
      </w:r>
      <w:r>
        <w:rPr>
          <w:color w:val="000000"/>
          <w:spacing w:val="0"/>
          <w:w w:val="100"/>
          <w:position w:val="0"/>
          <w:shd w:val="clear" w:color="auto" w:fill="auto"/>
          <w:lang w:val="en-US" w:eastAsia="en-US" w:bidi="en-US"/>
        </w:rPr>
        <w:t xml:space="preserve">„Global Logistics Railway” LP a transferat cca. </w:t>
      </w:r>
      <w:r>
        <w:rPr>
          <w:color w:val="000000"/>
          <w:spacing w:val="0"/>
          <w:w w:val="100"/>
          <w:position w:val="0"/>
          <w:shd w:val="clear" w:color="auto" w:fill="auto"/>
          <w:lang w:val="ru-RU" w:eastAsia="ru-RU" w:bidi="ru-RU"/>
        </w:rPr>
        <w:t xml:space="preserve">20 000 000 </w:t>
      </w:r>
      <w:r>
        <w:rPr>
          <w:color w:val="000000"/>
          <w:spacing w:val="0"/>
          <w:w w:val="100"/>
          <w:position w:val="0"/>
          <w:shd w:val="clear" w:color="auto" w:fill="auto"/>
          <w:lang w:val="en-US" w:eastAsia="en-US" w:bidi="en-US"/>
        </w:rPr>
        <w:t xml:space="preserve">de lei in contul SRL „Translogist Sistem” drept „plati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in conformitate cu „contractele de transport”.</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en-US" w:eastAsia="en-US" w:bidi="en-US"/>
        </w:rPr>
        <w:t xml:space="preserve">„Global Logistics Railway” LP a efectuat transferuri si in contul firmei SRL </w:t>
      </w:r>
      <w:r>
        <w:rPr>
          <w:color w:val="000000"/>
          <w:spacing w:val="0"/>
          <w:w w:val="100"/>
          <w:position w:val="0"/>
          <w:shd w:val="clear" w:color="auto" w:fill="auto"/>
          <w:lang w:val="en-US" w:eastAsia="en-US" w:bidi="en-US"/>
        </w:rPr>
        <w:t>„Molincom Exim” (specializata in prestarea servicii de agenturare pentru navele care intra/ies din/in portul Giurgiulesti). Ulterior, taxa perceputa de la agentii economici ar fi transferata in contul firmei offshore Global Trade Trans LTD.</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en-US" w:eastAsia="en-US" w:bidi="en-US"/>
        </w:rPr>
        <w:t xml:space="preserve">Compania de expeditie SRL „Transcancor” a avut conexiuni cu fostul director general al IS „CFM” Iurii TOPALA conducerea I.S. ,,CFM”, companie care, anume in perioada punerii pe rol a schemei ilicite </w:t>
      </w:r>
      <w:r>
        <w:rPr>
          <w:color w:val="000000"/>
          <w:spacing w:val="0"/>
          <w:w w:val="100"/>
          <w:position w:val="0"/>
          <w:shd w:val="clear" w:color="auto" w:fill="auto"/>
          <w:lang w:val="ru-RU" w:eastAsia="ru-RU" w:bidi="ru-RU"/>
        </w:rPr>
        <w:t xml:space="preserve">(2014-2015), </w:t>
      </w:r>
      <w:r>
        <w:rPr>
          <w:color w:val="000000"/>
          <w:spacing w:val="0"/>
          <w:w w:val="100"/>
          <w:position w:val="0"/>
          <w:shd w:val="clear" w:color="auto" w:fill="auto"/>
          <w:lang w:val="en-US" w:eastAsia="en-US" w:bidi="en-US"/>
        </w:rPr>
        <w:t xml:space="preserve">si-a intensificat activitatea economica. in semestrul I </w:t>
      </w:r>
      <w:r>
        <w:rPr>
          <w:color w:val="000000"/>
          <w:spacing w:val="0"/>
          <w:w w:val="100"/>
          <w:position w:val="0"/>
          <w:shd w:val="clear" w:color="auto" w:fill="auto"/>
          <w:lang w:val="ru-RU" w:eastAsia="ru-RU" w:bidi="ru-RU"/>
        </w:rPr>
        <w:t xml:space="preserve">2019, </w:t>
      </w:r>
      <w:r>
        <w:rPr>
          <w:color w:val="000000"/>
          <w:spacing w:val="0"/>
          <w:w w:val="100"/>
          <w:position w:val="0"/>
          <w:shd w:val="clear" w:color="auto" w:fill="auto"/>
          <w:lang w:val="en-US" w:eastAsia="en-US" w:bidi="en-US"/>
        </w:rPr>
        <w:t xml:space="preserve">ponderea volumului transportat de aceasta companie era de </w:t>
      </w:r>
      <w:r>
        <w:rPr>
          <w:color w:val="000000"/>
          <w:spacing w:val="0"/>
          <w:w w:val="100"/>
          <w:position w:val="0"/>
          <w:shd w:val="clear" w:color="auto" w:fill="auto"/>
          <w:lang w:val="ru-RU" w:eastAsia="ru-RU" w:bidi="ru-RU"/>
        </w:rPr>
        <w:t>21%.</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en-US" w:eastAsia="en-US" w:bidi="en-US"/>
        </w:rPr>
        <w:t xml:space="preserve">SRL „Transcancor” (fondata la </w:t>
      </w:r>
      <w:r>
        <w:rPr>
          <w:color w:val="000000"/>
          <w:spacing w:val="0"/>
          <w:w w:val="100"/>
          <w:position w:val="0"/>
          <w:shd w:val="clear" w:color="auto" w:fill="auto"/>
          <w:lang w:val="ru-RU" w:eastAsia="ru-RU" w:bidi="ru-RU"/>
        </w:rPr>
        <w:t xml:space="preserve">16.08.2007), </w:t>
      </w:r>
      <w:r>
        <w:rPr>
          <w:color w:val="000000"/>
          <w:spacing w:val="0"/>
          <w:w w:val="100"/>
          <w:position w:val="0"/>
          <w:shd w:val="clear" w:color="auto" w:fill="auto"/>
          <w:lang w:val="en-US" w:eastAsia="en-US" w:bidi="en-US"/>
        </w:rPr>
        <w:t xml:space="preserve">de mai multi ani este condusa de Irina Objeleanscaia (director al companiei), iar Iu. Topala a procurat compania (cota de </w:t>
      </w:r>
      <w:r>
        <w:rPr>
          <w:color w:val="000000"/>
          <w:spacing w:val="0"/>
          <w:w w:val="100"/>
          <w:position w:val="0"/>
          <w:shd w:val="clear" w:color="auto" w:fill="auto"/>
          <w:lang w:val="ru-RU" w:eastAsia="ru-RU" w:bidi="ru-RU"/>
        </w:rPr>
        <w:t xml:space="preserve">100%) </w:t>
      </w:r>
      <w:r>
        <w:rPr>
          <w:color w:val="000000"/>
          <w:spacing w:val="0"/>
          <w:w w:val="100"/>
          <w:position w:val="0"/>
          <w:shd w:val="clear" w:color="auto" w:fill="auto"/>
          <w:lang w:val="en-US" w:eastAsia="en-US" w:bidi="en-US"/>
        </w:rPr>
        <w:t xml:space="preserve">in decembrie </w:t>
      </w:r>
      <w:r>
        <w:rPr>
          <w:color w:val="000000"/>
          <w:spacing w:val="0"/>
          <w:w w:val="100"/>
          <w:position w:val="0"/>
          <w:shd w:val="clear" w:color="auto" w:fill="auto"/>
          <w:lang w:val="ru-RU" w:eastAsia="ru-RU" w:bidi="ru-RU"/>
        </w:rPr>
        <w:t xml:space="preserve">2015, </w:t>
      </w:r>
      <w:r>
        <w:rPr>
          <w:color w:val="000000"/>
          <w:spacing w:val="0"/>
          <w:w w:val="100"/>
          <w:position w:val="0"/>
          <w:shd w:val="clear" w:color="auto" w:fill="auto"/>
          <w:lang w:val="en-US" w:eastAsia="en-US" w:bidi="en-US"/>
        </w:rPr>
        <w:t>prin intermediul lui Dorel Balan (finul sau de cununie).</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en-US" w:eastAsia="en-US" w:bidi="en-US"/>
        </w:rPr>
        <w:t xml:space="preserve">La </w:t>
      </w:r>
      <w:r>
        <w:rPr>
          <w:color w:val="000000"/>
          <w:spacing w:val="0"/>
          <w:w w:val="100"/>
          <w:position w:val="0"/>
          <w:shd w:val="clear" w:color="auto" w:fill="auto"/>
          <w:lang w:val="ru-RU" w:eastAsia="ru-RU" w:bidi="ru-RU"/>
        </w:rPr>
        <w:t xml:space="preserve">14.03.2017, </w:t>
      </w:r>
      <w:r>
        <w:rPr>
          <w:color w:val="000000"/>
          <w:spacing w:val="0"/>
          <w:w w:val="100"/>
          <w:position w:val="0"/>
          <w:shd w:val="clear" w:color="auto" w:fill="auto"/>
          <w:lang w:val="en-US" w:eastAsia="en-US" w:bidi="en-US"/>
        </w:rPr>
        <w:t xml:space="preserve">a fost fondat operatorul de expeditie SRL „Transalliance Group” (lider dupa ponderea volumului transportat in </w:t>
      </w:r>
      <w:r>
        <w:rPr>
          <w:color w:val="000000"/>
          <w:spacing w:val="0"/>
          <w:w w:val="100"/>
          <w:position w:val="0"/>
          <w:shd w:val="clear" w:color="auto" w:fill="auto"/>
          <w:lang w:val="ru-RU" w:eastAsia="ru-RU" w:bidi="ru-RU"/>
        </w:rPr>
        <w:t xml:space="preserve">2019 - 28%), </w:t>
      </w:r>
      <w:r>
        <w:rPr>
          <w:color w:val="000000"/>
          <w:spacing w:val="0"/>
          <w:w w:val="100"/>
          <w:position w:val="0"/>
          <w:shd w:val="clear" w:color="auto" w:fill="auto"/>
          <w:lang w:val="en-US" w:eastAsia="en-US" w:bidi="en-US"/>
        </w:rPr>
        <w:t>activitatea caruia este gestionata neoficial de aceeasi Objeleanscaia. Acest operator este afiliat si cu SRL „Antcat” (fost operator de expeditie pe cale ferata) si SRL „Tehnomet Grup” (de la care IS„ CFM” efectueaza achizitii).</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en-US" w:eastAsia="en-US" w:bidi="en-US"/>
        </w:rPr>
        <w:t xml:space="preserve">Vicedirectorul IS „CFM” Grigore CONDURACHE, in </w:t>
      </w:r>
      <w:r>
        <w:rPr>
          <w:color w:val="000000"/>
          <w:spacing w:val="0"/>
          <w:w w:val="100"/>
          <w:position w:val="0"/>
          <w:shd w:val="clear" w:color="auto" w:fill="auto"/>
          <w:lang w:val="ru-RU" w:eastAsia="ru-RU" w:bidi="ru-RU"/>
        </w:rPr>
        <w:t xml:space="preserve">2016 </w:t>
      </w:r>
      <w:r>
        <w:rPr>
          <w:color w:val="000000"/>
          <w:spacing w:val="0"/>
          <w:w w:val="100"/>
          <w:position w:val="0"/>
          <w:shd w:val="clear" w:color="auto" w:fill="auto"/>
          <w:lang w:val="en-US" w:eastAsia="en-US" w:bidi="en-US"/>
        </w:rPr>
        <w:t xml:space="preserve">s-a implicat in favorizarea firmei SRL „Transcancor” (in interes personal/ de grup si in detrimentul intreprinderii de stat) la transportarea in RM a peste </w:t>
      </w:r>
      <w:r>
        <w:rPr>
          <w:color w:val="000000"/>
          <w:spacing w:val="0"/>
          <w:w w:val="100"/>
          <w:position w:val="0"/>
          <w:shd w:val="clear" w:color="auto" w:fill="auto"/>
          <w:lang w:val="ru-RU" w:eastAsia="ru-RU" w:bidi="ru-RU"/>
        </w:rPr>
        <w:t xml:space="preserve">16 </w:t>
      </w:r>
      <w:r>
        <w:rPr>
          <w:color w:val="000000"/>
          <w:spacing w:val="0"/>
          <w:w w:val="100"/>
          <w:position w:val="0"/>
          <w:shd w:val="clear" w:color="auto" w:fill="auto"/>
          <w:lang w:val="en-US" w:eastAsia="en-US" w:bidi="en-US"/>
        </w:rPr>
        <w:t xml:space="preserve">mii tone de pacura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ajutor umanitar de urgenta oferit RM din partea Romaniei.</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en-US" w:eastAsia="en-US" w:bidi="en-US"/>
        </w:rPr>
        <w:t xml:space="preserve">Atunci G. Condurache Conducerea I.S. ,,CFM” ar fi negociat operationalizarea serviciilor de transportare a marfii in RM de catre SRL „Transcancor” in colaborare cu operatorul roman „SNTFM CFR Marfa” SA (actionar majoritar al casei de expeditie SC „Rofersyed” SA). Urmare a realizarii transferului de pacura operatorul roman SC „Rofersped” SA (in perioada </w:t>
      </w:r>
      <w:r>
        <w:rPr>
          <w:color w:val="000000"/>
          <w:spacing w:val="0"/>
          <w:w w:val="100"/>
          <w:position w:val="0"/>
          <w:shd w:val="clear" w:color="auto" w:fill="auto"/>
          <w:lang w:val="ru-RU" w:eastAsia="ru-RU" w:bidi="ru-RU"/>
        </w:rPr>
        <w:t xml:space="preserve">28.05.2016 - 12.07.2016) </w:t>
      </w:r>
      <w:r>
        <w:rPr>
          <w:color w:val="000000"/>
          <w:spacing w:val="0"/>
          <w:w w:val="100"/>
          <w:position w:val="0"/>
          <w:shd w:val="clear" w:color="auto" w:fill="auto"/>
          <w:lang w:val="en-US" w:eastAsia="en-US" w:bidi="en-US"/>
        </w:rPr>
        <w:t xml:space="preserve">a transferat in contul SRL „Transcancor” suma de </w:t>
      </w:r>
      <w:r>
        <w:rPr>
          <w:color w:val="000000"/>
          <w:spacing w:val="0"/>
          <w:w w:val="100"/>
          <w:position w:val="0"/>
          <w:shd w:val="clear" w:color="auto" w:fill="auto"/>
          <w:lang w:val="ru-RU" w:eastAsia="ru-RU" w:bidi="ru-RU"/>
        </w:rPr>
        <w:t xml:space="preserve">276 988 </w:t>
      </w:r>
      <w:r>
        <w:rPr>
          <w:color w:val="000000"/>
          <w:spacing w:val="0"/>
          <w:w w:val="100"/>
          <w:position w:val="0"/>
          <w:shd w:val="clear" w:color="auto" w:fill="auto"/>
          <w:lang w:val="en-US" w:eastAsia="en-US" w:bidi="en-US"/>
        </w:rPr>
        <w:t xml:space="preserve">de euro, formata prin stabilirea unui tarif majorat nefondat. Din aceasta suma, </w:t>
      </w:r>
      <w:r>
        <w:rPr>
          <w:color w:val="000000"/>
          <w:spacing w:val="0"/>
          <w:w w:val="100"/>
          <w:position w:val="0"/>
          <w:shd w:val="clear" w:color="auto" w:fill="auto"/>
          <w:lang w:val="ru-RU" w:eastAsia="ru-RU" w:bidi="ru-RU"/>
        </w:rPr>
        <w:t xml:space="preserve">240 388 </w:t>
      </w:r>
      <w:r>
        <w:rPr>
          <w:color w:val="000000"/>
          <w:spacing w:val="0"/>
          <w:w w:val="100"/>
          <w:position w:val="0"/>
          <w:shd w:val="clear" w:color="auto" w:fill="auto"/>
          <w:lang w:val="en-US" w:eastAsia="en-US" w:bidi="en-US"/>
        </w:rPr>
        <w:t xml:space="preserve">de euro a fost achitata IS „CFM”, profitul SRL „Transcancor” fiind de peste </w:t>
      </w:r>
      <w:r>
        <w:rPr>
          <w:color w:val="000000"/>
          <w:spacing w:val="0"/>
          <w:w w:val="100"/>
          <w:position w:val="0"/>
          <w:shd w:val="clear" w:color="auto" w:fill="auto"/>
          <w:lang w:val="ru-RU" w:eastAsia="ru-RU" w:bidi="ru-RU"/>
        </w:rPr>
        <w:t xml:space="preserve">800 000 </w:t>
      </w:r>
      <w:r>
        <w:rPr>
          <w:color w:val="000000"/>
          <w:spacing w:val="0"/>
          <w:w w:val="100"/>
          <w:position w:val="0"/>
          <w:shd w:val="clear" w:color="auto" w:fill="auto"/>
          <w:lang w:val="en-US" w:eastAsia="en-US" w:bidi="en-US"/>
        </w:rPr>
        <w:t xml:space="preserve">de lei. In aceasta tranzactie, SRL „Transcancor” a stabilit un adaos comercial de cca. </w:t>
      </w:r>
      <w:r>
        <w:rPr>
          <w:color w:val="000000"/>
          <w:spacing w:val="0"/>
          <w:w w:val="100"/>
          <w:position w:val="0"/>
          <w:shd w:val="clear" w:color="auto" w:fill="auto"/>
          <w:lang w:val="ru-RU" w:eastAsia="ru-RU" w:bidi="ru-RU"/>
        </w:rPr>
        <w:t xml:space="preserve">15% </w:t>
      </w:r>
      <w:r>
        <w:rPr>
          <w:color w:val="000000"/>
          <w:spacing w:val="0"/>
          <w:w w:val="100"/>
          <w:position w:val="0"/>
          <w:shd w:val="clear" w:color="auto" w:fill="auto"/>
          <w:lang w:val="en-US" w:eastAsia="en-US" w:bidi="en-US"/>
        </w:rPr>
        <w:t xml:space="preserve">din valoarea serviciilor. In aceeasi perioada (mai-iunie </w:t>
      </w:r>
      <w:r>
        <w:rPr>
          <w:color w:val="000000"/>
          <w:spacing w:val="0"/>
          <w:w w:val="100"/>
          <w:position w:val="0"/>
          <w:shd w:val="clear" w:color="auto" w:fill="auto"/>
          <w:lang w:val="ru-RU" w:eastAsia="ru-RU" w:bidi="ru-RU"/>
        </w:rPr>
        <w:t xml:space="preserve">2016), </w:t>
      </w:r>
      <w:r>
        <w:rPr>
          <w:color w:val="000000"/>
          <w:spacing w:val="0"/>
          <w:w w:val="100"/>
          <w:position w:val="0"/>
          <w:shd w:val="clear" w:color="auto" w:fill="auto"/>
          <w:lang w:val="en-US" w:eastAsia="en-US" w:bidi="en-US"/>
        </w:rPr>
        <w:t xml:space="preserve">majoritatea operatorilor de expeditie prestau asemenea servicii pentru acelasi tip de marfa, cu adaos comercial de cca. </w:t>
      </w:r>
      <w:r>
        <w:rPr>
          <w:color w:val="000000"/>
          <w:spacing w:val="0"/>
          <w:w w:val="100"/>
          <w:position w:val="0"/>
          <w:shd w:val="clear" w:color="auto" w:fill="auto"/>
          <w:lang w:val="ru-RU" w:eastAsia="ru-RU" w:bidi="ru-RU"/>
        </w:rPr>
        <w:t xml:space="preserve">2-3% </w:t>
      </w:r>
      <w:r>
        <w:rPr>
          <w:color w:val="000000"/>
          <w:spacing w:val="0"/>
          <w:w w:val="100"/>
          <w:position w:val="0"/>
          <w:shd w:val="clear" w:color="auto" w:fill="auto"/>
          <w:lang w:val="en-US" w:eastAsia="en-US" w:bidi="en-US"/>
        </w:rPr>
        <w:t>din valoarea serviciilor de transport feroviar.</w:t>
      </w:r>
    </w:p>
    <w:p>
      <w:pPr>
        <w:pStyle w:val="Style15"/>
        <w:keepNext/>
        <w:keepLines/>
        <w:widowControl w:val="0"/>
        <w:numPr>
          <w:ilvl w:val="0"/>
          <w:numId w:val="45"/>
        </w:numPr>
        <w:shd w:val="clear" w:color="auto" w:fill="auto"/>
        <w:tabs>
          <w:tab w:pos="982" w:val="left"/>
        </w:tabs>
        <w:bidi w:val="0"/>
        <w:spacing w:before="0" w:after="0" w:line="240" w:lineRule="auto"/>
        <w:ind w:left="0" w:right="0"/>
        <w:jc w:val="both"/>
      </w:pPr>
      <w:bookmarkStart w:id="82" w:name="bookmark82"/>
      <w:bookmarkStart w:id="83" w:name="bookmark83"/>
      <w:r>
        <w:rPr>
          <w:color w:val="000000"/>
          <w:spacing w:val="0"/>
          <w:w w:val="100"/>
          <w:position w:val="0"/>
          <w:shd w:val="clear" w:color="auto" w:fill="auto"/>
          <w:lang w:val="en-US" w:eastAsia="en-US" w:bidi="en-US"/>
        </w:rPr>
        <w:t>Alte informatii privind acte de coruptie, scheme ilicite</w:t>
      </w:r>
      <w:bookmarkEnd w:id="82"/>
      <w:bookmarkEnd w:id="83"/>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Conform informatiilor prezentate de catre Serviciul de Informatie si Securitate</w:t>
      </w:r>
      <w:r>
        <w:rPr>
          <w:color w:val="000000"/>
          <w:spacing w:val="0"/>
          <w:w w:val="100"/>
          <w:position w:val="0"/>
          <w:shd w:val="clear" w:color="auto" w:fill="auto"/>
          <w:vertAlign w:val="superscript"/>
          <w:lang w:val="en-US" w:eastAsia="en-US" w:bidi="en-US"/>
        </w:rPr>
        <w:footnoteReference w:id="41"/>
      </w:r>
      <w:r>
        <w:rPr>
          <w:color w:val="000000"/>
          <w:spacing w:val="0"/>
          <w:w w:val="100"/>
          <w:position w:val="0"/>
          <w:shd w:val="clear" w:color="auto" w:fill="auto"/>
          <w:lang w:val="en-US" w:eastAsia="en-US" w:bidi="en-US"/>
        </w:rPr>
        <w:t>, au fost instiintate autoritatile statului competente privind:</w:t>
      </w:r>
    </w:p>
    <w:p>
      <w:pPr>
        <w:pStyle w:val="Style17"/>
        <w:keepNext w:val="0"/>
        <w:keepLines w:val="0"/>
        <w:widowControl w:val="0"/>
        <w:numPr>
          <w:ilvl w:val="0"/>
          <w:numId w:val="35"/>
        </w:numPr>
        <w:shd w:val="clear" w:color="auto" w:fill="auto"/>
        <w:tabs>
          <w:tab w:pos="846" w:val="left"/>
        </w:tabs>
        <w:bidi w:val="0"/>
        <w:spacing w:before="0" w:after="0" w:line="240" w:lineRule="auto"/>
        <w:ind w:left="0" w:right="0" w:firstLine="660"/>
        <w:jc w:val="both"/>
      </w:pPr>
      <w:r>
        <w:rPr>
          <w:color w:val="000000"/>
          <w:spacing w:val="0"/>
          <w:w w:val="100"/>
          <w:position w:val="0"/>
          <w:shd w:val="clear" w:color="auto" w:fill="auto"/>
          <w:lang w:val="en-US" w:eastAsia="en-US" w:bidi="en-US"/>
        </w:rPr>
        <w:t>functionarea unei scheme ilicite la prestarea serviciilor de transportare a marfurilor, cu transmiterea datelor despre principalii organizatori si coordonatori acesteia. Au fost implicati Vicol Arcadie Stefan, Baida Veaceslav Vasilii, ultimul coordona actiunile vice- directorului I.S. „CFM”, Condurache Grigore.</w:t>
      </w:r>
    </w:p>
    <w:p>
      <w:pPr>
        <w:pStyle w:val="Style17"/>
        <w:keepNext w:val="0"/>
        <w:keepLines w:val="0"/>
        <w:widowControl w:val="0"/>
        <w:numPr>
          <w:ilvl w:val="0"/>
          <w:numId w:val="35"/>
        </w:numPr>
        <w:shd w:val="clear" w:color="auto" w:fill="auto"/>
        <w:tabs>
          <w:tab w:pos="872" w:val="left"/>
        </w:tabs>
        <w:bidi w:val="0"/>
        <w:spacing w:before="0" w:after="0" w:line="240" w:lineRule="auto"/>
        <w:ind w:left="0" w:right="0" w:firstLine="660"/>
        <w:jc w:val="both"/>
      </w:pPr>
      <w:r>
        <w:rPr>
          <w:color w:val="000000"/>
          <w:spacing w:val="0"/>
          <w:w w:val="100"/>
          <w:position w:val="0"/>
          <w:shd w:val="clear" w:color="auto" w:fill="auto"/>
          <w:lang w:val="en-US" w:eastAsia="en-US" w:bidi="en-US"/>
        </w:rPr>
        <w:t>cu privire la actiuni cu semne infractionale ale vice-directorului general al I.S.</w:t>
      </w:r>
    </w:p>
    <w:p>
      <w:pPr>
        <w:pStyle w:val="Style17"/>
        <w:keepNext w:val="0"/>
        <w:keepLines w:val="0"/>
        <w:widowControl w:val="0"/>
        <w:shd w:val="clear" w:color="auto" w:fill="auto"/>
        <w:tabs>
          <w:tab w:pos="5126" w:val="left"/>
        </w:tabs>
        <w:bidi w:val="0"/>
        <w:spacing w:before="0" w:after="0" w:line="240" w:lineRule="auto"/>
        <w:ind w:left="0" w:right="0" w:firstLine="0"/>
        <w:jc w:val="both"/>
      </w:pPr>
      <w:r>
        <w:rPr>
          <w:color w:val="000000"/>
          <w:spacing w:val="0"/>
          <w:w w:val="100"/>
          <w:position w:val="0"/>
          <w:shd w:val="clear" w:color="auto" w:fill="auto"/>
          <w:lang w:val="en-US" w:eastAsia="en-US" w:bidi="en-US"/>
        </w:rPr>
        <w:t>„CFM”, Grigore CONDURACHE;</w:t>
        <w:tab/>
        <w:t>’</w:t>
      </w:r>
    </w:p>
    <w:p>
      <w:pPr>
        <w:pStyle w:val="Style17"/>
        <w:keepNext w:val="0"/>
        <w:keepLines w:val="0"/>
        <w:widowControl w:val="0"/>
        <w:numPr>
          <w:ilvl w:val="0"/>
          <w:numId w:val="35"/>
        </w:numPr>
        <w:shd w:val="clear" w:color="auto" w:fill="auto"/>
        <w:tabs>
          <w:tab w:pos="859" w:val="left"/>
        </w:tabs>
        <w:bidi w:val="0"/>
        <w:spacing w:before="0" w:after="0" w:line="240" w:lineRule="auto"/>
        <w:ind w:left="0" w:right="0" w:firstLine="660"/>
        <w:jc w:val="both"/>
      </w:pPr>
      <w:r>
        <w:rPr>
          <w:color w:val="000000"/>
          <w:spacing w:val="0"/>
          <w:w w:val="100"/>
          <w:position w:val="0"/>
          <w:shd w:val="clear" w:color="auto" w:fill="auto"/>
          <w:lang w:val="en-US" w:eastAsia="en-US" w:bidi="en-US"/>
        </w:rPr>
        <w:t>functionarea schemelor ilicite, asociate coruptiei, spalarii banilor si concurentei neloiale, in prestarea serviciilor de transport/expeditie a marfurilor cu transportul feroviar;</w:t>
      </w:r>
    </w:p>
    <w:p>
      <w:pPr>
        <w:pStyle w:val="Style17"/>
        <w:keepNext w:val="0"/>
        <w:keepLines w:val="0"/>
        <w:widowControl w:val="0"/>
        <w:numPr>
          <w:ilvl w:val="0"/>
          <w:numId w:val="35"/>
        </w:numPr>
        <w:shd w:val="clear" w:color="auto" w:fill="auto"/>
        <w:tabs>
          <w:tab w:pos="850" w:val="left"/>
        </w:tabs>
        <w:bidi w:val="0"/>
        <w:spacing w:before="0" w:after="0" w:line="240" w:lineRule="auto"/>
        <w:ind w:left="0" w:right="0" w:firstLine="660"/>
        <w:jc w:val="both"/>
        <w:sectPr>
          <w:headerReference w:type="default" r:id="rId34"/>
          <w:footerReference w:type="default" r:id="rId35"/>
          <w:footnotePr>
            <w:pos w:val="pageBottom"/>
            <w:numFmt w:val="decimal"/>
            <w:numStart w:val="8"/>
            <w:numRestart w:val="continuous"/>
            <w15:footnoteColumns w:val="1"/>
          </w:footnotePr>
          <w:type w:val="continuous"/>
          <w:pgSz w:w="11900" w:h="16840"/>
          <w:pgMar w:top="578" w:left="1162" w:right="457" w:bottom="823" w:header="150" w:footer="3" w:gutter="0"/>
          <w:cols w:space="720"/>
          <w:noEndnote/>
          <w:rtlGutter w:val="0"/>
          <w:docGrid w:linePitch="360"/>
        </w:sectPr>
      </w:pPr>
      <w:r>
        <w:rPr>
          <w:color w:val="000000"/>
          <w:spacing w:val="0"/>
          <w:w w:val="100"/>
          <w:position w:val="0"/>
          <w:shd w:val="clear" w:color="auto" w:fill="auto"/>
          <w:lang w:val="en-US" w:eastAsia="en-US" w:bidi="en-US"/>
        </w:rPr>
        <w:t xml:space="preserve">functionarea unei scheme ilicite in prestarea serviciilor de transportare a marfurilor la I.S. „CFM”. Colectarea ilegala a mijloacelor banesti de catre conducerea Depoului de vagoane de calatori al I.S. „CFM” de la insotitorii de vagon si sefii de tren; functionarea </w:t>
      </w:r>
    </w:p>
    <w:p>
      <w:pPr>
        <w:pStyle w:val="Style17"/>
        <w:keepNext w:val="0"/>
        <w:keepLines w:val="0"/>
        <w:widowControl w:val="0"/>
        <w:shd w:val="clear" w:color="auto" w:fill="auto"/>
        <w:tabs>
          <w:tab w:pos="850" w:val="left"/>
        </w:tabs>
        <w:bidi w:val="0"/>
        <w:spacing w:before="0" w:after="0" w:line="240" w:lineRule="auto"/>
        <w:ind w:left="0" w:right="0" w:firstLine="0"/>
        <w:jc w:val="both"/>
      </w:pPr>
      <w:r>
        <w:rPr>
          <w:color w:val="000000"/>
          <w:spacing w:val="0"/>
          <w:w w:val="100"/>
          <w:position w:val="0"/>
          <w:shd w:val="clear" w:color="auto" w:fill="auto"/>
          <w:lang w:val="en-US" w:eastAsia="en-US" w:bidi="en-US"/>
        </w:rPr>
        <w:t>schemelor de contrabanda cu produse de tutungerie si carne derulate pe cursele internationale a trenurilor de pasageri;</w:t>
      </w:r>
    </w:p>
    <w:p>
      <w:pPr>
        <w:pStyle w:val="Style17"/>
        <w:keepNext w:val="0"/>
        <w:keepLines w:val="0"/>
        <w:widowControl w:val="0"/>
        <w:numPr>
          <w:ilvl w:val="0"/>
          <w:numId w:val="35"/>
        </w:numPr>
        <w:shd w:val="clear" w:color="auto" w:fill="auto"/>
        <w:tabs>
          <w:tab w:pos="841" w:val="left"/>
        </w:tabs>
        <w:bidi w:val="0"/>
        <w:spacing w:before="0" w:after="0" w:line="240" w:lineRule="auto"/>
        <w:ind w:left="0" w:right="0" w:firstLine="660"/>
        <w:jc w:val="both"/>
      </w:pPr>
      <w:r>
        <w:rPr>
          <w:color w:val="000000"/>
          <w:spacing w:val="0"/>
          <w:w w:val="100"/>
          <w:position w:val="0"/>
          <w:shd w:val="clear" w:color="auto" w:fill="auto"/>
          <w:lang w:val="en-US" w:eastAsia="en-US" w:bidi="en-US"/>
        </w:rPr>
        <w:t>prezenta elementelor de coruptie in actiunile ex-sefului Serviciului Transport Calatori a I.S. „CFM”, Anatolie RUSU la incheierea contractelor cu Depoul de vagoane de calatori;</w:t>
      </w:r>
    </w:p>
    <w:p>
      <w:pPr>
        <w:pStyle w:val="Style17"/>
        <w:keepNext w:val="0"/>
        <w:keepLines w:val="0"/>
        <w:widowControl w:val="0"/>
        <w:numPr>
          <w:ilvl w:val="0"/>
          <w:numId w:val="35"/>
        </w:numPr>
        <w:shd w:val="clear" w:color="auto" w:fill="auto"/>
        <w:tabs>
          <w:tab w:pos="850" w:val="left"/>
        </w:tabs>
        <w:bidi w:val="0"/>
        <w:spacing w:before="0" w:after="0" w:line="240" w:lineRule="auto"/>
        <w:ind w:left="0" w:right="0" w:firstLine="660"/>
        <w:jc w:val="both"/>
      </w:pPr>
      <w:r>
        <w:rPr>
          <w:color w:val="000000"/>
          <w:spacing w:val="0"/>
          <w:w w:val="100"/>
          <w:position w:val="0"/>
          <w:shd w:val="clear" w:color="auto" w:fill="auto"/>
          <w:lang w:val="en-US" w:eastAsia="en-US" w:bidi="en-US"/>
        </w:rPr>
        <w:t xml:space="preserve">privind mecanismele infractionale circumscrise coruptiei, in procesul achizitiilor efectuate de I.S. „CFM”, prejudiciile financiare majore cauzate operatorului national de transport feroviar, in rezultatul achizitiilor de bunuri/piese si alte consumabile la preturi majorate excesiv, prin intermediul grupurilor de </w:t>
      </w:r>
      <w:r>
        <w:rPr>
          <w:i/>
          <w:iCs/>
          <w:color w:val="000000"/>
          <w:spacing w:val="0"/>
          <w:w w:val="100"/>
          <w:position w:val="0"/>
          <w:u w:val="single"/>
          <w:shd w:val="clear" w:color="auto" w:fill="auto"/>
          <w:lang w:val="en-US" w:eastAsia="en-US" w:bidi="en-US"/>
        </w:rPr>
        <w:t>companii afiliate/favorizate de _ factorii de decizie;</w:t>
      </w:r>
    </w:p>
    <w:p>
      <w:pPr>
        <w:pStyle w:val="Style17"/>
        <w:keepNext w:val="0"/>
        <w:keepLines w:val="0"/>
        <w:widowControl w:val="0"/>
        <w:numPr>
          <w:ilvl w:val="0"/>
          <w:numId w:val="35"/>
        </w:numPr>
        <w:shd w:val="clear" w:color="auto" w:fill="auto"/>
        <w:tabs>
          <w:tab w:pos="841" w:val="left"/>
        </w:tabs>
        <w:bidi w:val="0"/>
        <w:spacing w:before="0" w:after="0" w:line="240" w:lineRule="auto"/>
        <w:ind w:left="0" w:right="0" w:firstLine="660"/>
        <w:jc w:val="both"/>
      </w:pPr>
      <w:r>
        <w:rPr>
          <w:color w:val="000000"/>
          <w:spacing w:val="0"/>
          <w:w w:val="100"/>
          <w:position w:val="0"/>
          <w:shd w:val="clear" w:color="auto" w:fill="auto"/>
          <w:lang w:val="en-US" w:eastAsia="en-US" w:bidi="en-US"/>
        </w:rPr>
        <w:t xml:space="preserve">achizitii de bunuri materiale la preturi majorate nejustificat si despre alte aspecte cu caracter infractional, cum ar fi: </w:t>
      </w:r>
      <w:r>
        <w:rPr>
          <w:i/>
          <w:iCs/>
          <w:color w:val="000000"/>
          <w:spacing w:val="0"/>
          <w:w w:val="100"/>
          <w:position w:val="0"/>
          <w:shd w:val="clear" w:color="auto" w:fill="auto"/>
          <w:lang w:val="en-US" w:eastAsia="en-US" w:bidi="en-US"/>
        </w:rPr>
        <w:t>prestarea serviciilor de transport/expeditie a marfurilorpe cale ferata</w:t>
      </w:r>
      <w:r>
        <w:rPr>
          <w:color w:val="000000"/>
          <w:spacing w:val="0"/>
          <w:w w:val="100"/>
          <w:position w:val="0"/>
          <w:shd w:val="clear" w:color="auto" w:fill="auto"/>
          <w:lang w:val="en-US" w:eastAsia="en-US" w:bidi="en-US"/>
        </w:rPr>
        <w:t xml:space="preserve"> cu aplicarea „taxelor” neoficiale, „de protectie”, de la firmele de expedite. in sesizare au fost indicati si principalii organizatori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coordonatori ai schemelor de referinta;</w:t>
      </w:r>
    </w:p>
    <w:p>
      <w:pPr>
        <w:pStyle w:val="Style17"/>
        <w:keepNext w:val="0"/>
        <w:keepLines w:val="0"/>
        <w:widowControl w:val="0"/>
        <w:numPr>
          <w:ilvl w:val="0"/>
          <w:numId w:val="35"/>
        </w:numPr>
        <w:shd w:val="clear" w:color="auto" w:fill="auto"/>
        <w:tabs>
          <w:tab w:pos="850" w:val="left"/>
        </w:tabs>
        <w:bidi w:val="0"/>
        <w:spacing w:before="0" w:after="0" w:line="240" w:lineRule="auto"/>
        <w:ind w:left="0" w:right="0" w:firstLine="660"/>
        <w:jc w:val="both"/>
      </w:pPr>
      <w:r>
        <w:rPr>
          <w:color w:val="000000"/>
          <w:spacing w:val="0"/>
          <w:w w:val="100"/>
          <w:position w:val="0"/>
          <w:shd w:val="clear" w:color="auto" w:fill="auto"/>
          <w:lang w:val="en-US" w:eastAsia="en-US" w:bidi="en-US"/>
        </w:rPr>
        <w:t xml:space="preserve">actiuni organizate, dubioase, ale unor agenti economici interpusi ca furnizori de marfuri si servicii, la incasarea de la I.S. „CFM” prin intermediul litigiilor de judecata, a unor datorii formate abuziv, in suma totala de peste 10 </w:t>
      </w:r>
      <w:r>
        <w:rPr>
          <w:color w:val="000000"/>
          <w:spacing w:val="0"/>
          <w:w w:val="100"/>
          <w:position w:val="0"/>
          <w:u w:val="single"/>
          <w:shd w:val="clear" w:color="auto" w:fill="auto"/>
          <w:lang w:val="en-US" w:eastAsia="en-US" w:bidi="en-US"/>
        </w:rPr>
        <w:t>milioane de lei</w:t>
      </w:r>
      <w:r>
        <w:rPr>
          <w:color w:val="000000"/>
          <w:spacing w:val="0"/>
          <w:w w:val="100"/>
          <w:position w:val="0"/>
          <w:shd w:val="clear" w:color="auto" w:fill="auto"/>
          <w:lang w:val="en-US" w:eastAsia="en-US" w:bidi="en-US"/>
        </w:rPr>
        <w:t xml:space="preserve"> </w:t>
      </w:r>
      <w:r>
        <w:rPr>
          <w:i/>
          <w:iCs/>
          <w:color w:val="000000"/>
          <w:spacing w:val="0"/>
          <w:w w:val="100"/>
          <w:position w:val="0"/>
          <w:shd w:val="clear" w:color="auto" w:fill="auto"/>
          <w:lang w:val="en-US" w:eastAsia="en-US" w:bidi="en-US"/>
        </w:rPr>
        <w:t>(inclusiv taxe de stat, dobanzi de intarziere).</w:t>
      </w:r>
    </w:p>
    <w:p>
      <w:pPr>
        <w:pStyle w:val="Style17"/>
        <w:keepNext w:val="0"/>
        <w:keepLines w:val="0"/>
        <w:widowControl w:val="0"/>
        <w:numPr>
          <w:ilvl w:val="0"/>
          <w:numId w:val="35"/>
        </w:numPr>
        <w:shd w:val="clear" w:color="auto" w:fill="auto"/>
        <w:tabs>
          <w:tab w:pos="841" w:val="left"/>
        </w:tabs>
        <w:bidi w:val="0"/>
        <w:spacing w:before="0" w:after="0" w:line="240" w:lineRule="auto"/>
        <w:ind w:left="0" w:right="0" w:firstLine="660"/>
        <w:jc w:val="both"/>
      </w:pPr>
      <w:r>
        <w:rPr>
          <w:color w:val="000000"/>
          <w:spacing w:val="0"/>
          <w:w w:val="100"/>
          <w:position w:val="0"/>
          <w:shd w:val="clear" w:color="auto" w:fill="auto"/>
          <w:lang w:val="en-US" w:eastAsia="en-US" w:bidi="en-US"/>
        </w:rPr>
        <w:t xml:space="preserve">cu privire la schema de contrabanda cu produse de tutungerie prin intermediul rutei de tren „Chisinau - Bucuresti” </w:t>
      </w:r>
      <w:r>
        <w:rPr>
          <w:color w:val="000000"/>
          <w:spacing w:val="0"/>
          <w:w w:val="100"/>
          <w:position w:val="0"/>
          <w:shd w:val="clear" w:color="auto" w:fill="auto"/>
          <w:lang w:val="ru-RU" w:eastAsia="ru-RU" w:bidi="ru-RU"/>
        </w:rPr>
        <w:t>105/106.</w:t>
      </w:r>
    </w:p>
    <w:p>
      <w:pPr>
        <w:pStyle w:val="Style17"/>
        <w:keepNext w:val="0"/>
        <w:keepLines w:val="0"/>
        <w:widowControl w:val="0"/>
        <w:numPr>
          <w:ilvl w:val="0"/>
          <w:numId w:val="35"/>
        </w:numPr>
        <w:shd w:val="clear" w:color="auto" w:fill="auto"/>
        <w:tabs>
          <w:tab w:pos="850" w:val="left"/>
        </w:tabs>
        <w:bidi w:val="0"/>
        <w:spacing w:before="0" w:after="0" w:line="240" w:lineRule="auto"/>
        <w:ind w:left="0" w:right="0" w:firstLine="660"/>
        <w:jc w:val="both"/>
      </w:pPr>
      <w:r>
        <w:rPr>
          <w:color w:val="000000"/>
          <w:spacing w:val="0"/>
          <w:w w:val="100"/>
          <w:position w:val="0"/>
          <w:shd w:val="clear" w:color="auto" w:fill="auto"/>
          <w:lang w:val="en-US" w:eastAsia="en-US" w:bidi="en-US"/>
        </w:rPr>
        <w:t>privind activitatea ilicita a angajatilor I.S. „CFM”, manifestata prin transportarea frauduloasa a marfurilor de larg consum din Federate Rusa si Ucraina in Republica Moldova, prin utilizarea trenurilor de pe ruta Moscova-Chisinau;</w:t>
      </w:r>
    </w:p>
    <w:p>
      <w:pPr>
        <w:pStyle w:val="Style17"/>
        <w:keepNext w:val="0"/>
        <w:keepLines w:val="0"/>
        <w:widowControl w:val="0"/>
        <w:numPr>
          <w:ilvl w:val="0"/>
          <w:numId w:val="35"/>
        </w:numPr>
        <w:shd w:val="clear" w:color="auto" w:fill="auto"/>
        <w:tabs>
          <w:tab w:pos="850" w:val="left"/>
        </w:tabs>
        <w:bidi w:val="0"/>
        <w:spacing w:before="0" w:after="0" w:line="240" w:lineRule="auto"/>
        <w:ind w:left="0" w:right="0" w:firstLine="660"/>
        <w:jc w:val="both"/>
      </w:pPr>
      <w:r>
        <w:rPr>
          <w:color w:val="000000"/>
          <w:spacing w:val="0"/>
          <w:w w:val="100"/>
          <w:position w:val="0"/>
          <w:shd w:val="clear" w:color="auto" w:fill="auto"/>
          <w:lang w:val="en-US" w:eastAsia="en-US" w:bidi="en-US"/>
        </w:rPr>
        <w:t xml:space="preserve">privind incheierea unui contract intre I.S. „CFM” si SRL „Petalber” prin care s-a achizitionat un lot de marfa in valoare de aproximativ 130 mii dolari SUA. Contractul a fost incheiat in baza unor documente cu semne vadite de falsificare, iar marfa (osii montate cu roti pentru vagoanele de calatori, asamblate cu bucse si rulmenti) facea parte din patrimoniul I.S. „CFM” si prezenta pericol sporit pentru securitatea pasagerilor, in cazul daca acestea erau montate la garniturile de tren. Potrivit raspunsului CCCEC (nr. </w:t>
      </w:r>
      <w:r>
        <w:rPr>
          <w:color w:val="000000"/>
          <w:spacing w:val="0"/>
          <w:w w:val="100"/>
          <w:position w:val="0"/>
          <w:shd w:val="clear" w:color="auto" w:fill="auto"/>
          <w:lang w:val="ru-RU" w:eastAsia="ru-RU" w:bidi="ru-RU"/>
        </w:rPr>
        <w:t xml:space="preserve">02/89 </w:t>
      </w:r>
      <w:r>
        <w:rPr>
          <w:color w:val="000000"/>
          <w:spacing w:val="0"/>
          <w:w w:val="100"/>
          <w:position w:val="0"/>
          <w:shd w:val="clear" w:color="auto" w:fill="auto"/>
          <w:lang w:val="en-US" w:eastAsia="en-US" w:bidi="en-US"/>
        </w:rPr>
        <w:t>- 1324 din 18.05.2012), a fost sesizat Ministerul Transporturilor si Infrastructurii Drumurilor, iar in privinta legalitatii actiunilor persoanelor cu functii de raspundere din cadrul I.S. „CFM”, materialele au fost examinate in conformitate cu prevederile art. 274 Cod de procedure penala.</w:t>
      </w:r>
    </w:p>
    <w:p>
      <w:pPr>
        <w:pStyle w:val="Style17"/>
        <w:keepNext w:val="0"/>
        <w:keepLines w:val="0"/>
        <w:widowControl w:val="0"/>
        <w:numPr>
          <w:ilvl w:val="0"/>
          <w:numId w:val="35"/>
        </w:numPr>
        <w:shd w:val="clear" w:color="auto" w:fill="auto"/>
        <w:tabs>
          <w:tab w:pos="855" w:val="left"/>
        </w:tabs>
        <w:bidi w:val="0"/>
        <w:spacing w:before="0" w:after="0" w:line="240" w:lineRule="auto"/>
        <w:ind w:left="0" w:right="0" w:firstLine="660"/>
        <w:jc w:val="both"/>
      </w:pPr>
      <w:r>
        <w:rPr>
          <w:color w:val="000000"/>
          <w:spacing w:val="0"/>
          <w:w w:val="100"/>
          <w:position w:val="0"/>
          <w:shd w:val="clear" w:color="auto" w:fill="auto"/>
          <w:lang w:val="en-US" w:eastAsia="en-US" w:bidi="en-US"/>
        </w:rPr>
        <w:t>privind unele aspecte in desfasurarea achizitiilor la I.S. „CFM”, ce ar contine semnele unei fapte prejudiciabile prevazuta de legea penala. Au fost identificate mai multe tranzactii de vanzare-cumparare a dispozitivelor la preturi exagerate, la indicate unor factori de decizie, cu incalcarea prevederilor privind achizitiile publice, fiind astfel prejudiciata I.S. „CFM”. In urma investigatiilor, au fost stabilite persoanele cu functii de raspundere din cadrul I.S. „CFM” (printre care Movila M. sef al sectiei control/revizii, Macarenco V., sef al Serviciului securitate, Buza N., sef al Sindicatelor I.S. „CFM”). De asemenea, au fost obtinute copiile contractelor dubioase de vanzare/cumparare semnate intre I.S. „CFM”, SRL „Bona Fides Intel” si SRL „Polimaxinvest” si conexiunile acestora cu intreprinderea SRL „Speranta PF-COM”.</w:t>
      </w:r>
    </w:p>
    <w:p>
      <w:pPr>
        <w:pStyle w:val="Style17"/>
        <w:keepNext w:val="0"/>
        <w:keepLines w:val="0"/>
        <w:widowControl w:val="0"/>
        <w:shd w:val="clear" w:color="auto" w:fill="auto"/>
        <w:bidi w:val="0"/>
        <w:spacing w:before="0" w:after="0" w:line="240" w:lineRule="auto"/>
        <w:ind w:left="0" w:right="0" w:firstLine="740"/>
        <w:jc w:val="both"/>
      </w:pPr>
      <w:r>
        <w:rPr>
          <w:i/>
          <w:iCs/>
          <w:color w:val="000000"/>
          <w:spacing w:val="0"/>
          <w:w w:val="100"/>
          <w:position w:val="0"/>
          <w:shd w:val="clear" w:color="auto" w:fill="auto"/>
          <w:lang w:val="en-US" w:eastAsia="en-US" w:bidi="en-US"/>
        </w:rPr>
        <w:t>Aditional,</w:t>
      </w:r>
      <w:r>
        <w:rPr>
          <w:color w:val="000000"/>
          <w:spacing w:val="0"/>
          <w:w w:val="100"/>
          <w:position w:val="0"/>
          <w:shd w:val="clear" w:color="auto" w:fill="auto"/>
          <w:lang w:val="en-US" w:eastAsia="en-US" w:bidi="en-US"/>
        </w:rPr>
        <w:t xml:space="preserve"> ca ilegalitati in cadrul IS „CFM”, de catre SIS</w:t>
      </w:r>
      <w:r>
        <w:rPr>
          <w:color w:val="000000"/>
          <w:spacing w:val="0"/>
          <w:w w:val="100"/>
          <w:position w:val="0"/>
          <w:shd w:val="clear" w:color="auto" w:fill="auto"/>
          <w:vertAlign w:val="superscript"/>
          <w:lang w:val="en-US" w:eastAsia="en-US" w:bidi="en-US"/>
        </w:rPr>
        <w:t>51</w:t>
      </w:r>
      <w:r>
        <w:rPr>
          <w:color w:val="000000"/>
          <w:spacing w:val="0"/>
          <w:w w:val="100"/>
          <w:position w:val="0"/>
          <w:shd w:val="clear" w:color="auto" w:fill="auto"/>
          <w:lang w:val="en-US" w:eastAsia="en-US" w:bidi="en-US"/>
        </w:rPr>
        <w:t xml:space="preserve">, au fost identificate actiuni de promovare / protejare a transportarii ilicite </w:t>
      </w:r>
      <w:r>
        <w:rPr>
          <w:i/>
          <w:iCs/>
          <w:color w:val="000000"/>
          <w:spacing w:val="0"/>
          <w:w w:val="100"/>
          <w:position w:val="0"/>
          <w:shd w:val="clear" w:color="auto" w:fill="auto"/>
          <w:lang w:val="en-US" w:eastAsia="en-US" w:bidi="en-US"/>
        </w:rPr>
        <w:t>(prin contrabanda)</w:t>
      </w:r>
      <w:r>
        <w:rPr>
          <w:color w:val="000000"/>
          <w:spacing w:val="0"/>
          <w:w w:val="100"/>
          <w:position w:val="0"/>
          <w:shd w:val="clear" w:color="auto" w:fill="auto"/>
          <w:lang w:val="en-US" w:eastAsia="en-US" w:bidi="en-US"/>
        </w:rPr>
        <w:t xml:space="preserve"> a tigarilor si </w:t>
      </w:r>
      <w:r>
        <w:rPr>
          <w:color w:val="000000"/>
          <w:spacing w:val="0"/>
          <w:w w:val="100"/>
          <w:position w:val="0"/>
          <w:shd w:val="clear" w:color="auto" w:fill="auto"/>
          <w:lang w:val="en-US" w:eastAsia="en-US" w:bidi="en-US"/>
        </w:rPr>
        <w:t>produselor din carne, in paralel cu o colectare „piramidala” a banilor, si anume:</w:t>
      </w:r>
    </w:p>
    <w:p>
      <w:pPr>
        <w:pStyle w:val="Style17"/>
        <w:keepNext w:val="0"/>
        <w:keepLines w:val="0"/>
        <w:widowControl w:val="0"/>
        <w:shd w:val="clear" w:color="auto" w:fill="auto"/>
        <w:bidi w:val="0"/>
        <w:spacing w:before="0" w:after="0" w:line="240" w:lineRule="auto"/>
        <w:ind w:left="0" w:right="0" w:firstLine="760"/>
        <w:jc w:val="both"/>
      </w:pPr>
      <w:r>
        <w:rPr>
          <w:color w:val="000000"/>
          <w:spacing w:val="0"/>
          <w:w w:val="100"/>
          <w:position w:val="0"/>
          <w:u w:val="single"/>
          <w:shd w:val="clear" w:color="auto" w:fill="auto"/>
          <w:lang w:val="en-US" w:eastAsia="en-US" w:bidi="en-US"/>
        </w:rPr>
        <w:t>Schemele de contrabanda</w:t>
      </w:r>
      <w:r>
        <w:rPr>
          <w:color w:val="000000"/>
          <w:spacing w:val="0"/>
          <w:w w:val="100"/>
          <w:position w:val="0"/>
          <w:shd w:val="clear" w:color="auto" w:fill="auto"/>
          <w:lang w:val="en-US" w:eastAsia="en-US" w:bidi="en-US"/>
        </w:rPr>
        <w:t xml:space="preserve"> cu produse de tutungerie si carne sunt realizate pe cursele internationale ale trenurilor de pasageri </w:t>
      </w:r>
      <w:r>
        <w:rPr>
          <w:i/>
          <w:iCs/>
          <w:color w:val="000000"/>
          <w:spacing w:val="0"/>
          <w:w w:val="100"/>
          <w:position w:val="0"/>
          <w:shd w:val="clear" w:color="auto" w:fill="auto"/>
          <w:lang w:val="en-US" w:eastAsia="en-US" w:bidi="en-US"/>
        </w:rPr>
        <w:t xml:space="preserve">(nr. </w:t>
      </w:r>
      <w:r>
        <w:rPr>
          <w:i/>
          <w:iCs/>
          <w:color w:val="000000"/>
          <w:spacing w:val="0"/>
          <w:w w:val="100"/>
          <w:position w:val="0"/>
          <w:shd w:val="clear" w:color="auto" w:fill="auto"/>
          <w:lang w:val="ru-RU" w:eastAsia="ru-RU" w:bidi="ru-RU"/>
        </w:rPr>
        <w:t xml:space="preserve">105/106, </w:t>
      </w:r>
      <w:r>
        <w:rPr>
          <w:i/>
          <w:iCs/>
          <w:color w:val="000000"/>
          <w:spacing w:val="0"/>
          <w:w w:val="100"/>
          <w:position w:val="0"/>
          <w:shd w:val="clear" w:color="auto" w:fill="auto"/>
          <w:lang w:val="en-US" w:eastAsia="en-US" w:bidi="en-US"/>
        </w:rPr>
        <w:t xml:space="preserve">Chisinau - Bucuresti - </w:t>
      </w:r>
      <w:r>
        <w:rPr>
          <w:i/>
          <w:iCs/>
          <w:color w:val="000000"/>
          <w:spacing w:val="0"/>
          <w:w w:val="100"/>
          <w:position w:val="0"/>
          <w:u w:val="single"/>
          <w:shd w:val="clear" w:color="auto" w:fill="auto"/>
          <w:lang w:val="en-US" w:eastAsia="en-US" w:bidi="en-US"/>
        </w:rPr>
        <w:t>tigari</w:t>
      </w:r>
      <w:r>
        <w:rPr>
          <w:i/>
          <w:iCs/>
          <w:color w:val="000000"/>
          <w:spacing w:val="0"/>
          <w:w w:val="100"/>
          <w:position w:val="0"/>
          <w:shd w:val="clear" w:color="auto" w:fill="auto"/>
          <w:lang w:val="en-US" w:eastAsia="en-US" w:bidi="en-US"/>
        </w:rPr>
        <w:t xml:space="preserve"> si nr. </w:t>
      </w:r>
      <w:r>
        <w:rPr>
          <w:i/>
          <w:iCs/>
          <w:color w:val="000000"/>
          <w:spacing w:val="0"/>
          <w:w w:val="100"/>
          <w:position w:val="0"/>
          <w:shd w:val="clear" w:color="auto" w:fill="auto"/>
          <w:lang w:val="ru-RU" w:eastAsia="ru-RU" w:bidi="ru-RU"/>
        </w:rPr>
        <w:t xml:space="preserve">47/48, 341/342 </w:t>
      </w:r>
      <w:r>
        <w:rPr>
          <w:i/>
          <w:iCs/>
          <w:color w:val="000000"/>
          <w:spacing w:val="0"/>
          <w:w w:val="100"/>
          <w:position w:val="0"/>
          <w:shd w:val="clear" w:color="auto" w:fill="auto"/>
          <w:lang w:val="en-US" w:eastAsia="en-US" w:bidi="en-US"/>
        </w:rPr>
        <w:t xml:space="preserve">Chisinau — Moscova - </w:t>
      </w:r>
      <w:r>
        <w:rPr>
          <w:i/>
          <w:iCs/>
          <w:color w:val="000000"/>
          <w:spacing w:val="0"/>
          <w:w w:val="100"/>
          <w:position w:val="0"/>
          <w:u w:val="single"/>
          <w:shd w:val="clear" w:color="auto" w:fill="auto"/>
          <w:lang w:val="en-US" w:eastAsia="en-US" w:bidi="en-US"/>
        </w:rPr>
        <w:t>carne)</w:t>
      </w:r>
      <w:r>
        <w:rPr>
          <w:i/>
          <w:iCs/>
          <w:color w:val="000000"/>
          <w:spacing w:val="0"/>
          <w:w w:val="100"/>
          <w:position w:val="0"/>
          <w:shd w:val="clear" w:color="auto" w:fill="auto"/>
          <w:lang w:val="en-US" w:eastAsia="en-US" w:bidi="en-US"/>
        </w:rPr>
        <w:t>.</w:t>
      </w:r>
    </w:p>
    <w:p>
      <w:pPr>
        <w:pStyle w:val="Style17"/>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en-US" w:eastAsia="en-US" w:bidi="en-US"/>
        </w:rPr>
        <w:t xml:space="preserve">Pentru asigurarea </w:t>
      </w:r>
      <w:r>
        <w:rPr>
          <w:i/>
          <w:iCs/>
          <w:color w:val="000000"/>
          <w:spacing w:val="0"/>
          <w:w w:val="100"/>
          <w:position w:val="0"/>
          <w:shd w:val="clear" w:color="auto" w:fill="auto"/>
          <w:lang w:val="en-US" w:eastAsia="en-US" w:bidi="en-US"/>
        </w:rPr>
        <w:t>„protectiei”</w:t>
      </w:r>
      <w:r>
        <w:rPr>
          <w:color w:val="000000"/>
          <w:spacing w:val="0"/>
          <w:w w:val="100"/>
          <w:position w:val="0"/>
          <w:shd w:val="clear" w:color="auto" w:fill="auto"/>
          <w:lang w:val="en-US" w:eastAsia="en-US" w:bidi="en-US"/>
        </w:rPr>
        <w:t xml:space="preserve"> la nivelul conducerii IS „CFM” si in organele de drept, mijloacele financiare sunt colectate cu implicarea insotitorilor de vagon si a sefilor de tren ai Depoului de vagoane de pasageri al IS „CFM” </w:t>
      </w:r>
      <w:r>
        <w:rPr>
          <w:i/>
          <w:iCs/>
          <w:color w:val="000000"/>
          <w:spacing w:val="0"/>
          <w:w w:val="100"/>
          <w:position w:val="0"/>
          <w:shd w:val="clear" w:color="auto" w:fill="auto"/>
          <w:lang w:val="en-US" w:eastAsia="en-US" w:bidi="en-US"/>
        </w:rPr>
        <w:t>(anterior, Directia pentru deservirea calatorilor).</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u w:val="single"/>
          <w:shd w:val="clear" w:color="auto" w:fill="auto"/>
          <w:lang w:val="en-US" w:eastAsia="en-US" w:bidi="en-US"/>
        </w:rPr>
        <w:t xml:space="preserve">Ca organizatori </w:t>
      </w:r>
      <w:r>
        <w:rPr>
          <w:color w:val="000000"/>
          <w:spacing w:val="0"/>
          <w:w w:val="100"/>
          <w:position w:val="0"/>
          <w:u w:val="single"/>
          <w:shd w:val="clear" w:color="auto" w:fill="auto"/>
          <w:lang w:val="ru-RU" w:eastAsia="ru-RU" w:bidi="ru-RU"/>
        </w:rPr>
        <w:t xml:space="preserve">/ </w:t>
      </w:r>
      <w:r>
        <w:rPr>
          <w:color w:val="000000"/>
          <w:spacing w:val="0"/>
          <w:w w:val="100"/>
          <w:position w:val="0"/>
          <w:u w:val="single"/>
          <w:shd w:val="clear" w:color="auto" w:fill="auto"/>
          <w:lang w:val="en-US" w:eastAsia="en-US" w:bidi="en-US"/>
        </w:rPr>
        <w:t>beneficiari</w:t>
      </w:r>
      <w:r>
        <w:rPr>
          <w:color w:val="000000"/>
          <w:spacing w:val="0"/>
          <w:w w:val="100"/>
          <w:position w:val="0"/>
          <w:shd w:val="clear" w:color="auto" w:fill="auto"/>
          <w:lang w:val="en-US" w:eastAsia="en-US" w:bidi="en-US"/>
        </w:rPr>
        <w:t xml:space="preserve"> ai schemelor au fost identificati angajatii IS „CFM”:</w:t>
      </w:r>
    </w:p>
    <w:p>
      <w:pPr>
        <w:pStyle w:val="Style17"/>
        <w:keepNext w:val="0"/>
        <w:keepLines w:val="0"/>
        <w:widowControl w:val="0"/>
        <w:numPr>
          <w:ilvl w:val="0"/>
          <w:numId w:val="35"/>
        </w:numPr>
        <w:shd w:val="clear" w:color="auto" w:fill="auto"/>
        <w:tabs>
          <w:tab w:pos="705" w:val="left"/>
        </w:tabs>
        <w:bidi w:val="0"/>
        <w:spacing w:before="0" w:after="0" w:line="240" w:lineRule="auto"/>
        <w:ind w:left="720" w:right="0" w:hanging="340"/>
        <w:jc w:val="both"/>
      </w:pPr>
      <w:r>
        <w:rPr>
          <w:color w:val="000000"/>
          <w:spacing w:val="0"/>
          <w:w w:val="100"/>
          <w:position w:val="0"/>
          <w:shd w:val="clear" w:color="auto" w:fill="auto"/>
          <w:lang w:val="en-US" w:eastAsia="en-US" w:bidi="en-US"/>
        </w:rPr>
        <w:t xml:space="preserve">Ion Popescu sef de rezerva al insotitorilor in cadrul Depoului de vagoane de pasageri, cu </w:t>
      </w:r>
      <w:r>
        <w:rPr>
          <w:color w:val="000000"/>
          <w:spacing w:val="0"/>
          <w:w w:val="100"/>
          <w:position w:val="0"/>
          <w:u w:val="single"/>
          <w:shd w:val="clear" w:color="auto" w:fill="auto"/>
          <w:lang w:val="en-US" w:eastAsia="en-US" w:bidi="en-US"/>
        </w:rPr>
        <w:t>rol principal in schema</w:t>
      </w:r>
      <w:r>
        <w:rPr>
          <w:color w:val="000000"/>
          <w:spacing w:val="0"/>
          <w:w w:val="100"/>
          <w:position w:val="0"/>
          <w:shd w:val="clear" w:color="auto" w:fill="auto"/>
          <w:lang w:val="en-US" w:eastAsia="en-US" w:bidi="en-US"/>
        </w:rPr>
        <w:t>;</w:t>
      </w:r>
    </w:p>
    <w:p>
      <w:pPr>
        <w:pStyle w:val="Style17"/>
        <w:keepNext w:val="0"/>
        <w:keepLines w:val="0"/>
        <w:widowControl w:val="0"/>
        <w:numPr>
          <w:ilvl w:val="0"/>
          <w:numId w:val="35"/>
        </w:numPr>
        <w:shd w:val="clear" w:color="auto" w:fill="auto"/>
        <w:tabs>
          <w:tab w:pos="705" w:val="left"/>
        </w:tabs>
        <w:bidi w:val="0"/>
        <w:spacing w:before="0" w:after="0" w:line="240" w:lineRule="auto"/>
        <w:ind w:left="720" w:right="0" w:hanging="340"/>
        <w:jc w:val="both"/>
      </w:pPr>
      <w:r>
        <w:rPr>
          <w:color w:val="000000"/>
          <w:spacing w:val="0"/>
          <w:w w:val="100"/>
          <w:position w:val="0"/>
          <w:shd w:val="clear" w:color="auto" w:fill="auto"/>
          <w:lang w:val="en-US" w:eastAsia="en-US" w:bidi="en-US"/>
        </w:rPr>
        <w:t>Valeriu Ohladciuc</w:t>
      </w:r>
      <w:r>
        <w:rPr>
          <w:i/>
          <w:iCs/>
          <w:color w:val="000000"/>
          <w:spacing w:val="0"/>
          <w:w w:val="100"/>
          <w:position w:val="0"/>
          <w:shd w:val="clear" w:color="auto" w:fill="auto"/>
          <w:lang w:val="en-US" w:eastAsia="en-US" w:bidi="en-US"/>
        </w:rPr>
        <w:t>,</w:t>
      </w:r>
      <w:r>
        <w:rPr>
          <w:color w:val="000000"/>
          <w:spacing w:val="0"/>
          <w:w w:val="100"/>
          <w:position w:val="0"/>
          <w:shd w:val="clear" w:color="auto" w:fill="auto"/>
          <w:lang w:val="en-US" w:eastAsia="en-US" w:bidi="en-US"/>
        </w:rPr>
        <w:t xml:space="preserve"> restabilit recent in functia de vicedirector general, responsabil de securitate, finul de cununie al lui Ghenadie Sajin (PDM), la randul sau, fin de cununie al lui Iu. Topala;</w:t>
      </w:r>
    </w:p>
    <w:p>
      <w:pPr>
        <w:pStyle w:val="Style17"/>
        <w:keepNext w:val="0"/>
        <w:keepLines w:val="0"/>
        <w:widowControl w:val="0"/>
        <w:numPr>
          <w:ilvl w:val="0"/>
          <w:numId w:val="35"/>
        </w:numPr>
        <w:shd w:val="clear" w:color="auto" w:fill="auto"/>
        <w:tabs>
          <w:tab w:pos="705" w:val="left"/>
        </w:tabs>
        <w:bidi w:val="0"/>
        <w:spacing w:before="0" w:after="40" w:line="240" w:lineRule="auto"/>
        <w:ind w:left="720" w:right="0" w:hanging="340"/>
        <w:jc w:val="both"/>
      </w:pPr>
      <w:r>
        <w:rPr>
          <w:color w:val="000000"/>
          <w:spacing w:val="0"/>
          <w:w w:val="100"/>
          <w:position w:val="0"/>
          <w:shd w:val="clear" w:color="auto" w:fill="auto"/>
          <w:lang w:val="en-US" w:eastAsia="en-US" w:bidi="en-US"/>
        </w:rPr>
        <w:t>Grigore Condurache</w:t>
      </w:r>
      <w:r>
        <w:rPr>
          <w:i/>
          <w:iCs/>
          <w:color w:val="000000"/>
          <w:spacing w:val="0"/>
          <w:w w:val="100"/>
          <w:position w:val="0"/>
          <w:shd w:val="clear" w:color="auto" w:fill="auto"/>
          <w:lang w:val="en-US" w:eastAsia="en-US" w:bidi="en-US"/>
        </w:rPr>
        <w:t>,</w:t>
      </w:r>
      <w:r>
        <w:rPr>
          <w:color w:val="000000"/>
          <w:spacing w:val="0"/>
          <w:w w:val="100"/>
          <w:position w:val="0"/>
          <w:shd w:val="clear" w:color="auto" w:fill="auto"/>
          <w:lang w:val="en-US" w:eastAsia="en-US" w:bidi="en-US"/>
        </w:rPr>
        <w:t xml:space="preserve"> restabilit recent in functia de vicedirector general, responsabil de activitatea comerciala;</w:t>
      </w:r>
    </w:p>
    <w:p>
      <w:pPr>
        <w:pStyle w:val="Style17"/>
        <w:keepNext w:val="0"/>
        <w:keepLines w:val="0"/>
        <w:widowControl w:val="0"/>
        <w:numPr>
          <w:ilvl w:val="0"/>
          <w:numId w:val="35"/>
        </w:numPr>
        <w:shd w:val="clear" w:color="auto" w:fill="auto"/>
        <w:tabs>
          <w:tab w:pos="705" w:val="left"/>
        </w:tabs>
        <w:bidi w:val="0"/>
        <w:spacing w:before="0" w:after="0" w:line="305" w:lineRule="auto"/>
        <w:ind w:left="0" w:right="0" w:firstLine="340"/>
        <w:jc w:val="both"/>
      </w:pPr>
      <w:r>
        <w:rPr>
          <w:color w:val="000000"/>
          <w:spacing w:val="0"/>
          <w:w w:val="100"/>
          <w:position w:val="0"/>
          <w:shd w:val="clear" w:color="auto" w:fill="auto"/>
          <w:lang w:val="en-US" w:eastAsia="en-US" w:bidi="en-US"/>
        </w:rPr>
        <w:t>anterior si Anatolie Rusu</w:t>
      </w:r>
      <w:r>
        <w:rPr>
          <w:i/>
          <w:iCs/>
          <w:color w:val="000000"/>
          <w:spacing w:val="0"/>
          <w:w w:val="100"/>
          <w:position w:val="0"/>
          <w:shd w:val="clear" w:color="auto" w:fill="auto"/>
          <w:lang w:val="en-US" w:eastAsia="en-US" w:bidi="en-US"/>
        </w:rPr>
        <w:t>,</w:t>
      </w:r>
      <w:r>
        <w:rPr>
          <w:color w:val="000000"/>
          <w:spacing w:val="0"/>
          <w:w w:val="100"/>
          <w:position w:val="0"/>
          <w:shd w:val="clear" w:color="auto" w:fill="auto"/>
          <w:lang w:val="en-US" w:eastAsia="en-US" w:bidi="en-US"/>
        </w:rPr>
        <w:t xml:space="preserve"> atunci sef al Serviciului transport calatori.</w:t>
      </w:r>
    </w:p>
    <w:p>
      <w:pPr>
        <w:pStyle w:val="Style17"/>
        <w:keepNext w:val="0"/>
        <w:keepLines w:val="0"/>
        <w:widowControl w:val="0"/>
        <w:shd w:val="clear" w:color="auto" w:fill="auto"/>
        <w:bidi w:val="0"/>
        <w:spacing w:before="0" w:after="40" w:line="240" w:lineRule="auto"/>
        <w:ind w:left="0" w:right="0" w:firstLine="760"/>
        <w:jc w:val="both"/>
      </w:pPr>
      <w:r>
        <w:rPr>
          <w:color w:val="000000"/>
          <w:spacing w:val="0"/>
          <w:w w:val="100"/>
          <w:position w:val="0"/>
          <w:u w:val="single"/>
          <w:shd w:val="clear" w:color="auto" w:fill="auto"/>
          <w:lang w:val="en-US" w:eastAsia="en-US" w:bidi="en-US"/>
        </w:rPr>
        <w:t>Pe segmentul contrabandei cu tigari</w:t>
      </w:r>
      <w:r>
        <w:rPr>
          <w:color w:val="000000"/>
          <w:spacing w:val="0"/>
          <w:w w:val="100"/>
          <w:position w:val="0"/>
          <w:shd w:val="clear" w:color="auto" w:fill="auto"/>
          <w:lang w:val="en-US" w:eastAsia="en-US" w:bidi="en-US"/>
        </w:rPr>
        <w:t xml:space="preserve"> - pe ruta nr. </w:t>
      </w:r>
      <w:r>
        <w:rPr>
          <w:color w:val="000000"/>
          <w:spacing w:val="0"/>
          <w:w w:val="100"/>
          <w:position w:val="0"/>
          <w:shd w:val="clear" w:color="auto" w:fill="auto"/>
          <w:lang w:val="ru-RU" w:eastAsia="ru-RU" w:bidi="ru-RU"/>
        </w:rPr>
        <w:t xml:space="preserve">105/106, </w:t>
      </w:r>
      <w:r>
        <w:rPr>
          <w:color w:val="000000"/>
          <w:spacing w:val="0"/>
          <w:w w:val="100"/>
          <w:position w:val="0"/>
          <w:shd w:val="clear" w:color="auto" w:fill="auto"/>
          <w:lang w:val="en-US" w:eastAsia="en-US" w:bidi="en-US"/>
        </w:rPr>
        <w:t xml:space="preserve">Chisinau - Bucuresti, datele releva ca Ion Popescu a stabilit intelegeri privind modalitatile de transportare a tigarilor - camuflarea in compartimentele pentru bagaje, in pereti, in tavanul vagoanelor, podeaua dubla sau sub sasiu si in alte elemente constructive ale vagoanelor, cu </w:t>
      </w:r>
      <w:r>
        <w:rPr>
          <w:color w:val="000000"/>
          <w:spacing w:val="0"/>
          <w:w w:val="100"/>
          <w:position w:val="0"/>
          <w:u w:val="single"/>
          <w:shd w:val="clear" w:color="auto" w:fill="auto"/>
          <w:lang w:val="en-US" w:eastAsia="en-US" w:bidi="en-US"/>
        </w:rPr>
        <w:t>sefii de tren</w:t>
      </w:r>
      <w:r>
        <w:rPr>
          <w:color w:val="000000"/>
          <w:spacing w:val="0"/>
          <w:w w:val="100"/>
          <w:position w:val="0"/>
          <w:shd w:val="clear" w:color="auto" w:fill="auto"/>
          <w:lang w:val="en-US" w:eastAsia="en-US" w:bidi="en-US"/>
        </w:rPr>
        <w:t>:</w:t>
      </w:r>
    </w:p>
    <w:p>
      <w:pPr>
        <w:pStyle w:val="Style17"/>
        <w:keepNext w:val="0"/>
        <w:keepLines w:val="0"/>
        <w:widowControl w:val="0"/>
        <w:numPr>
          <w:ilvl w:val="0"/>
          <w:numId w:val="35"/>
        </w:numPr>
        <w:shd w:val="clear" w:color="auto" w:fill="auto"/>
        <w:tabs>
          <w:tab w:pos="705" w:val="left"/>
        </w:tabs>
        <w:bidi w:val="0"/>
        <w:spacing w:before="0" w:after="0" w:line="305" w:lineRule="auto"/>
        <w:ind w:left="0" w:right="0" w:firstLine="340"/>
        <w:jc w:val="both"/>
      </w:pPr>
      <w:r>
        <w:rPr>
          <w:color w:val="000000"/>
          <w:spacing w:val="0"/>
          <w:w w:val="100"/>
          <w:position w:val="0"/>
          <w:shd w:val="clear" w:color="auto" w:fill="auto"/>
          <w:lang w:val="en-US" w:eastAsia="en-US" w:bidi="en-US"/>
        </w:rPr>
        <w:t>Eduard Vieru</w:t>
      </w:r>
      <w:r>
        <w:rPr>
          <w:i/>
          <w:iCs/>
          <w:color w:val="000000"/>
          <w:spacing w:val="0"/>
          <w:w w:val="100"/>
          <w:position w:val="0"/>
          <w:shd w:val="clear" w:color="auto" w:fill="auto"/>
          <w:lang w:val="en-US" w:eastAsia="en-US" w:bidi="en-US"/>
        </w:rPr>
        <w:t>;</w:t>
      </w:r>
    </w:p>
    <w:p>
      <w:pPr>
        <w:pStyle w:val="Style17"/>
        <w:keepNext w:val="0"/>
        <w:keepLines w:val="0"/>
        <w:widowControl w:val="0"/>
        <w:numPr>
          <w:ilvl w:val="0"/>
          <w:numId w:val="35"/>
        </w:numPr>
        <w:shd w:val="clear" w:color="auto" w:fill="auto"/>
        <w:tabs>
          <w:tab w:pos="705" w:val="left"/>
        </w:tabs>
        <w:bidi w:val="0"/>
        <w:spacing w:before="0" w:after="0" w:line="305" w:lineRule="auto"/>
        <w:ind w:left="0" w:right="0" w:firstLine="340"/>
        <w:jc w:val="both"/>
      </w:pPr>
      <w:r>
        <w:rPr>
          <w:color w:val="000000"/>
          <w:spacing w:val="0"/>
          <w:w w:val="100"/>
          <w:position w:val="0"/>
          <w:shd w:val="clear" w:color="auto" w:fill="auto"/>
          <w:lang w:val="en-US" w:eastAsia="en-US" w:bidi="en-US"/>
        </w:rPr>
        <w:t>Pavel Muset</w:t>
      </w:r>
      <w:r>
        <w:rPr>
          <w:i/>
          <w:iCs/>
          <w:color w:val="000000"/>
          <w:spacing w:val="0"/>
          <w:w w:val="100"/>
          <w:position w:val="0"/>
          <w:shd w:val="clear" w:color="auto" w:fill="auto"/>
          <w:lang w:val="en-US" w:eastAsia="en-US" w:bidi="en-US"/>
        </w:rPr>
        <w:t>;</w:t>
      </w:r>
    </w:p>
    <w:p>
      <w:pPr>
        <w:pStyle w:val="Style17"/>
        <w:keepNext w:val="0"/>
        <w:keepLines w:val="0"/>
        <w:widowControl w:val="0"/>
        <w:numPr>
          <w:ilvl w:val="0"/>
          <w:numId w:val="35"/>
        </w:numPr>
        <w:shd w:val="clear" w:color="auto" w:fill="auto"/>
        <w:tabs>
          <w:tab w:pos="705" w:val="left"/>
        </w:tabs>
        <w:bidi w:val="0"/>
        <w:spacing w:before="0" w:after="0" w:line="305" w:lineRule="auto"/>
        <w:ind w:left="0" w:right="0" w:firstLine="340"/>
        <w:jc w:val="both"/>
      </w:pPr>
      <w:r>
        <w:rPr>
          <w:color w:val="000000"/>
          <w:spacing w:val="0"/>
          <w:w w:val="100"/>
          <w:position w:val="0"/>
          <w:shd w:val="clear" w:color="auto" w:fill="auto"/>
          <w:lang w:val="en-US" w:eastAsia="en-US" w:bidi="en-US"/>
        </w:rPr>
        <w:t>Vadim Pasat</w:t>
      </w:r>
      <w:r>
        <w:rPr>
          <w:i/>
          <w:iCs/>
          <w:color w:val="000000"/>
          <w:spacing w:val="0"/>
          <w:w w:val="100"/>
          <w:position w:val="0"/>
          <w:shd w:val="clear" w:color="auto" w:fill="auto"/>
          <w:lang w:val="en-US" w:eastAsia="en-US" w:bidi="en-US"/>
        </w:rPr>
        <w:t>;</w:t>
      </w:r>
    </w:p>
    <w:p>
      <w:pPr>
        <w:pStyle w:val="Style17"/>
        <w:keepNext w:val="0"/>
        <w:keepLines w:val="0"/>
        <w:widowControl w:val="0"/>
        <w:numPr>
          <w:ilvl w:val="0"/>
          <w:numId w:val="35"/>
        </w:numPr>
        <w:shd w:val="clear" w:color="auto" w:fill="auto"/>
        <w:tabs>
          <w:tab w:pos="705" w:val="left"/>
        </w:tabs>
        <w:bidi w:val="0"/>
        <w:spacing w:before="0" w:after="0" w:line="305" w:lineRule="auto"/>
        <w:ind w:left="0" w:right="0" w:firstLine="340"/>
        <w:jc w:val="both"/>
      </w:pPr>
      <w:r>
        <w:rPr>
          <w:color w:val="000000"/>
          <w:spacing w:val="0"/>
          <w:w w:val="100"/>
          <w:position w:val="0"/>
          <w:shd w:val="clear" w:color="auto" w:fill="auto"/>
          <w:lang w:val="en-US" w:eastAsia="en-US" w:bidi="en-US"/>
        </w:rPr>
        <w:t>Eduard Mihalcean</w:t>
      </w:r>
      <w:r>
        <w:rPr>
          <w:i/>
          <w:iCs/>
          <w:color w:val="000000"/>
          <w:spacing w:val="0"/>
          <w:w w:val="100"/>
          <w:position w:val="0"/>
          <w:shd w:val="clear" w:color="auto" w:fill="auto"/>
          <w:lang w:val="en-US" w:eastAsia="en-US" w:bidi="en-US"/>
        </w:rPr>
        <w:t>.</w:t>
      </w:r>
    </w:p>
    <w:p>
      <w:pPr>
        <w:pStyle w:val="Style17"/>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en-US" w:eastAsia="en-US" w:bidi="en-US"/>
        </w:rPr>
        <w:t xml:space="preserve">De regula, pe aceasta ruta tigarile erau stocate in unul din depozitele amplasate pe teritoriul Depoului de vagoane de pasageri, incarcate in saci </w:t>
      </w:r>
      <w:r>
        <w:rPr>
          <w:i/>
          <w:iCs/>
          <w:color w:val="000000"/>
          <w:spacing w:val="0"/>
          <w:w w:val="100"/>
          <w:position w:val="0"/>
          <w:shd w:val="clear" w:color="auto" w:fill="auto"/>
          <w:lang w:val="en-US" w:eastAsia="en-US" w:bidi="en-US"/>
        </w:rPr>
        <w:t>(similari cu cei utilizati pentru repartizarea albiturilor sau a produselor permise)</w:t>
      </w:r>
      <w:r>
        <w:rPr>
          <w:color w:val="000000"/>
          <w:spacing w:val="0"/>
          <w:w w:val="100"/>
          <w:position w:val="0"/>
          <w:shd w:val="clear" w:color="auto" w:fill="auto"/>
          <w:lang w:val="en-US" w:eastAsia="en-US" w:bidi="en-US"/>
        </w:rPr>
        <w:t xml:space="preserve"> si transmisi in vagoanele de pasageri prin intermediul transportului de serviciu.</w:t>
      </w:r>
    </w:p>
    <w:p>
      <w:pPr>
        <w:pStyle w:val="Style17"/>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en-US" w:eastAsia="en-US" w:bidi="en-US"/>
        </w:rPr>
        <w:t>Ulterior, insotitorii de vagon, in complicitate cu alti angajati ai CFM, tainuiau tigarile in compartimentele vagoanelor.</w:t>
      </w:r>
    </w:p>
    <w:p>
      <w:pPr>
        <w:pStyle w:val="Style17"/>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en-US" w:eastAsia="en-US" w:bidi="en-US"/>
        </w:rPr>
        <w:t xml:space="preserve">La intoarcerea din Romania, banii proveniti din realizarea tigarilor sunt transmisi </w:t>
      </w:r>
      <w:r>
        <w:rPr>
          <w:color w:val="000000"/>
          <w:spacing w:val="0"/>
          <w:w w:val="100"/>
          <w:position w:val="0"/>
          <w:u w:val="single"/>
          <w:shd w:val="clear" w:color="auto" w:fill="auto"/>
          <w:lang w:val="en-US" w:eastAsia="en-US" w:bidi="en-US"/>
        </w:rPr>
        <w:t>zilnic</w:t>
      </w:r>
      <w:r>
        <w:rPr>
          <w:color w:val="000000"/>
          <w:spacing w:val="0"/>
          <w:w w:val="100"/>
          <w:position w:val="0"/>
          <w:shd w:val="clear" w:color="auto" w:fill="auto"/>
          <w:lang w:val="en-US" w:eastAsia="en-US" w:bidi="en-US"/>
        </w:rPr>
        <w:t xml:space="preserve"> lui Ion Popescu </w:t>
      </w:r>
      <w:r>
        <w:rPr>
          <w:i/>
          <w:iCs/>
          <w:color w:val="000000"/>
          <w:spacing w:val="0"/>
          <w:w w:val="100"/>
          <w:position w:val="0"/>
          <w:shd w:val="clear" w:color="auto" w:fill="auto"/>
          <w:lang w:val="en-US" w:eastAsia="en-US" w:bidi="en-US"/>
        </w:rPr>
        <w:t xml:space="preserve">(cca. </w:t>
      </w:r>
      <w:r>
        <w:rPr>
          <w:i/>
          <w:iCs/>
          <w:color w:val="000000"/>
          <w:spacing w:val="0"/>
          <w:w w:val="100"/>
          <w:position w:val="0"/>
          <w:u w:val="single"/>
          <w:shd w:val="clear" w:color="auto" w:fill="auto"/>
          <w:lang w:val="en-US" w:eastAsia="en-US" w:bidi="en-US"/>
        </w:rPr>
        <w:t>100 000 de lei)</w:t>
      </w:r>
      <w:r>
        <w:rPr>
          <w:i/>
          <w:iCs/>
          <w:color w:val="000000"/>
          <w:spacing w:val="0"/>
          <w:w w:val="100"/>
          <w:position w:val="0"/>
          <w:shd w:val="clear" w:color="auto" w:fill="auto"/>
          <w:lang w:val="en-US" w:eastAsia="en-US" w:bidi="en-US"/>
        </w:rPr>
        <w:t>.</w:t>
      </w:r>
    </w:p>
    <w:p>
      <w:pPr>
        <w:pStyle w:val="Style17"/>
        <w:keepNext w:val="0"/>
        <w:keepLines w:val="0"/>
        <w:widowControl w:val="0"/>
        <w:shd w:val="clear" w:color="auto" w:fill="auto"/>
        <w:bidi w:val="0"/>
        <w:spacing w:before="0" w:after="40" w:line="240" w:lineRule="auto"/>
        <w:ind w:left="0" w:right="0" w:firstLine="760"/>
        <w:jc w:val="both"/>
      </w:pPr>
      <w:r>
        <w:rPr>
          <w:color w:val="000000"/>
          <w:spacing w:val="0"/>
          <w:w w:val="100"/>
          <w:position w:val="0"/>
          <w:u w:val="single"/>
          <w:shd w:val="clear" w:color="auto" w:fill="auto"/>
          <w:lang w:val="en-US" w:eastAsia="en-US" w:bidi="en-US"/>
        </w:rPr>
        <w:t>Privitor la contrabanda de carne</w:t>
      </w:r>
      <w:r>
        <w:rPr>
          <w:color w:val="000000"/>
          <w:spacing w:val="0"/>
          <w:w w:val="100"/>
          <w:position w:val="0"/>
          <w:shd w:val="clear" w:color="auto" w:fill="auto"/>
          <w:lang w:val="en-US" w:eastAsia="en-US" w:bidi="en-US"/>
        </w:rPr>
        <w:t xml:space="preserve"> - ruta nr. </w:t>
      </w:r>
      <w:r>
        <w:rPr>
          <w:color w:val="000000"/>
          <w:spacing w:val="0"/>
          <w:w w:val="100"/>
          <w:position w:val="0"/>
          <w:shd w:val="clear" w:color="auto" w:fill="auto"/>
          <w:lang w:val="ru-RU" w:eastAsia="ru-RU" w:bidi="ru-RU"/>
        </w:rPr>
        <w:t xml:space="preserve">47/48 </w:t>
      </w:r>
      <w:r>
        <w:rPr>
          <w:color w:val="000000"/>
          <w:spacing w:val="0"/>
          <w:w w:val="100"/>
          <w:position w:val="0"/>
          <w:shd w:val="clear" w:color="auto" w:fill="auto"/>
          <w:lang w:val="en-US" w:eastAsia="en-US" w:bidi="en-US"/>
        </w:rPr>
        <w:t xml:space="preserve">si nr. </w:t>
      </w:r>
      <w:r>
        <w:rPr>
          <w:color w:val="000000"/>
          <w:spacing w:val="0"/>
          <w:w w:val="100"/>
          <w:position w:val="0"/>
          <w:shd w:val="clear" w:color="auto" w:fill="auto"/>
          <w:lang w:val="ru-RU" w:eastAsia="ru-RU" w:bidi="ru-RU"/>
        </w:rPr>
        <w:t xml:space="preserve">341/342 </w:t>
      </w:r>
      <w:r>
        <w:rPr>
          <w:color w:val="000000"/>
          <w:spacing w:val="0"/>
          <w:w w:val="100"/>
          <w:position w:val="0"/>
          <w:shd w:val="clear" w:color="auto" w:fill="auto"/>
          <w:lang w:val="en-US" w:eastAsia="en-US" w:bidi="en-US"/>
        </w:rPr>
        <w:t xml:space="preserve">Chisinau - Moscova, datele denota incarcarea acesteia in </w:t>
      </w:r>
      <w:r>
        <w:rPr>
          <w:color w:val="000000"/>
          <w:spacing w:val="0"/>
          <w:w w:val="100"/>
          <w:position w:val="0"/>
          <w:u w:val="single"/>
          <w:shd w:val="clear" w:color="auto" w:fill="auto"/>
          <w:lang w:val="en-US" w:eastAsia="en-US" w:bidi="en-US"/>
        </w:rPr>
        <w:t>Ucraina</w:t>
      </w:r>
      <w:r>
        <w:rPr>
          <w:color w:val="000000"/>
          <w:spacing w:val="0"/>
          <w:w w:val="100"/>
          <w:position w:val="0"/>
          <w:shd w:val="clear" w:color="auto" w:fill="auto"/>
          <w:lang w:val="en-US" w:eastAsia="en-US" w:bidi="en-US"/>
        </w:rPr>
        <w:t xml:space="preserve"> si introducerea ilicita in Federate Rusa, prin depozitare in locuri special construite/instalate (artizanal) in compartimentele vagoanelor de pasageri. Pe acest segment, cazurile au fost documentate in privinta </w:t>
      </w:r>
      <w:r>
        <w:rPr>
          <w:color w:val="000000"/>
          <w:spacing w:val="0"/>
          <w:w w:val="100"/>
          <w:position w:val="0"/>
          <w:u w:val="single"/>
          <w:shd w:val="clear" w:color="auto" w:fill="auto"/>
          <w:lang w:val="en-US" w:eastAsia="en-US" w:bidi="en-US"/>
        </w:rPr>
        <w:t>sefilor de tren,</w:t>
      </w:r>
      <w:r>
        <w:rPr>
          <w:color w:val="000000"/>
          <w:spacing w:val="0"/>
          <w:w w:val="100"/>
          <w:position w:val="0"/>
          <w:shd w:val="clear" w:color="auto" w:fill="auto"/>
          <w:lang w:val="en-US" w:eastAsia="en-US" w:bidi="en-US"/>
        </w:rPr>
        <w:t xml:space="preserve"> care sunt de fapt si persoane de incredere ale lui Ion POPESCU:</w:t>
      </w:r>
    </w:p>
    <w:p>
      <w:pPr>
        <w:pStyle w:val="Style17"/>
        <w:keepNext w:val="0"/>
        <w:keepLines w:val="0"/>
        <w:widowControl w:val="0"/>
        <w:numPr>
          <w:ilvl w:val="0"/>
          <w:numId w:val="35"/>
        </w:numPr>
        <w:shd w:val="clear" w:color="auto" w:fill="auto"/>
        <w:tabs>
          <w:tab w:pos="1088" w:val="left"/>
        </w:tabs>
        <w:bidi w:val="0"/>
        <w:spacing w:before="0" w:after="0" w:line="305" w:lineRule="auto"/>
        <w:ind w:left="0" w:right="0" w:firstLine="760"/>
        <w:jc w:val="both"/>
      </w:pPr>
      <w:r>
        <w:rPr>
          <w:color w:val="000000"/>
          <w:spacing w:val="0"/>
          <w:w w:val="100"/>
          <w:position w:val="0"/>
          <w:shd w:val="clear" w:color="auto" w:fill="auto"/>
          <w:lang w:val="en-US" w:eastAsia="en-US" w:bidi="en-US"/>
        </w:rPr>
        <w:t xml:space="preserve">Ion Tomai </w:t>
      </w:r>
      <w:r>
        <w:rPr>
          <w:i/>
          <w:iCs/>
          <w:color w:val="000000"/>
          <w:spacing w:val="0"/>
          <w:w w:val="100"/>
          <w:position w:val="0"/>
          <w:shd w:val="clear" w:color="auto" w:fill="auto"/>
          <w:lang w:val="en-US" w:eastAsia="en-US" w:bidi="en-US"/>
        </w:rPr>
        <w:t>-</w:t>
      </w:r>
      <w:r>
        <w:rPr>
          <w:color w:val="000000"/>
          <w:spacing w:val="0"/>
          <w:w w:val="100"/>
          <w:position w:val="0"/>
          <w:shd w:val="clear" w:color="auto" w:fill="auto"/>
          <w:lang w:val="en-US" w:eastAsia="en-US" w:bidi="en-US"/>
        </w:rPr>
        <w:t xml:space="preserve"> finul de cununie al lui Ion POPESCU;</w:t>
      </w:r>
    </w:p>
    <w:p>
      <w:pPr>
        <w:pStyle w:val="Style17"/>
        <w:keepNext w:val="0"/>
        <w:keepLines w:val="0"/>
        <w:widowControl w:val="0"/>
        <w:numPr>
          <w:ilvl w:val="0"/>
          <w:numId w:val="35"/>
        </w:numPr>
        <w:shd w:val="clear" w:color="auto" w:fill="auto"/>
        <w:tabs>
          <w:tab w:pos="1088" w:val="left"/>
        </w:tabs>
        <w:bidi w:val="0"/>
        <w:spacing w:before="0" w:after="0" w:line="305" w:lineRule="auto"/>
        <w:ind w:left="0" w:right="0" w:firstLine="760"/>
        <w:jc w:val="both"/>
      </w:pPr>
      <w:r>
        <w:rPr>
          <w:color w:val="000000"/>
          <w:spacing w:val="0"/>
          <w:w w:val="100"/>
          <w:position w:val="0"/>
          <w:shd w:val="clear" w:color="auto" w:fill="auto"/>
          <w:lang w:val="en-US" w:eastAsia="en-US" w:bidi="en-US"/>
        </w:rPr>
        <w:t>Valeriu Beznos</w:t>
      </w:r>
      <w:r>
        <w:rPr>
          <w:i/>
          <w:iCs/>
          <w:color w:val="000000"/>
          <w:spacing w:val="0"/>
          <w:w w:val="100"/>
          <w:position w:val="0"/>
          <w:shd w:val="clear" w:color="auto" w:fill="auto"/>
          <w:lang w:val="en-US" w:eastAsia="en-US" w:bidi="en-US"/>
        </w:rPr>
        <w:t>;</w:t>
      </w:r>
    </w:p>
    <w:p>
      <w:pPr>
        <w:pStyle w:val="Style17"/>
        <w:keepNext w:val="0"/>
        <w:keepLines w:val="0"/>
        <w:widowControl w:val="0"/>
        <w:numPr>
          <w:ilvl w:val="0"/>
          <w:numId w:val="35"/>
        </w:numPr>
        <w:shd w:val="clear" w:color="auto" w:fill="auto"/>
        <w:tabs>
          <w:tab w:pos="1088" w:val="left"/>
        </w:tabs>
        <w:bidi w:val="0"/>
        <w:spacing w:before="0" w:after="0" w:line="305" w:lineRule="auto"/>
        <w:ind w:left="0" w:right="0" w:firstLine="760"/>
        <w:jc w:val="both"/>
      </w:pPr>
      <w:r>
        <w:rPr>
          <w:color w:val="000000"/>
          <w:spacing w:val="0"/>
          <w:w w:val="100"/>
          <w:position w:val="0"/>
          <w:shd w:val="clear" w:color="auto" w:fill="auto"/>
          <w:lang w:val="en-US" w:eastAsia="en-US" w:bidi="en-US"/>
        </w:rPr>
        <w:t>Dumitru Tetelea</w:t>
      </w:r>
      <w:r>
        <w:rPr>
          <w:i/>
          <w:iCs/>
          <w:color w:val="000000"/>
          <w:spacing w:val="0"/>
          <w:w w:val="100"/>
          <w:position w:val="0"/>
          <w:shd w:val="clear" w:color="auto" w:fill="auto"/>
          <w:lang w:val="en-US" w:eastAsia="en-US" w:bidi="en-US"/>
        </w:rPr>
        <w:t>;</w:t>
      </w:r>
    </w:p>
    <w:p>
      <w:pPr>
        <w:pStyle w:val="Style17"/>
        <w:keepNext w:val="0"/>
        <w:keepLines w:val="0"/>
        <w:widowControl w:val="0"/>
        <w:numPr>
          <w:ilvl w:val="0"/>
          <w:numId w:val="35"/>
        </w:numPr>
        <w:shd w:val="clear" w:color="auto" w:fill="auto"/>
        <w:tabs>
          <w:tab w:pos="1088" w:val="left"/>
        </w:tabs>
        <w:bidi w:val="0"/>
        <w:spacing w:before="0" w:after="0" w:line="305" w:lineRule="auto"/>
        <w:ind w:left="0" w:right="0" w:firstLine="760"/>
        <w:jc w:val="both"/>
      </w:pPr>
      <w:r>
        <w:rPr>
          <w:color w:val="000000"/>
          <w:spacing w:val="0"/>
          <w:w w:val="100"/>
          <w:position w:val="0"/>
          <w:shd w:val="clear" w:color="auto" w:fill="auto"/>
          <w:lang w:val="en-US" w:eastAsia="en-US" w:bidi="en-US"/>
        </w:rPr>
        <w:t>Anatolie Popescu - fratele lui Ion POPESCU;</w:t>
      </w:r>
    </w:p>
    <w:p>
      <w:pPr>
        <w:pStyle w:val="Style17"/>
        <w:keepNext w:val="0"/>
        <w:keepLines w:val="0"/>
        <w:widowControl w:val="0"/>
        <w:numPr>
          <w:ilvl w:val="0"/>
          <w:numId w:val="35"/>
        </w:numPr>
        <w:shd w:val="clear" w:color="auto" w:fill="auto"/>
        <w:tabs>
          <w:tab w:pos="1088" w:val="left"/>
        </w:tabs>
        <w:bidi w:val="0"/>
        <w:spacing w:before="0" w:after="0" w:line="305" w:lineRule="auto"/>
        <w:ind w:left="0" w:right="0" w:firstLine="760"/>
        <w:jc w:val="both"/>
      </w:pPr>
      <w:r>
        <w:rPr>
          <w:color w:val="000000"/>
          <w:spacing w:val="0"/>
          <w:w w:val="100"/>
          <w:position w:val="0"/>
          <w:shd w:val="clear" w:color="auto" w:fill="auto"/>
          <w:lang w:val="en-US" w:eastAsia="en-US" w:bidi="en-US"/>
        </w:rPr>
        <w:t>Ghenadie Budeanu</w:t>
      </w:r>
      <w:r>
        <w:rPr>
          <w:i/>
          <w:iCs/>
          <w:color w:val="000000"/>
          <w:spacing w:val="0"/>
          <w:w w:val="100"/>
          <w:position w:val="0"/>
          <w:shd w:val="clear" w:color="auto" w:fill="auto"/>
          <w:lang w:val="en-US" w:eastAsia="en-US" w:bidi="en-US"/>
        </w:rPr>
        <w:t>;</w:t>
      </w:r>
    </w:p>
    <w:p>
      <w:pPr>
        <w:pStyle w:val="Style17"/>
        <w:keepNext w:val="0"/>
        <w:keepLines w:val="0"/>
        <w:widowControl w:val="0"/>
        <w:numPr>
          <w:ilvl w:val="0"/>
          <w:numId w:val="35"/>
        </w:numPr>
        <w:shd w:val="clear" w:color="auto" w:fill="auto"/>
        <w:tabs>
          <w:tab w:pos="1088" w:val="left"/>
        </w:tabs>
        <w:bidi w:val="0"/>
        <w:spacing w:before="0" w:after="0" w:line="305" w:lineRule="auto"/>
        <w:ind w:left="0" w:right="0" w:firstLine="720"/>
        <w:jc w:val="both"/>
      </w:pPr>
      <w:r>
        <w:rPr>
          <w:color w:val="000000"/>
          <w:spacing w:val="0"/>
          <w:w w:val="100"/>
          <w:position w:val="0"/>
          <w:shd w:val="clear" w:color="auto" w:fill="auto"/>
          <w:lang w:val="en-US" w:eastAsia="en-US" w:bidi="en-US"/>
        </w:rPr>
        <w:t>Victor Telpiz</w:t>
      </w:r>
      <w:r>
        <w:rPr>
          <w:i/>
          <w:iCs/>
          <w:color w:val="000000"/>
          <w:spacing w:val="0"/>
          <w:w w:val="100"/>
          <w:position w:val="0"/>
          <w:shd w:val="clear" w:color="auto" w:fill="auto"/>
          <w:lang w:val="en-US" w:eastAsia="en-US" w:bidi="en-US"/>
        </w:rPr>
        <w:t>;</w:t>
      </w:r>
    </w:p>
    <w:p>
      <w:pPr>
        <w:pStyle w:val="Style17"/>
        <w:keepNext w:val="0"/>
        <w:keepLines w:val="0"/>
        <w:widowControl w:val="0"/>
        <w:numPr>
          <w:ilvl w:val="0"/>
          <w:numId w:val="35"/>
        </w:numPr>
        <w:shd w:val="clear" w:color="auto" w:fill="auto"/>
        <w:tabs>
          <w:tab w:pos="1088" w:val="left"/>
        </w:tabs>
        <w:bidi w:val="0"/>
        <w:spacing w:before="0" w:after="0" w:line="305" w:lineRule="auto"/>
        <w:ind w:left="0" w:right="0" w:firstLine="720"/>
        <w:jc w:val="both"/>
      </w:pPr>
      <w:r>
        <w:rPr>
          <w:color w:val="000000"/>
          <w:spacing w:val="0"/>
          <w:w w:val="100"/>
          <w:position w:val="0"/>
          <w:shd w:val="clear" w:color="auto" w:fill="auto"/>
          <w:lang w:val="en-US" w:eastAsia="en-US" w:bidi="en-US"/>
        </w:rPr>
        <w:t>Victor Tarlev</w:t>
      </w:r>
      <w:r>
        <w:rPr>
          <w:i/>
          <w:iCs/>
          <w:color w:val="000000"/>
          <w:spacing w:val="0"/>
          <w:w w:val="100"/>
          <w:position w:val="0"/>
          <w:shd w:val="clear" w:color="auto" w:fill="auto"/>
          <w:lang w:val="en-US" w:eastAsia="en-US" w:bidi="en-US"/>
        </w:rPr>
        <w:t>;</w:t>
      </w:r>
    </w:p>
    <w:p>
      <w:pPr>
        <w:pStyle w:val="Style17"/>
        <w:keepNext w:val="0"/>
        <w:keepLines w:val="0"/>
        <w:widowControl w:val="0"/>
        <w:numPr>
          <w:ilvl w:val="0"/>
          <w:numId w:val="35"/>
        </w:numPr>
        <w:shd w:val="clear" w:color="auto" w:fill="auto"/>
        <w:tabs>
          <w:tab w:pos="1088" w:val="left"/>
        </w:tabs>
        <w:bidi w:val="0"/>
        <w:spacing w:before="0" w:after="0" w:line="305" w:lineRule="auto"/>
        <w:ind w:left="0" w:right="0" w:firstLine="720"/>
        <w:jc w:val="both"/>
      </w:pPr>
      <w:r>
        <w:rPr>
          <w:color w:val="000000"/>
          <w:spacing w:val="0"/>
          <w:w w:val="100"/>
          <w:position w:val="0"/>
          <w:shd w:val="clear" w:color="auto" w:fill="auto"/>
          <w:lang w:val="en-US" w:eastAsia="en-US" w:bidi="en-US"/>
        </w:rPr>
        <w:t>Andrei Goncearov</w:t>
      </w:r>
      <w:r>
        <w:rPr>
          <w:i/>
          <w:iCs/>
          <w:color w:val="000000"/>
          <w:spacing w:val="0"/>
          <w:w w:val="100"/>
          <w:position w:val="0"/>
          <w:shd w:val="clear" w:color="auto" w:fill="auto"/>
          <w:lang w:val="en-US" w:eastAsia="en-US" w:bidi="en-US"/>
        </w:rPr>
        <w:t>;</w:t>
      </w:r>
    </w:p>
    <w:p>
      <w:pPr>
        <w:pStyle w:val="Style17"/>
        <w:keepNext w:val="0"/>
        <w:keepLines w:val="0"/>
        <w:widowControl w:val="0"/>
        <w:numPr>
          <w:ilvl w:val="0"/>
          <w:numId w:val="35"/>
        </w:numPr>
        <w:shd w:val="clear" w:color="auto" w:fill="auto"/>
        <w:tabs>
          <w:tab w:pos="1073" w:val="left"/>
        </w:tabs>
        <w:bidi w:val="0"/>
        <w:spacing w:before="0" w:after="0" w:line="240" w:lineRule="auto"/>
        <w:ind w:left="0" w:right="0" w:firstLine="740"/>
        <w:jc w:val="left"/>
      </w:pPr>
      <w:r>
        <w:rPr>
          <w:color w:val="000000"/>
          <w:spacing w:val="0"/>
          <w:w w:val="100"/>
          <w:position w:val="0"/>
          <w:shd w:val="clear" w:color="auto" w:fill="auto"/>
          <w:lang w:val="en-US" w:eastAsia="en-US" w:bidi="en-US"/>
        </w:rPr>
        <w:t>Eduard Maidanschi</w:t>
      </w:r>
      <w:r>
        <w:rPr>
          <w:i/>
          <w:iCs/>
          <w:color w:val="000000"/>
          <w:spacing w:val="0"/>
          <w:w w:val="100"/>
          <w:position w:val="0"/>
          <w:shd w:val="clear" w:color="auto" w:fill="auto"/>
          <w:lang w:val="en-US" w:eastAsia="en-US" w:bidi="en-US"/>
        </w:rPr>
        <w:t>;</w:t>
      </w:r>
    </w:p>
    <w:p>
      <w:pPr>
        <w:pStyle w:val="Style17"/>
        <w:keepNext w:val="0"/>
        <w:keepLines w:val="0"/>
        <w:widowControl w:val="0"/>
        <w:numPr>
          <w:ilvl w:val="0"/>
          <w:numId w:val="35"/>
        </w:numPr>
        <w:shd w:val="clear" w:color="auto" w:fill="auto"/>
        <w:tabs>
          <w:tab w:pos="1073" w:val="left"/>
        </w:tabs>
        <w:bidi w:val="0"/>
        <w:spacing w:before="0" w:after="0" w:line="240" w:lineRule="auto"/>
        <w:ind w:left="0" w:right="0" w:firstLine="740"/>
        <w:jc w:val="left"/>
      </w:pPr>
      <w:r>
        <w:rPr>
          <w:color w:val="000000"/>
          <w:spacing w:val="0"/>
          <w:w w:val="100"/>
          <w:position w:val="0"/>
          <w:shd w:val="clear" w:color="auto" w:fill="auto"/>
          <w:lang w:val="en-US" w:eastAsia="en-US" w:bidi="en-US"/>
        </w:rPr>
        <w:t>Sergiu Maidanschi</w:t>
      </w:r>
      <w:r>
        <w:rPr>
          <w:i/>
          <w:iCs/>
          <w:color w:val="000000"/>
          <w:spacing w:val="0"/>
          <w:w w:val="100"/>
          <w:position w:val="0"/>
          <w:shd w:val="clear" w:color="auto" w:fill="auto"/>
          <w:lang w:val="en-US" w:eastAsia="en-US" w:bidi="en-US"/>
        </w:rPr>
        <w:t>;</w:t>
      </w:r>
    </w:p>
    <w:p>
      <w:pPr>
        <w:pStyle w:val="Style17"/>
        <w:keepNext w:val="0"/>
        <w:keepLines w:val="0"/>
        <w:widowControl w:val="0"/>
        <w:numPr>
          <w:ilvl w:val="0"/>
          <w:numId w:val="35"/>
        </w:numPr>
        <w:shd w:val="clear" w:color="auto" w:fill="auto"/>
        <w:tabs>
          <w:tab w:pos="1073" w:val="left"/>
        </w:tabs>
        <w:bidi w:val="0"/>
        <w:spacing w:before="0" w:after="0" w:line="240" w:lineRule="auto"/>
        <w:ind w:left="0" w:right="0" w:firstLine="740"/>
        <w:jc w:val="left"/>
      </w:pPr>
      <w:r>
        <w:rPr>
          <w:color w:val="000000"/>
          <w:spacing w:val="0"/>
          <w:w w:val="100"/>
          <w:position w:val="0"/>
          <w:shd w:val="clear" w:color="auto" w:fill="auto"/>
          <w:lang w:val="en-US" w:eastAsia="en-US" w:bidi="en-US"/>
        </w:rPr>
        <w:t>Gheorghe Dodon</w:t>
      </w:r>
      <w:r>
        <w:rPr>
          <w:i/>
          <w:iCs/>
          <w:color w:val="000000"/>
          <w:spacing w:val="0"/>
          <w:w w:val="100"/>
          <w:position w:val="0"/>
          <w:shd w:val="clear" w:color="auto" w:fill="auto"/>
          <w:lang w:val="en-US" w:eastAsia="en-US" w:bidi="en-US"/>
        </w:rPr>
        <w:t>;</w:t>
      </w:r>
    </w:p>
    <w:p>
      <w:pPr>
        <w:pStyle w:val="Style17"/>
        <w:keepNext w:val="0"/>
        <w:keepLines w:val="0"/>
        <w:widowControl w:val="0"/>
        <w:numPr>
          <w:ilvl w:val="0"/>
          <w:numId w:val="35"/>
        </w:numPr>
        <w:shd w:val="clear" w:color="auto" w:fill="auto"/>
        <w:tabs>
          <w:tab w:pos="1073" w:val="left"/>
        </w:tabs>
        <w:bidi w:val="0"/>
        <w:spacing w:before="0" w:after="0" w:line="240" w:lineRule="auto"/>
        <w:ind w:left="0" w:right="0" w:firstLine="740"/>
        <w:jc w:val="both"/>
      </w:pPr>
      <w:r>
        <w:rPr>
          <w:color w:val="000000"/>
          <w:spacing w:val="0"/>
          <w:w w:val="100"/>
          <w:position w:val="0"/>
          <w:shd w:val="clear" w:color="auto" w:fill="auto"/>
          <w:lang w:val="en-US" w:eastAsia="en-US" w:bidi="en-US"/>
        </w:rPr>
        <w:t>Ion Cebanu</w:t>
      </w:r>
      <w:r>
        <w:rPr>
          <w:i/>
          <w:iCs/>
          <w:color w:val="000000"/>
          <w:spacing w:val="0"/>
          <w:w w:val="100"/>
          <w:position w:val="0"/>
          <w:shd w:val="clear" w:color="auto" w:fill="auto"/>
          <w:lang w:val="en-US" w:eastAsia="en-US" w:bidi="en-US"/>
        </w:rPr>
        <w:t>;</w:t>
      </w:r>
    </w:p>
    <w:p>
      <w:pPr>
        <w:pStyle w:val="Style17"/>
        <w:keepNext w:val="0"/>
        <w:keepLines w:val="0"/>
        <w:widowControl w:val="0"/>
        <w:numPr>
          <w:ilvl w:val="0"/>
          <w:numId w:val="35"/>
        </w:numPr>
        <w:shd w:val="clear" w:color="auto" w:fill="auto"/>
        <w:tabs>
          <w:tab w:pos="1073" w:val="left"/>
        </w:tabs>
        <w:bidi w:val="0"/>
        <w:spacing w:before="0" w:after="0" w:line="240" w:lineRule="auto"/>
        <w:ind w:left="0" w:right="0" w:firstLine="740"/>
        <w:jc w:val="both"/>
      </w:pPr>
      <w:r>
        <w:rPr>
          <w:color w:val="000000"/>
          <w:spacing w:val="0"/>
          <w:w w:val="100"/>
          <w:position w:val="0"/>
          <w:shd w:val="clear" w:color="auto" w:fill="auto"/>
          <w:lang w:val="en-US" w:eastAsia="en-US" w:bidi="en-US"/>
        </w:rPr>
        <w:t>Ion Bologan</w:t>
      </w:r>
      <w:r>
        <w:rPr>
          <w:i/>
          <w:iCs/>
          <w:color w:val="000000"/>
          <w:spacing w:val="0"/>
          <w:w w:val="100"/>
          <w:position w:val="0"/>
          <w:shd w:val="clear" w:color="auto" w:fill="auto"/>
          <w:lang w:val="en-US" w:eastAsia="en-US" w:bidi="en-US"/>
        </w:rPr>
        <w:t>.</w:t>
      </w:r>
    </w:p>
    <w:p>
      <w:pPr>
        <w:pStyle w:val="Style17"/>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en-US" w:eastAsia="en-US" w:bidi="en-US"/>
        </w:rPr>
        <w:t>In contrabanda de carne (pe directia „Chisinau-Moscova”), informatiile contureaza implicarea aceluiasi Ion Popescu-in musamalizarea ilegalitatilor.</w:t>
      </w:r>
    </w:p>
    <w:p>
      <w:pPr>
        <w:pStyle w:val="Style17"/>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en-US" w:eastAsia="en-US" w:bidi="en-US"/>
        </w:rPr>
        <w:t xml:space="preserve">In perioada noiembrie - decembrie 2018, pe ruta nr. 341/342 „Chisinau-Moscova”, in urma depistarii din partea FPK al „RJD” </w:t>
      </w:r>
      <w:r>
        <w:rPr>
          <w:i/>
          <w:iCs/>
          <w:color w:val="000000"/>
          <w:spacing w:val="0"/>
          <w:w w:val="100"/>
          <w:position w:val="0"/>
          <w:shd w:val="clear" w:color="auto" w:fill="auto"/>
          <w:lang w:val="ru-RU" w:eastAsia="ru-RU" w:bidi="ru-RU"/>
        </w:rPr>
        <w:t xml:space="preserve">(Федеральная пассажирская компания </w:t>
      </w:r>
      <w:r>
        <w:rPr>
          <w:i/>
          <w:iCs/>
          <w:color w:val="000000"/>
          <w:spacing w:val="0"/>
          <w:w w:val="100"/>
          <w:position w:val="0"/>
          <w:shd w:val="clear" w:color="auto" w:fill="auto"/>
          <w:lang w:val="en-US" w:eastAsia="en-US" w:bidi="en-US"/>
        </w:rPr>
        <w:t xml:space="preserve">— </w:t>
      </w:r>
      <w:r>
        <w:rPr>
          <w:i/>
          <w:iCs/>
          <w:color w:val="000000"/>
          <w:spacing w:val="0"/>
          <w:w w:val="100"/>
          <w:position w:val="0"/>
          <w:shd w:val="clear" w:color="auto" w:fill="auto"/>
          <w:lang w:val="ru-RU" w:eastAsia="ru-RU" w:bidi="ru-RU"/>
        </w:rPr>
        <w:t>АО «ФПК»)</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 xml:space="preserve">a mai multor cazuri de contrabanda de carne si produse din carne din Ucraina spre Federatia Rusa, precum si dupa intensificarea controalelor, IS „CFM” a format o „comisie” care a avut intrevederi cu reprezentantii „RJD” in or. Breansk </w:t>
      </w:r>
      <w:r>
        <w:rPr>
          <w:i/>
          <w:iCs/>
          <w:color w:val="000000"/>
          <w:spacing w:val="0"/>
          <w:w w:val="100"/>
          <w:position w:val="0"/>
          <w:shd w:val="clear" w:color="auto" w:fill="auto"/>
          <w:lang w:val="en-US" w:eastAsia="en-US" w:bidi="en-US"/>
        </w:rPr>
        <w:t xml:space="preserve">(25.12.2018). </w:t>
      </w:r>
      <w:r>
        <w:rPr>
          <w:color w:val="000000"/>
          <w:spacing w:val="0"/>
          <w:w w:val="100"/>
          <w:position w:val="0"/>
          <w:shd w:val="clear" w:color="auto" w:fill="auto"/>
          <w:lang w:val="en-US" w:eastAsia="en-US" w:bidi="en-US"/>
        </w:rPr>
        <w:t>Deplasarea a avut ca obiectiv ascuns influentarea / coruperea functionarilor „RJD” in interesele lui Ion Popescu, obtinerea „permisiunii” de a transporta in continuare marfuri de contrabanda cu trenurile IS „CFM”. Ca urmare, au fost diminuate verificarile pe ruta data din partea FPK al „RJD”.</w:t>
      </w:r>
    </w:p>
    <w:p>
      <w:pPr>
        <w:pStyle w:val="Style17"/>
        <w:keepNext w:val="0"/>
        <w:keepLines w:val="0"/>
        <w:widowControl w:val="0"/>
        <w:shd w:val="clear" w:color="auto" w:fill="auto"/>
        <w:bidi w:val="0"/>
        <w:spacing w:before="0" w:after="0" w:line="240" w:lineRule="auto"/>
        <w:ind w:left="0" w:right="0" w:firstLine="780"/>
        <w:jc w:val="both"/>
      </w:pPr>
      <w:r>
        <w:rPr>
          <w:i/>
          <w:iCs/>
          <w:color w:val="000000"/>
          <w:spacing w:val="0"/>
          <w:w w:val="100"/>
          <w:position w:val="0"/>
          <w:shd w:val="clear" w:color="auto" w:fill="auto"/>
          <w:lang w:val="en-US" w:eastAsia="en-US" w:bidi="en-US"/>
        </w:rPr>
        <w:t>Exemplificare:</w:t>
      </w:r>
    </w:p>
    <w:p>
      <w:pPr>
        <w:pStyle w:val="Style17"/>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en-US" w:eastAsia="en-US" w:bidi="en-US"/>
        </w:rPr>
        <w:t xml:space="preserve">In primele sapte luni ale anului 2017, organele abilitate ale Federatiei Ruse, au documentat transportarea ilegala a 262,1 tone de bagaje/mesagerii fara acte, din care </w:t>
      </w:r>
      <w:r>
        <w:rPr>
          <w:i/>
          <w:iCs/>
          <w:color w:val="000000"/>
          <w:spacing w:val="0"/>
          <w:w w:val="100"/>
          <w:position w:val="0"/>
          <w:u w:val="single"/>
          <w:shd w:val="clear" w:color="auto" w:fill="auto"/>
          <w:lang w:val="en-US" w:eastAsia="en-US" w:bidi="en-US"/>
        </w:rPr>
        <w:t>peste 60%</w:t>
      </w:r>
      <w:r>
        <w:rPr>
          <w:color w:val="000000"/>
          <w:spacing w:val="0"/>
          <w:w w:val="100"/>
          <w:position w:val="0"/>
          <w:shd w:val="clear" w:color="auto" w:fill="auto"/>
          <w:lang w:val="en-US" w:eastAsia="en-US" w:bidi="en-US"/>
        </w:rPr>
        <w:t xml:space="preserve"> au fost depistate in trenurile IS „CFM”. Alte cca. </w:t>
      </w:r>
      <w:r>
        <w:rPr>
          <w:i/>
          <w:iCs/>
          <w:color w:val="000000"/>
          <w:spacing w:val="0"/>
          <w:w w:val="100"/>
          <w:position w:val="0"/>
          <w:u w:val="single"/>
          <w:shd w:val="clear" w:color="auto" w:fill="auto"/>
          <w:lang w:val="en-US" w:eastAsia="en-US" w:bidi="en-US"/>
        </w:rPr>
        <w:t>40%</w:t>
      </w:r>
      <w:r>
        <w:rPr>
          <w:color w:val="000000"/>
          <w:spacing w:val="0"/>
          <w:w w:val="100"/>
          <w:position w:val="0"/>
          <w:shd w:val="clear" w:color="auto" w:fill="auto"/>
          <w:lang w:val="en-US" w:eastAsia="en-US" w:bidi="en-US"/>
        </w:rPr>
        <w:t xml:space="preserve"> au fost constatate in trenurile ce deruleaza curse spre Moscova din alte 8 state.</w:t>
      </w:r>
    </w:p>
    <w:p>
      <w:pPr>
        <w:pStyle w:val="Style17"/>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en-US" w:eastAsia="en-US" w:bidi="en-US"/>
        </w:rPr>
        <w:t xml:space="preserve">Suma amenzilor achitate de IS „CFM” pentru incalcarile depistate la situatia din noiembrie 2017, constituia </w:t>
      </w:r>
      <w:r>
        <w:rPr>
          <w:i/>
          <w:iCs/>
          <w:color w:val="000000"/>
          <w:spacing w:val="0"/>
          <w:w w:val="100"/>
          <w:position w:val="0"/>
          <w:shd w:val="clear" w:color="auto" w:fill="auto"/>
          <w:lang w:val="en-US" w:eastAsia="en-US" w:bidi="en-US"/>
        </w:rPr>
        <w:t>2 milioane de lei,</w:t>
      </w:r>
      <w:r>
        <w:rPr>
          <w:color w:val="000000"/>
          <w:spacing w:val="0"/>
          <w:w w:val="100"/>
          <w:position w:val="0"/>
          <w:shd w:val="clear" w:color="auto" w:fill="auto"/>
          <w:lang w:val="en-US" w:eastAsia="en-US" w:bidi="en-US"/>
        </w:rPr>
        <w:t xml:space="preserve"> bani pe care intreprinderea ii recupereaza de la angajatii implicati. </w:t>
      </w:r>
      <w:r>
        <w:rPr>
          <w:i/>
          <w:iCs/>
          <w:color w:val="000000"/>
          <w:spacing w:val="0"/>
          <w:w w:val="100"/>
          <w:position w:val="0"/>
          <w:shd w:val="clear" w:color="auto" w:fill="auto"/>
          <w:lang w:val="en-US" w:eastAsia="en-US" w:bidi="en-US"/>
        </w:rPr>
        <w:t>Pentru comparatie,</w:t>
      </w:r>
      <w:r>
        <w:rPr>
          <w:color w:val="000000"/>
          <w:spacing w:val="0"/>
          <w:w w:val="100"/>
          <w:position w:val="0"/>
          <w:shd w:val="clear" w:color="auto" w:fill="auto"/>
          <w:lang w:val="en-US" w:eastAsia="en-US" w:bidi="en-US"/>
        </w:rPr>
        <w:t xml:space="preserve"> in ianuarie 2015 - martie 2016 au fost depistate peste 70 de tone de bagaj e/mesagerii, preponderent carne din Ucraina, fara acte, tainuite in compartimentele tehnice ale vagoanelor de pasageri. In urma documentarii cazurilor de contrabanda, factorii de decizie nu aplica, sau aplica sanctiuni disciplinare „minime”, desi prevederile legislatiei obliga la aplicarea eliberarii / suspendarii / retrogradarii din functii.</w:t>
      </w:r>
    </w:p>
    <w:p>
      <w:pPr>
        <w:pStyle w:val="Style17"/>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en-US" w:eastAsia="en-US" w:bidi="en-US"/>
        </w:rPr>
        <w:t>Ion POPESCU, in caz de refuz din partea angajatilor de a „colecta” sume banesti, ameninta cu eliberarea din functie, sau excluderea din graficul de lucru. Pentru reluarea activitatii bufetelor (anterior activitatea lor a fost sistata) in vagoanele de pasageri Ion POPESCU a perceput a cate 2 000 de euro. Pentru fiecare ruta tur-retur pe itinerariul Chisinau - Bucuresti, responsabilii de bufet achita 300 de euro. Din activitatea bufetelor pe alte rute, se achita o taxa de protectie de 2 100 de euro, lunar. „Taxa” pentru vagoanele restaurant constituie 1800 de dolari SUA, lunar. Banii erau colectati prin intermediul sefului combinatului alimentar al depoului IS „CFM”.</w:t>
      </w:r>
    </w:p>
    <w:p>
      <w:pPr>
        <w:pStyle w:val="Style17"/>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en-US" w:eastAsia="en-US" w:bidi="en-US"/>
        </w:rPr>
        <w:t>Serviciul rezerva al insotitorilor de vagoane (sefii de tren) transmit direct lui Ion POPESCU urmatoarele sume din activitatea infractionala:</w:t>
      </w:r>
    </w:p>
    <w:p>
      <w:pPr>
        <w:pStyle w:val="Style17"/>
        <w:keepNext w:val="0"/>
        <w:keepLines w:val="0"/>
        <w:widowControl w:val="0"/>
        <w:numPr>
          <w:ilvl w:val="0"/>
          <w:numId w:val="35"/>
        </w:numPr>
        <w:shd w:val="clear" w:color="auto" w:fill="auto"/>
        <w:tabs>
          <w:tab w:pos="278" w:val="left"/>
        </w:tabs>
        <w:bidi w:val="0"/>
        <w:spacing w:before="0" w:after="0" w:line="240" w:lineRule="auto"/>
        <w:ind w:left="0" w:right="0" w:firstLine="0"/>
        <w:jc w:val="both"/>
      </w:pPr>
      <w:r>
        <w:rPr>
          <w:color w:val="000000"/>
          <w:spacing w:val="0"/>
          <w:w w:val="100"/>
          <w:position w:val="0"/>
          <w:shd w:val="clear" w:color="auto" w:fill="auto"/>
          <w:lang w:val="en-US" w:eastAsia="en-US" w:bidi="en-US"/>
        </w:rPr>
        <w:t xml:space="preserve">itinerarul nr. </w:t>
      </w:r>
      <w:r>
        <w:rPr>
          <w:color w:val="000000"/>
          <w:spacing w:val="0"/>
          <w:w w:val="100"/>
          <w:position w:val="0"/>
          <w:shd w:val="clear" w:color="auto" w:fill="auto"/>
          <w:lang w:val="ru-RU" w:eastAsia="ru-RU" w:bidi="ru-RU"/>
        </w:rPr>
        <w:t xml:space="preserve">341/342 </w:t>
      </w:r>
      <w:r>
        <w:rPr>
          <w:color w:val="000000"/>
          <w:spacing w:val="0"/>
          <w:w w:val="100"/>
          <w:position w:val="0"/>
          <w:shd w:val="clear" w:color="auto" w:fill="auto"/>
          <w:lang w:val="en-US" w:eastAsia="en-US" w:bidi="en-US"/>
        </w:rPr>
        <w:t>Chisinau-Moscova (4 trenuri a cate 4 rute), in total 8 000 de dolari</w:t>
      </w:r>
    </w:p>
    <w:p>
      <w:pPr>
        <w:pStyle w:val="Style75"/>
        <w:keepNext w:val="0"/>
        <w:keepLines w:val="0"/>
        <w:widowControl w:val="0"/>
        <w:shd w:val="clear" w:color="auto" w:fill="auto"/>
        <w:tabs>
          <w:tab w:pos="3048" w:val="left"/>
        </w:tabs>
        <w:bidi w:val="0"/>
        <w:spacing w:before="0" w:after="0" w:line="240" w:lineRule="auto"/>
        <w:ind w:left="0" w:right="0" w:firstLine="0"/>
        <w:jc w:val="left"/>
      </w:pPr>
      <w:r>
        <w:fldChar w:fldCharType="begin"/>
        <w:instrText xml:space="preserve"> TOC \o "1-5" \h \z </w:instrText>
        <w:fldChar w:fldCharType="separate"/>
      </w:r>
      <w:r>
        <w:rPr>
          <w:color w:val="000000"/>
          <w:spacing w:val="0"/>
          <w:w w:val="100"/>
          <w:position w:val="0"/>
          <w:shd w:val="clear" w:color="auto" w:fill="auto"/>
          <w:lang w:val="en-US" w:eastAsia="en-US" w:bidi="en-US"/>
        </w:rPr>
        <w:t>SUA);</w:t>
        <w:tab/>
        <w:t>’</w:t>
      </w:r>
    </w:p>
    <w:p>
      <w:pPr>
        <w:pStyle w:val="Style75"/>
        <w:keepNext w:val="0"/>
        <w:keepLines w:val="0"/>
        <w:widowControl w:val="0"/>
        <w:numPr>
          <w:ilvl w:val="0"/>
          <w:numId w:val="35"/>
        </w:numPr>
        <w:shd w:val="clear" w:color="auto" w:fill="auto"/>
        <w:tabs>
          <w:tab w:pos="278" w:val="left"/>
        </w:tabs>
        <w:bidi w:val="0"/>
        <w:spacing w:before="0" w:after="0" w:line="240" w:lineRule="auto"/>
        <w:ind w:left="0" w:right="0" w:firstLine="0"/>
        <w:jc w:val="both"/>
      </w:pPr>
      <w:r>
        <w:rPr>
          <w:color w:val="000000"/>
          <w:spacing w:val="0"/>
          <w:w w:val="100"/>
          <w:position w:val="0"/>
          <w:shd w:val="clear" w:color="auto" w:fill="auto"/>
          <w:lang w:val="en-US" w:eastAsia="en-US" w:bidi="en-US"/>
        </w:rPr>
        <w:t xml:space="preserve">itinerarul nr. </w:t>
      </w:r>
      <w:r>
        <w:rPr>
          <w:color w:val="000000"/>
          <w:spacing w:val="0"/>
          <w:w w:val="100"/>
          <w:position w:val="0"/>
          <w:shd w:val="clear" w:color="auto" w:fill="auto"/>
          <w:lang w:val="ru-RU" w:eastAsia="ru-RU" w:bidi="ru-RU"/>
        </w:rPr>
        <w:t xml:space="preserve">47/48 </w:t>
      </w:r>
      <w:r>
        <w:rPr>
          <w:color w:val="000000"/>
          <w:spacing w:val="0"/>
          <w:w w:val="100"/>
          <w:position w:val="0"/>
          <w:shd w:val="clear" w:color="auto" w:fill="auto"/>
          <w:lang w:val="en-US" w:eastAsia="en-US" w:bidi="en-US"/>
        </w:rPr>
        <w:t>Chisinau - Moscova (3 trenuri a cate 6 rute, in total 5 400 dolari</w:t>
      </w:r>
    </w:p>
    <w:p>
      <w:pPr>
        <w:pStyle w:val="Style75"/>
        <w:keepNext w:val="0"/>
        <w:keepLines w:val="0"/>
        <w:widowControl w:val="0"/>
        <w:shd w:val="clear" w:color="auto" w:fill="auto"/>
        <w:tabs>
          <w:tab w:pos="3048" w:val="left"/>
        </w:tabs>
        <w:bidi w:val="0"/>
        <w:spacing w:before="0" w:after="0" w:line="240" w:lineRule="auto"/>
        <w:ind w:left="0" w:right="0" w:firstLine="0"/>
        <w:jc w:val="left"/>
      </w:pPr>
      <w:r>
        <w:rPr>
          <w:color w:val="000000"/>
          <w:spacing w:val="0"/>
          <w:w w:val="100"/>
          <w:position w:val="0"/>
          <w:shd w:val="clear" w:color="auto" w:fill="auto"/>
          <w:lang w:val="en-US" w:eastAsia="en-US" w:bidi="en-US"/>
        </w:rPr>
        <w:t>SUA);</w:t>
        <w:tab/>
        <w:t>’</w:t>
      </w:r>
    </w:p>
    <w:p>
      <w:pPr>
        <w:pStyle w:val="Style75"/>
        <w:keepNext w:val="0"/>
        <w:keepLines w:val="0"/>
        <w:widowControl w:val="0"/>
        <w:numPr>
          <w:ilvl w:val="0"/>
          <w:numId w:val="35"/>
        </w:numPr>
        <w:shd w:val="clear" w:color="auto" w:fill="auto"/>
        <w:tabs>
          <w:tab w:pos="278" w:val="left"/>
        </w:tabs>
        <w:bidi w:val="0"/>
        <w:spacing w:before="0" w:after="0" w:line="240" w:lineRule="auto"/>
        <w:ind w:left="0" w:right="0" w:firstLine="0"/>
        <w:jc w:val="both"/>
      </w:pPr>
      <w:r>
        <w:rPr>
          <w:color w:val="000000"/>
          <w:spacing w:val="0"/>
          <w:w w:val="100"/>
          <w:position w:val="0"/>
          <w:shd w:val="clear" w:color="auto" w:fill="auto"/>
          <w:lang w:val="en-US" w:eastAsia="en-US" w:bidi="en-US"/>
        </w:rPr>
        <w:t xml:space="preserve">itinerarul nr. </w:t>
      </w:r>
      <w:r>
        <w:rPr>
          <w:color w:val="000000"/>
          <w:spacing w:val="0"/>
          <w:w w:val="100"/>
          <w:position w:val="0"/>
          <w:shd w:val="clear" w:color="auto" w:fill="auto"/>
          <w:lang w:val="ru-RU" w:eastAsia="ru-RU" w:bidi="ru-RU"/>
        </w:rPr>
        <w:t xml:space="preserve">61/62 </w:t>
      </w:r>
      <w:r>
        <w:rPr>
          <w:color w:val="000000"/>
          <w:spacing w:val="0"/>
          <w:w w:val="100"/>
          <w:position w:val="0"/>
          <w:shd w:val="clear" w:color="auto" w:fill="auto"/>
          <w:lang w:val="en-US" w:eastAsia="en-US" w:bidi="en-US"/>
        </w:rPr>
        <w:t>Chisinau - St. Petersburg (2 trenuri a cate 2 rute, in total 800 de dolari</w:t>
      </w:r>
    </w:p>
    <w:p>
      <w:pPr>
        <w:pStyle w:val="Style75"/>
        <w:keepNext w:val="0"/>
        <w:keepLines w:val="0"/>
        <w:widowControl w:val="0"/>
        <w:shd w:val="clear" w:color="auto" w:fill="auto"/>
        <w:tabs>
          <w:tab w:pos="2837" w:val="left"/>
        </w:tabs>
        <w:bidi w:val="0"/>
        <w:spacing w:before="0" w:after="0" w:line="240" w:lineRule="auto"/>
        <w:ind w:left="0" w:right="0" w:firstLine="0"/>
        <w:jc w:val="left"/>
      </w:pPr>
      <w:r>
        <w:rPr>
          <w:color w:val="000000"/>
          <w:spacing w:val="0"/>
          <w:w w:val="100"/>
          <w:position w:val="0"/>
          <w:shd w:val="clear" w:color="auto" w:fill="auto"/>
          <w:lang w:val="en-US" w:eastAsia="en-US" w:bidi="en-US"/>
        </w:rPr>
        <w:t>SUA).</w:t>
        <w:tab/>
        <w:t>’</w:t>
      </w:r>
      <w:r>
        <w:fldChar w:fldCharType="end"/>
      </w:r>
    </w:p>
    <w:p>
      <w:pPr>
        <w:pStyle w:val="Style17"/>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en-US" w:eastAsia="en-US" w:bidi="en-US"/>
        </w:rPr>
        <w:t>„Capitalul” real acumulat este mai mare, avind in vedere ca o parte este retinuta in folosul insotitorilor si sefilor de tren.</w:t>
      </w:r>
    </w:p>
    <w:p>
      <w:pPr>
        <w:pStyle w:val="Style17"/>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en-US" w:eastAsia="en-US" w:bidi="en-US"/>
        </w:rPr>
        <w:t xml:space="preserve">O diferenta din sumele transmise lui Ion Popescu este „acordata” lui Grigore </w:t>
      </w:r>
      <w:r>
        <w:rPr>
          <w:color w:val="000000"/>
          <w:spacing w:val="0"/>
          <w:w w:val="100"/>
          <w:position w:val="0"/>
          <w:shd w:val="clear" w:color="auto" w:fill="auto"/>
          <w:lang w:val="en-US" w:eastAsia="en-US" w:bidi="en-US"/>
        </w:rPr>
        <w:t>Condurache si Valeriu Ohladciuc. Mai mult ca atat, Ohladciuc isi „acopera” implicarea in protejarea contrabandei prin sesizarea periodica a organelor de drept din alte state (Ucraina, Belarus si Federatia Rusa), la general, privitor la posibila implicare a angajatilor IS „CFM” in contrabanda.</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en-US" w:eastAsia="en-US" w:bidi="en-US"/>
        </w:rPr>
        <w:t>Totodata, pentru angajarea personalului, pe itinerarul rutei Chisinau - Bucuresti, Ion POPESCU incaseaza sume cuprinse intre 1 000 - 1 500 de euro (pentru functia de insotitor) si cca. 5 000 euro (pentru functia de sef de tren). De obicei, persoanele angajate provin din medii de incredere sau prin recomandari.</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en-US" w:eastAsia="en-US" w:bidi="en-US"/>
        </w:rPr>
        <w:t>Ion Popescu a lobat excluderea (din 2019) a IS „CFM” din cadrul acordului international care prevedea achitarea penalitatilor tarilor terte</w:t>
      </w:r>
      <w:r>
        <w:rPr>
          <w:color w:val="000000"/>
          <w:spacing w:val="0"/>
          <w:w w:val="100"/>
          <w:position w:val="0"/>
          <w:shd w:val="clear" w:color="auto" w:fill="auto"/>
          <w:vertAlign w:val="superscript"/>
          <w:lang w:val="en-US" w:eastAsia="en-US" w:bidi="en-US"/>
        </w:rPr>
        <w:footnoteReference w:id="42"/>
      </w:r>
      <w:r>
        <w:rPr>
          <w:color w:val="000000"/>
          <w:spacing w:val="0"/>
          <w:w w:val="100"/>
          <w:position w:val="0"/>
          <w:shd w:val="clear" w:color="auto" w:fill="auto"/>
          <w:lang w:val="en-US" w:eastAsia="en-US" w:bidi="en-US"/>
        </w:rPr>
        <w:t xml:space="preserve"> in cazul depistarii transportarii pasagerilor fara bilete, bagajelor de mana peste norma admisibila, a marfurilor neinregistrate si/sau ilegal transportate.</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en-US" w:eastAsia="en-US" w:bidi="en-US"/>
        </w:rPr>
        <w:t>Intrucat banii, pentru achitarea penalitatilor, erau recuperati din contul salariatilor IS „CFM”, iesirea din acord (astfel incat intreprinderea de stat sa nu mai achite penalitati pentru incalcarile angajatilor) este privita ca o premisa suplimentara pentru continuarea activitatilor de contrabanda pe cursele internationale de tren si protejarea persoanelor nemijlocit implicate.</w:t>
      </w:r>
    </w:p>
    <w:p>
      <w:pPr>
        <w:pStyle w:val="Style17"/>
        <w:keepNext w:val="0"/>
        <w:keepLines w:val="0"/>
        <w:widowControl w:val="0"/>
        <w:numPr>
          <w:ilvl w:val="0"/>
          <w:numId w:val="43"/>
        </w:numPr>
        <w:shd w:val="clear" w:color="auto" w:fill="auto"/>
        <w:tabs>
          <w:tab w:pos="1030" w:val="left"/>
        </w:tabs>
        <w:bidi w:val="0"/>
        <w:spacing w:before="0" w:after="0" w:line="240" w:lineRule="auto"/>
        <w:ind w:left="0" w:right="0" w:firstLine="660"/>
        <w:jc w:val="both"/>
      </w:pPr>
      <w:r>
        <w:rPr>
          <w:b/>
          <w:bCs/>
          <w:color w:val="000000"/>
          <w:spacing w:val="0"/>
          <w:w w:val="100"/>
          <w:position w:val="0"/>
          <w:shd w:val="clear" w:color="auto" w:fill="auto"/>
          <w:lang w:val="en-US" w:eastAsia="en-US" w:bidi="en-US"/>
        </w:rPr>
        <w:t>Atac de tip raider</w:t>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Agentia Proprietati Publice a informat Comisia de ancheta ca SRL „TRANSZALIZNICISERVIS” a actionat in judecata I.S. „Calea Ferata din Moldova” privind incasarea sumei de 70.080.000 EURO.</w:t>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Conform informatiilor prezentate de Serviciul de informatie si Securitate</w:t>
      </w:r>
      <w:r>
        <w:rPr>
          <w:color w:val="000000"/>
          <w:spacing w:val="0"/>
          <w:w w:val="100"/>
          <w:position w:val="0"/>
          <w:shd w:val="clear" w:color="auto" w:fill="auto"/>
          <w:vertAlign w:val="superscript"/>
          <w:lang w:val="en-US" w:eastAsia="en-US" w:bidi="en-US"/>
        </w:rPr>
        <w:footnoteReference w:id="43"/>
      </w:r>
      <w:r>
        <w:rPr>
          <w:color w:val="000000"/>
          <w:spacing w:val="0"/>
          <w:w w:val="100"/>
          <w:position w:val="0"/>
          <w:shd w:val="clear" w:color="auto" w:fill="auto"/>
          <w:lang w:val="en-US" w:eastAsia="en-US" w:bidi="en-US"/>
        </w:rPr>
        <w:t xml:space="preserve"> subiectul litigiului constituie pretentiile de incasare de la I.S. „CFM” a unei datorii de 70 080 000 de euro de catre compania germana „NISTAS” GmbH, ca rezultat al neonorarii obligatiunilor contractuale de catre partea moldoveneasca. Obiectul contractului constituia transmiterea in arenda a containerelor-cisterna. Suma de 70 080 000 de euro reprezinta un pretins prejudiciu suportat de „Nistas” GmbH ca urmare a incalcarii contractului incheiat cu SRL „TERRA”, solicitat in mai multe litigii, in diverse tari, pentru incasare de la I.S. „CFM”.</w:t>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 xml:space="preserve">VAO „Transzalizniciservis” a intervenit ca pretinsa parte in litigii dupa semnarea, la 20.10.2012, a contractului de cesiune a creantelor cu „Nistas” GmbH, prin care au fost cesionate drepturile de creditor ce decurg din contractul de arenda din 31.12.1997, precum si din contractul de fidejusiune nr. </w:t>
      </w:r>
      <w:r>
        <w:rPr>
          <w:color w:val="000000"/>
          <w:spacing w:val="0"/>
          <w:w w:val="100"/>
          <w:position w:val="0"/>
          <w:shd w:val="clear" w:color="auto" w:fill="auto"/>
          <w:lang w:val="ru-RU" w:eastAsia="ru-RU" w:bidi="ru-RU"/>
        </w:rPr>
        <w:t xml:space="preserve">П/01-17 </w:t>
      </w:r>
      <w:r>
        <w:rPr>
          <w:color w:val="000000"/>
          <w:spacing w:val="0"/>
          <w:w w:val="100"/>
          <w:position w:val="0"/>
          <w:shd w:val="clear" w:color="auto" w:fill="auto"/>
          <w:lang w:val="en-US" w:eastAsia="en-US" w:bidi="en-US"/>
        </w:rPr>
        <w:t>din 22.07.2002, incheiat intre ITE „CFM - Expedite” si SRL „Ivolga-2”.</w:t>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Caracterul nefondat al datoriilor a fost confirmat anterior de instantele judecatoresti din Republica Moldova, Germania, Ucraina si Federatia Rusa, iar litigiile initiate in acest sens comporta semnalmentele unui „atac raider” asupra activelor I.S. „CFM”.</w:t>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 xml:space="preserve">Astfel, la 14.09.2020 Curtea de Apel Economica de Nord din Kiev s-a pronuntat cu o decizie favorabila pentru IS „Calea Ferata din Moldova”, prin care s-a admis cererea de apel declarata de I.S. „Calea Ferata din Moldova”, s-a casat hotararea Judecatoriei Economice Kiev din 05 octombrie 2017 si s-a emis o decizie noua prin care s-a respins actiunea SRL „TRANSZALIZNICISERVIS” catre I.S. „Calea Ferata din Moldova” si SRL „IVOLGA-2”, privind incasarea sumei de 70.080.000 EURO si s-a dispus incasarea taxei de stat la depunerea cererii de apel din contul SRL„TRANSZALIZNICISERVIS” in beneficiul I.S. „Calea Ferata din Moldova”. Decizia in cauza a fost contestata de catre </w:t>
      </w:r>
      <w:r>
        <w:rPr>
          <w:color w:val="000000"/>
          <w:spacing w:val="0"/>
          <w:w w:val="100"/>
          <w:position w:val="0"/>
          <w:shd w:val="clear" w:color="auto" w:fill="auto"/>
          <w:lang w:val="en-US" w:eastAsia="en-US" w:bidi="en-US"/>
        </w:rPr>
        <w:t>SRL„TRANSZALIZNICISERVIS” cu recurs la Curtea Suprema de Justitie, sedinta fiind stabilita pentru 06 aprilie 2021.</w:t>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In aspectul actiunilor intreprinse mentionam ca, in dependenta de circumstanta si competente, atat Agentia Proprietatii Publice cat si I.S. „Calea Ferata din Moldova” au intocmit diferite demersuri, fata de diferite autoritatile nationale cat si a Uc rainei privind actiunile ilegale a unor subiecti antrenati la examinarea cazului respectiv, cat si necesarul suportului consultativ si metodologic in litigiul mentionat.</w:t>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 xml:space="preserve">Prin demersul nr. 05-02-5415 din 26.12.2019, Agentia Proprietatii Publice a solicitat Procuraturii Generale al RM suportul privind monitorizarea procesului penal initiat la plangerile depuse la Procuratura Generala a Ucrainei de catre reprezentantii IS „Calea ferata din Moldova”. Prin raspunsul nr. </w:t>
      </w:r>
      <w:r>
        <w:rPr>
          <w:color w:val="000000"/>
          <w:spacing w:val="0"/>
          <w:w w:val="100"/>
          <w:position w:val="0"/>
          <w:shd w:val="clear" w:color="auto" w:fill="auto"/>
          <w:lang w:val="ru-RU" w:eastAsia="ru-RU" w:bidi="ru-RU"/>
        </w:rPr>
        <w:t xml:space="preserve">7.1-9/2020-1159 </w:t>
      </w:r>
      <w:r>
        <w:rPr>
          <w:color w:val="000000"/>
          <w:spacing w:val="0"/>
          <w:w w:val="100"/>
          <w:position w:val="0"/>
          <w:shd w:val="clear" w:color="auto" w:fill="auto"/>
          <w:lang w:val="en-US" w:eastAsia="en-US" w:bidi="en-US"/>
        </w:rPr>
        <w:t>din 06 mai 2020. Conform informatiilor prezentate de Agentia Proprietatii Publice, Procuratura Generala a RM a informat ca urmare sesizarilor inaintate a fost pornita urmarirea penala in conformitate cu prevederile art. 358 alin. (4) - confectionarea sau folosirea documentelor ofic iale false, a imprimantelor, stampilelor sau sigiliilor false din Codul penal al Ucrainei.</w:t>
      </w:r>
    </w:p>
    <w:p>
      <w:pPr>
        <w:pStyle w:val="Style17"/>
        <w:keepNext w:val="0"/>
        <w:keepLines w:val="0"/>
        <w:widowControl w:val="0"/>
        <w:shd w:val="clear" w:color="auto" w:fill="auto"/>
        <w:bidi w:val="0"/>
        <w:spacing w:before="0" w:after="300" w:line="240" w:lineRule="auto"/>
        <w:ind w:left="0" w:right="0" w:firstLine="660"/>
        <w:jc w:val="both"/>
      </w:pPr>
      <w:r>
        <w:rPr>
          <w:b/>
          <w:bCs/>
          <w:color w:val="000000"/>
          <w:spacing w:val="0"/>
          <w:w w:val="100"/>
          <w:position w:val="0"/>
          <w:shd w:val="clear" w:color="auto" w:fill="auto"/>
          <w:lang w:val="en-US" w:eastAsia="en-US" w:bidi="en-US"/>
        </w:rPr>
        <w:t>Intru evitarea pericolului ce poate surveni Comisia subliniaza importanta unor actiuni prompte din partea tuturor institutiilor statale, conform competentelor, la gestionarea cazului dat.</w:t>
      </w:r>
    </w:p>
    <w:p>
      <w:pPr>
        <w:pStyle w:val="Style15"/>
        <w:keepNext/>
        <w:keepLines/>
        <w:widowControl w:val="0"/>
        <w:numPr>
          <w:ilvl w:val="0"/>
          <w:numId w:val="47"/>
        </w:numPr>
        <w:shd w:val="clear" w:color="auto" w:fill="auto"/>
        <w:tabs>
          <w:tab w:pos="1019" w:val="left"/>
        </w:tabs>
        <w:bidi w:val="0"/>
        <w:spacing w:before="0" w:after="0" w:line="240" w:lineRule="auto"/>
        <w:ind w:left="0" w:right="0"/>
        <w:jc w:val="both"/>
      </w:pPr>
      <w:bookmarkStart w:id="84" w:name="bookmark84"/>
      <w:bookmarkStart w:id="85" w:name="bookmark85"/>
      <w:r>
        <w:rPr>
          <w:color w:val="000000"/>
          <w:spacing w:val="0"/>
          <w:w w:val="100"/>
          <w:position w:val="0"/>
          <w:shd w:val="clear" w:color="auto" w:fill="auto"/>
          <w:lang w:val="en-US" w:eastAsia="en-US" w:bidi="en-US"/>
        </w:rPr>
        <w:t>ANALIZA SI SISTEMATIZAREA INFORMATIEI ASUPRA CAUZELOR PENALE</w:t>
      </w:r>
      <w:bookmarkEnd w:id="84"/>
      <w:bookmarkEnd w:id="85"/>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Comisia de ancheta privind analiza situatiei economico-financiare de la I.S. ,,Calea Ferata din Moldova” si rezultatul activitatii ramurii de transport feroviar pentru perioada 2010-2020 a examinat informatia parvenita din cadrul organelor de urmarire penala si expune urmatoarele.</w:t>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Din informatia prezentata de catre organele de urmarire penala cu privire la mersul si rezultatele urmarii penale in cauzele ce au ca obiect al cercetarii patrimoniul, actiunile/inactiunile angajatilor I.S. ,,Calea Ferata din Moldova” pentru anii 2010-2020, au fost investigate 44 cauze penale cu adoptarea diferitor solutii dupa cum urmeaza:</w:t>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16 cauze penale - urmarirea penala a fost clasata/incetata (in conformitate cu prevederile articolul 275 pct.(3) din Codul de procedure penala );</w:t>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12 cauze penale - urmarirea penala se afla in procedura organelor de urmarire penala;</w:t>
      </w:r>
    </w:p>
    <w:p>
      <w:pPr>
        <w:pStyle w:val="Style17"/>
        <w:keepNext w:val="0"/>
        <w:keepLines w:val="0"/>
        <w:widowControl w:val="0"/>
        <w:numPr>
          <w:ilvl w:val="0"/>
          <w:numId w:val="49"/>
        </w:numPr>
        <w:shd w:val="clear" w:color="auto" w:fill="auto"/>
        <w:tabs>
          <w:tab w:pos="895" w:val="left"/>
        </w:tabs>
        <w:bidi w:val="0"/>
        <w:spacing w:before="0" w:after="0" w:line="240" w:lineRule="auto"/>
        <w:ind w:left="0" w:right="0" w:firstLine="660"/>
        <w:jc w:val="both"/>
      </w:pPr>
      <w:r>
        <w:rPr>
          <w:color w:val="000000"/>
          <w:spacing w:val="0"/>
          <w:w w:val="100"/>
          <w:position w:val="0"/>
          <w:shd w:val="clear" w:color="auto" w:fill="auto"/>
          <w:lang w:val="en-US" w:eastAsia="en-US" w:bidi="en-US"/>
        </w:rPr>
        <w:t>cauze penale - urmarirea penala a fost suspendata (in conformitate cu prevederile art.287</w:t>
      </w:r>
      <w:r>
        <w:rPr>
          <w:color w:val="000000"/>
          <w:spacing w:val="0"/>
          <w:w w:val="100"/>
          <w:position w:val="0"/>
          <w:shd w:val="clear" w:color="auto" w:fill="auto"/>
          <w:vertAlign w:val="superscript"/>
          <w:lang w:val="en-US" w:eastAsia="en-US" w:bidi="en-US"/>
        </w:rPr>
        <w:t>1</w:t>
      </w:r>
      <w:r>
        <w:rPr>
          <w:color w:val="000000"/>
          <w:spacing w:val="0"/>
          <w:w w:val="100"/>
          <w:position w:val="0"/>
          <w:shd w:val="clear" w:color="auto" w:fill="auto"/>
          <w:lang w:val="en-US" w:eastAsia="en-US" w:bidi="en-US"/>
        </w:rPr>
        <w:t xml:space="preserve"> alin.(1) pct.2 din Codul de procedura penala);</w:t>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3 cauze penale - expediate in instanta de judecata;</w:t>
      </w:r>
    </w:p>
    <w:p>
      <w:pPr>
        <w:pStyle w:val="Style17"/>
        <w:keepNext w:val="0"/>
        <w:keepLines w:val="0"/>
        <w:widowControl w:val="0"/>
        <w:numPr>
          <w:ilvl w:val="0"/>
          <w:numId w:val="49"/>
        </w:numPr>
        <w:shd w:val="clear" w:color="auto" w:fill="auto"/>
        <w:tabs>
          <w:tab w:pos="921" w:val="left"/>
        </w:tabs>
        <w:bidi w:val="0"/>
        <w:spacing w:before="0" w:after="0" w:line="240" w:lineRule="auto"/>
        <w:ind w:left="0" w:right="0" w:firstLine="660"/>
        <w:jc w:val="both"/>
      </w:pPr>
      <w:r>
        <w:rPr>
          <w:color w:val="000000"/>
          <w:spacing w:val="0"/>
          <w:w w:val="100"/>
          <w:position w:val="0"/>
          <w:shd w:val="clear" w:color="auto" w:fill="auto"/>
          <w:lang w:val="en-US" w:eastAsia="en-US" w:bidi="en-US"/>
        </w:rPr>
        <w:t>cauze penale - recunoscuti culpabili si condamnati;</w:t>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2 cauze penale - nu este cunoscuta finalitatea.</w:t>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In rezultatul unei sistematizari a informatiei receptionate din cadrul organelor de urmarire penala, au fost constate urmatoarele:</w:t>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In temeiul articolului 191 alin.(2) din Codul Penal, Delapidarea averii straine savarsita de doua sau mai multe persoane, cu cauzarea de daune in proportii considerabile, cu folosirea situatiei de serviciu au fost pornite 13 cauze penale ( pe 6 cauze pen ale sunt recunoscuti si condamnati, 3 cauze penale sunt clasate, o cauza se afla in procedura organelor de urmarire penala).</w:t>
      </w:r>
    </w:p>
    <w:p>
      <w:pPr>
        <w:pStyle w:val="Style17"/>
        <w:keepNext w:val="0"/>
        <w:keepLines w:val="0"/>
        <w:widowControl w:val="0"/>
        <w:shd w:val="clear" w:color="auto" w:fill="auto"/>
        <w:bidi w:val="0"/>
        <w:spacing w:before="0" w:after="160" w:line="240" w:lineRule="auto"/>
        <w:ind w:left="0" w:right="0" w:firstLine="660"/>
        <w:jc w:val="both"/>
      </w:pPr>
      <w:r>
        <w:rPr>
          <w:color w:val="000000"/>
          <w:spacing w:val="0"/>
          <w:w w:val="100"/>
          <w:position w:val="0"/>
          <w:shd w:val="clear" w:color="auto" w:fill="auto"/>
          <w:lang w:val="en-US" w:eastAsia="en-US" w:bidi="en-US"/>
        </w:rPr>
        <w:t>In temeiul articolul 191 alin.(4) din Codul Penal, Delapidarea averii straine savarsita in proportii mari a fost pornita o cauza penala (cauza penala se afla in procedura organelor de urmarire penala).</w:t>
      </w:r>
    </w:p>
    <w:p>
      <w:pPr>
        <w:pStyle w:val="Style1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In temeiul articolul 191 alin.(5) din Codul Penal, Delapidarea averii straine savarsita in proportii deosebit de mari au fost pornite 3 cauze penale ( 2 cauze au fost clasate, o cauza penala se afla in procedura organelor de urmarire penala).</w:t>
      </w:r>
    </w:p>
    <w:p>
      <w:pPr>
        <w:pStyle w:val="Style1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In temeiul articolului 329 alin.(2) din Codul Penal, Neglijenta in serviciu (Neindeplinirea sau indeplinirea necorespunzatoare de catre o persoana publica a obligatiilor de serviciu ca rezultat al unei atitudini neglijente sau neconstiincioase fata de ele, daca aceasta a cauzat daune in proportii mari drepturilor si intereselor ocrotite de lege ale persoanelor fizice sau juridice care au provocat decesul unei persoane) au fost pornite 6 cauze penale (3 cauze penale sunt clasate, 3 cauze penale urmarirea penala a fost suspendata).</w:t>
      </w:r>
    </w:p>
    <w:p>
      <w:pPr>
        <w:pStyle w:val="Style1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In temeiul art.329 alin.(1) din Codul Penal, Neglijenta in serviciu a fost pornita o cauza penala (cauza penala se afla in procedura organelor de urmarire penala).</w:t>
      </w:r>
    </w:p>
    <w:p>
      <w:pPr>
        <w:pStyle w:val="Style1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In temeiul articolului 328 alin.(3) din Codul Penal, Excesul de putere sau depasirea atributiilor de serviciu savarsite de o persoana cu functie de demnitate publica, soldate cu urmari grave, au fost pornite 5 cauze penale (4 cauze penale au fost clasate, o cauza penala a fost suspendata).</w:t>
      </w:r>
    </w:p>
    <w:p>
      <w:pPr>
        <w:pStyle w:val="Style1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In temeiul articolului 327 din Codul Penal, Abuzul de putere sau abuzul de serviciu au fost pornite 5 cauze penale (3 cauze penale sunt clasate).</w:t>
      </w:r>
    </w:p>
    <w:p>
      <w:pPr>
        <w:pStyle w:val="Style1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In temeiul articolului 361 din Codul Penal, Confectionarea, detinerea, vanzare a sau folosirea documentelor oficiale, a imprimatelor, stampilelor sau sigiliilor false au fost pornite 2 cauze penale (cauzele penale se afla in procedura organelor de urmarire penala).</w:t>
      </w:r>
    </w:p>
    <w:p>
      <w:pPr>
        <w:pStyle w:val="Style1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Drept urmare a examinarii informatiei solicitate de la organele de urmarire penala, s</w:t>
        <w:softHyphen/>
        <w:t>a constat lipsa informatiei privind mersul si rezultatul urmarii penale in cauzele penale in cadrul carora, in calitate de obiect investigarii l-a constituit patrimoniul actiunile sau inactiunile angajatilor I.S. ,,Calea Ferata din Moldova”, parvenita de la Procuratura Anticoruptie in privinta cauzei penale nr.2017550010 pornita la 09.02.2017 in temeiul art.324 alin.(2) lit. b si c) Codul Penal (Corupere pasiva), cauzei penale nr.2018978042 pornite la 01.02.2018 in temeiul art.191 alin.(5) din Codul Penal (Delapidarea averii straine, savarsite in proportii destul de mari), cauzei penale nr.2018978043 pornita la 01.02.2018 in temeiul articolului 191 alin.(4) din Codul Penal (Delapidarea averii straine, savarsite in proportii mari), cauzei penale nr.2018978270 pornita la 24.08.2018 in temeiul articolului nr.191 alin.(2) lit. b) din Codul Penal (Delapidarea averii straine savarsita de doua sau mai multe persoane).</w:t>
      </w:r>
    </w:p>
    <w:p>
      <w:pPr>
        <w:pStyle w:val="Style1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Atragem atentia ca prejudiciul cauzat I.S. ,,Calea Ferata din Moldova” potrivit informatiei privind cauzele penale pornite de organele de urmarire penale si in final clasata/incetata (in conformitate cu prevederile articolul 275 pct.(3) din Codul de procedura penala si suspendate (in conformitate cu prevederile art.2871 alin.(1) aproximativ 6 milioane lei si 695 mii euro.</w:t>
      </w:r>
    </w:p>
    <w:p>
      <w:pPr>
        <w:pStyle w:val="Style1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 xml:space="preserve">Alt factor important constituie cauza penala nr.2013970488 pornita la 15.11.2013 pe faptul de tentativa de escrocherie savarsita de catre intreprinderile </w:t>
      </w:r>
      <w:r>
        <w:rPr>
          <w:color w:val="000000"/>
          <w:spacing w:val="0"/>
          <w:w w:val="100"/>
          <w:position w:val="0"/>
          <w:shd w:val="clear" w:color="auto" w:fill="auto"/>
          <w:lang w:val="ru-RU" w:eastAsia="ru-RU" w:bidi="ru-RU"/>
        </w:rPr>
        <w:t xml:space="preserve">,,Эс. Эй. Консалт”, </w:t>
      </w:r>
      <w:r>
        <w:rPr>
          <w:color w:val="000000"/>
          <w:spacing w:val="0"/>
          <w:w w:val="100"/>
          <w:position w:val="0"/>
          <w:shd w:val="clear" w:color="auto" w:fill="auto"/>
          <w:lang w:val="en-US" w:eastAsia="en-US" w:bidi="en-US"/>
        </w:rPr>
        <w:t>,,Nistas GmbH” si altele, cu concursul instantelor judecatoresti din Rusia si Ucraina pe parcursul anului 2013, asupra I.S. ,,Calea Ferata din Moldova” in valoare totala de 70 milioane euro, care se afla in procedura organului de urmarire penala.</w:t>
      </w:r>
    </w:p>
    <w:p>
      <w:pPr>
        <w:pStyle w:val="Style17"/>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en-US" w:eastAsia="en-US" w:bidi="en-US"/>
        </w:rPr>
        <w:t>Drept urmare a examinarii informatiei solicitate de catre Comisia de ancheta, in scopul analizei situatiei economico-financiare de la I.S. ,,Calea Ferata din Moldova” parvenite din cadrul institutiilor publice, au fost depistate cauze penale ce au ca obiect al investigarii patrimoniul, actiunile sau inactiunile angajatilor I.S. ,,Calea Ferata din</w:t>
      </w:r>
    </w:p>
    <w:p>
      <w:pPr>
        <w:pStyle w:val="Style17"/>
        <w:keepNext w:val="0"/>
        <w:keepLines w:val="0"/>
        <w:widowControl w:val="0"/>
        <w:shd w:val="clear" w:color="auto" w:fill="auto"/>
        <w:tabs>
          <w:tab w:pos="6576" w:val="left"/>
          <w:tab w:pos="8083" w:val="left"/>
        </w:tabs>
        <w:bidi w:val="0"/>
        <w:spacing w:before="0" w:after="320" w:line="240" w:lineRule="auto"/>
        <w:ind w:left="0" w:right="0" w:firstLine="0"/>
        <w:jc w:val="both"/>
      </w:pPr>
      <w:r>
        <w:rPr>
          <w:color w:val="000000"/>
          <w:spacing w:val="0"/>
          <w:w w:val="100"/>
          <w:position w:val="0"/>
          <w:shd w:val="clear" w:color="auto" w:fill="auto"/>
          <w:lang w:val="en-US" w:eastAsia="en-US" w:bidi="en-US"/>
        </w:rPr>
        <w:t>Moldova” pentru anii 2010-2020, care insa nu au fost reflectate in informatia parvenita de la organele de urmarire penale (cauza penala nr.2014018148, pornita in temeiul art.191 alin.(5) din Cod Penal, cauza penala 2015600022 cu privire la schema de contrabanda cu produse de tutungerie prin intermediul rutei de tren ,,Chisinau-Bucuresti”, cauza penala nr.2015869120 s.a.).</w:t>
        <w:tab/>
        <w:t>’</w:t>
        <w:tab/>
        <w:t>’</w:t>
      </w:r>
    </w:p>
    <w:p>
      <w:pPr>
        <w:pStyle w:val="Style15"/>
        <w:keepNext/>
        <w:keepLines/>
        <w:widowControl w:val="0"/>
        <w:numPr>
          <w:ilvl w:val="0"/>
          <w:numId w:val="47"/>
        </w:numPr>
        <w:shd w:val="clear" w:color="auto" w:fill="auto"/>
        <w:tabs>
          <w:tab w:pos="1187" w:val="left"/>
        </w:tabs>
        <w:bidi w:val="0"/>
        <w:spacing w:before="0" w:after="0" w:line="240" w:lineRule="auto"/>
        <w:ind w:left="0" w:right="0"/>
        <w:jc w:val="both"/>
      </w:pPr>
      <w:bookmarkStart w:id="86" w:name="bookmark86"/>
      <w:bookmarkStart w:id="87" w:name="bookmark87"/>
      <w:r>
        <w:rPr>
          <w:color w:val="000000"/>
          <w:spacing w:val="0"/>
          <w:w w:val="100"/>
          <w:position w:val="0"/>
          <w:shd w:val="clear" w:color="auto" w:fill="auto"/>
          <w:lang w:val="en-US" w:eastAsia="en-US" w:bidi="en-US"/>
        </w:rPr>
        <w:t>LIMITARI SI DECLINARE DE RESPONSABILITATI</w:t>
      </w:r>
      <w:bookmarkEnd w:id="86"/>
      <w:bookmarkEnd w:id="87"/>
    </w:p>
    <w:p>
      <w:pPr>
        <w:pStyle w:val="Style17"/>
        <w:keepNext w:val="0"/>
        <w:keepLines w:val="0"/>
        <w:widowControl w:val="0"/>
        <w:shd w:val="clear" w:color="auto" w:fill="auto"/>
        <w:bidi w:val="0"/>
        <w:spacing w:before="0" w:after="320" w:line="240" w:lineRule="auto"/>
        <w:ind w:left="0" w:right="0" w:firstLine="660"/>
        <w:jc w:val="both"/>
      </w:pPr>
      <w:r>
        <w:rPr>
          <w:color w:val="000000"/>
          <w:spacing w:val="0"/>
          <w:w w:val="100"/>
          <w:position w:val="0"/>
          <w:shd w:val="clear" w:color="auto" w:fill="auto"/>
          <w:lang w:val="en-US" w:eastAsia="en-US" w:bidi="en-US"/>
        </w:rPr>
        <w:t>Informatiile si constatarile facute in acest raport constituie o descriere a informatiilor, documentelor, opiniilor si pozitiilor expuse de autoritatile si persoanele audiate, precum si a actelor prezentate si examinate de catre Comisia de ancheta.</w:t>
      </w:r>
    </w:p>
    <w:p>
      <w:pPr>
        <w:pStyle w:val="Style15"/>
        <w:keepNext/>
        <w:keepLines/>
        <w:widowControl w:val="0"/>
        <w:numPr>
          <w:ilvl w:val="0"/>
          <w:numId w:val="47"/>
        </w:numPr>
        <w:shd w:val="clear" w:color="auto" w:fill="auto"/>
        <w:tabs>
          <w:tab w:pos="1297" w:val="left"/>
        </w:tabs>
        <w:bidi w:val="0"/>
        <w:spacing w:before="0" w:after="0" w:line="240" w:lineRule="auto"/>
        <w:ind w:left="0" w:right="0"/>
        <w:jc w:val="both"/>
      </w:pPr>
      <w:bookmarkStart w:id="88" w:name="bookmark88"/>
      <w:bookmarkStart w:id="89" w:name="bookmark89"/>
      <w:r>
        <w:rPr>
          <w:color w:val="000000"/>
          <w:spacing w:val="0"/>
          <w:w w:val="100"/>
          <w:position w:val="0"/>
          <w:shd w:val="clear" w:color="auto" w:fill="auto"/>
          <w:lang w:val="en-US" w:eastAsia="en-US" w:bidi="en-US"/>
        </w:rPr>
        <w:t>CONCLUZII</w:t>
      </w:r>
      <w:bookmarkEnd w:id="88"/>
      <w:bookmarkEnd w:id="89"/>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 xml:space="preserve">In rezultatul examinarii deficientelor identificate din materialelor prezentate de autoritatile publice, sinteza carora este prezentata in anexa 1 a prezentului Raport (care este parte integranta a Raportului), Comisia de ancheta constata ca, in perioada </w:t>
      </w:r>
      <w:r>
        <w:rPr>
          <w:color w:val="000000"/>
          <w:spacing w:val="0"/>
          <w:w w:val="100"/>
          <w:position w:val="0"/>
          <w:shd w:val="clear" w:color="auto" w:fill="auto"/>
          <w:lang w:val="ru-RU" w:eastAsia="ru-RU" w:bidi="ru-RU"/>
        </w:rPr>
        <w:t>2010</w:t>
        <w:softHyphen/>
      </w:r>
      <w:r>
        <w:rPr>
          <w:color w:val="000000"/>
          <w:spacing w:val="0"/>
          <w:w w:val="100"/>
          <w:position w:val="0"/>
          <w:shd w:val="clear" w:color="auto" w:fill="auto"/>
          <w:lang w:val="en-US" w:eastAsia="en-US" w:bidi="en-US"/>
        </w:rPr>
      </w:r>
      <w:r>
        <w:rPr>
          <w:color w:val="000000"/>
          <w:spacing w:val="0"/>
          <w:w w:val="100"/>
          <w:position w:val="0"/>
          <w:shd w:val="clear" w:color="auto" w:fill="auto"/>
          <w:lang w:val="ru-RU" w:eastAsia="ru-RU" w:bidi="ru-RU"/>
        </w:rPr>
        <w:t>2020,</w:t>
      </w:r>
      <w:r>
        <w:rPr>
          <w:color w:val="000000"/>
          <w:spacing w:val="0"/>
          <w:w w:val="100"/>
          <w:position w:val="0"/>
          <w:shd w:val="clear" w:color="auto" w:fill="auto"/>
          <w:lang w:val="en-US" w:eastAsia="en-US" w:bidi="en-US"/>
        </w:rPr>
        <w:t xml:space="preserve"> I.S. „CFM” i-au fost aduse urmatoarele prejudicii:</w:t>
      </w:r>
    </w:p>
    <w:p>
      <w:pPr>
        <w:pStyle w:val="Style17"/>
        <w:keepNext w:val="0"/>
        <w:keepLines w:val="0"/>
        <w:widowControl w:val="0"/>
        <w:numPr>
          <w:ilvl w:val="0"/>
          <w:numId w:val="51"/>
        </w:numPr>
        <w:shd w:val="clear" w:color="auto" w:fill="auto"/>
        <w:tabs>
          <w:tab w:pos="979" w:val="left"/>
        </w:tabs>
        <w:bidi w:val="0"/>
        <w:spacing w:before="0" w:after="0" w:line="240" w:lineRule="auto"/>
        <w:ind w:left="0" w:right="0" w:firstLine="580"/>
        <w:jc w:val="both"/>
      </w:pPr>
      <w:r>
        <w:rPr>
          <w:color w:val="000000"/>
          <w:spacing w:val="0"/>
          <w:w w:val="100"/>
          <w:position w:val="0"/>
          <w:shd w:val="clear" w:color="auto" w:fill="auto"/>
          <w:lang w:val="en-US" w:eastAsia="en-US" w:bidi="en-US"/>
        </w:rPr>
        <w:t>prin administrare deficienta in suma totala de aproximativ 168,380 mil. lei</w:t>
      </w:r>
    </w:p>
    <w:p>
      <w:pPr>
        <w:pStyle w:val="Style17"/>
        <w:keepNext w:val="0"/>
        <w:keepLines w:val="0"/>
        <w:widowControl w:val="0"/>
        <w:numPr>
          <w:ilvl w:val="0"/>
          <w:numId w:val="51"/>
        </w:numPr>
        <w:shd w:val="clear" w:color="auto" w:fill="auto"/>
        <w:tabs>
          <w:tab w:pos="979" w:val="left"/>
        </w:tabs>
        <w:bidi w:val="0"/>
        <w:spacing w:before="0" w:after="0" w:line="240" w:lineRule="auto"/>
        <w:ind w:left="0" w:right="0" w:firstLine="580"/>
        <w:jc w:val="both"/>
      </w:pPr>
      <w:r>
        <w:rPr>
          <w:color w:val="000000"/>
          <w:spacing w:val="0"/>
          <w:w w:val="100"/>
          <w:position w:val="0"/>
          <w:shd w:val="clear" w:color="auto" w:fill="auto"/>
          <w:lang w:val="en-US" w:eastAsia="en-US" w:bidi="en-US"/>
        </w:rPr>
        <w:t>prin contracte dubioase in suma totala de aproximativ 218,299 mil. lei.</w:t>
      </w:r>
    </w:p>
    <w:p>
      <w:pPr>
        <w:pStyle w:val="Style17"/>
        <w:keepNext w:val="0"/>
        <w:keepLines w:val="0"/>
        <w:widowControl w:val="0"/>
        <w:numPr>
          <w:ilvl w:val="0"/>
          <w:numId w:val="51"/>
        </w:numPr>
        <w:shd w:val="clear" w:color="auto" w:fill="auto"/>
        <w:tabs>
          <w:tab w:pos="979" w:val="left"/>
        </w:tabs>
        <w:bidi w:val="0"/>
        <w:spacing w:before="0" w:after="0" w:line="240" w:lineRule="auto"/>
        <w:ind w:left="0" w:right="0" w:firstLine="580"/>
        <w:jc w:val="both"/>
      </w:pPr>
      <w:r>
        <w:rPr>
          <w:color w:val="000000"/>
          <w:spacing w:val="0"/>
          <w:w w:val="100"/>
          <w:position w:val="0"/>
          <w:shd w:val="clear" w:color="auto" w:fill="auto"/>
          <w:lang w:val="en-US" w:eastAsia="en-US" w:bidi="en-US"/>
        </w:rPr>
        <w:t>prin achizitii dubioase in suma totala de aproximativ 330 mil. lei.</w:t>
      </w:r>
    </w:p>
    <w:p>
      <w:pPr>
        <w:pStyle w:val="Style17"/>
        <w:keepNext w:val="0"/>
        <w:keepLines w:val="0"/>
        <w:widowControl w:val="0"/>
        <w:numPr>
          <w:ilvl w:val="0"/>
          <w:numId w:val="51"/>
        </w:numPr>
        <w:shd w:val="clear" w:color="auto" w:fill="auto"/>
        <w:tabs>
          <w:tab w:pos="983" w:val="left"/>
        </w:tabs>
        <w:bidi w:val="0"/>
        <w:spacing w:before="0" w:after="0" w:line="240" w:lineRule="auto"/>
        <w:ind w:left="0" w:right="0" w:firstLine="580"/>
        <w:jc w:val="both"/>
      </w:pPr>
      <w:r>
        <w:rPr>
          <w:color w:val="000000"/>
          <w:spacing w:val="0"/>
          <w:w w:val="100"/>
          <w:position w:val="0"/>
          <w:shd w:val="clear" w:color="auto" w:fill="auto"/>
          <w:lang w:val="en-US" w:eastAsia="en-US" w:bidi="en-US"/>
        </w:rPr>
        <w:t>prin alte scheme ilicite in suma totala de aproximativ 905,487 mil. lei, dintre care transportarea fara bilete aproximativ 132 mil. lei si taxe neoficiale aplicate expeditorilor de aproximativ 770,384 mil. lei.</w:t>
      </w:r>
    </w:p>
    <w:p>
      <w:pPr>
        <w:pStyle w:val="Style17"/>
        <w:keepNext w:val="0"/>
        <w:keepLines w:val="0"/>
        <w:widowControl w:val="0"/>
        <w:shd w:val="clear" w:color="auto" w:fill="auto"/>
        <w:bidi w:val="0"/>
        <w:spacing w:before="0" w:after="0" w:line="240" w:lineRule="auto"/>
        <w:ind w:left="0" w:right="0" w:firstLine="580"/>
        <w:jc w:val="both"/>
      </w:pPr>
      <w:r>
        <w:rPr>
          <w:b/>
          <w:bCs/>
          <w:color w:val="000000"/>
          <w:spacing w:val="0"/>
          <w:w w:val="100"/>
          <w:position w:val="0"/>
          <w:shd w:val="clear" w:color="auto" w:fill="auto"/>
          <w:lang w:val="en-US" w:eastAsia="en-US" w:bidi="en-US"/>
        </w:rPr>
        <w:t>Astfel, o estimare aproximativa denota faptul ca in perioada 2010-2020, I.S. „CFM” a fost prejudiciata cu aproximativ 1,622 miliarde lei. Necesita a fi mentionat, ca suma respectiva include doar deficientele care au fost estimate/calculate de autoritatile publice actele carora au constat abaterile respective.</w:t>
      </w:r>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en-US" w:eastAsia="en-US" w:bidi="en-US"/>
        </w:rPr>
        <w:t>Suplimentar, este necesar de mentionat ca in perioada examinata intreprinderea a suportat pierderi de 1,391 miliarde lei din transporturile de pasageri in trafic suburban si local. Mai mult ca atat, chiar si transporturile de pasageri in trafic international in perioada examinata au adus pierderi in suma de 726,1 mil. lei.</w:t>
      </w:r>
    </w:p>
    <w:p>
      <w:pPr>
        <w:pStyle w:val="Style17"/>
        <w:keepNext w:val="0"/>
        <w:keepLines w:val="0"/>
        <w:widowControl w:val="0"/>
        <w:shd w:val="clear" w:color="auto" w:fill="auto"/>
        <w:bidi w:val="0"/>
        <w:spacing w:before="0" w:after="320" w:line="240" w:lineRule="auto"/>
        <w:ind w:left="0" w:right="0" w:firstLine="660"/>
        <w:jc w:val="both"/>
      </w:pPr>
      <w:r>
        <w:rPr>
          <w:color w:val="000000"/>
          <w:spacing w:val="0"/>
          <w:w w:val="100"/>
          <w:position w:val="0"/>
          <w:shd w:val="clear" w:color="auto" w:fill="auto"/>
          <w:lang w:val="en-US" w:eastAsia="en-US" w:bidi="en-US"/>
        </w:rPr>
        <w:t>Totodata, in contextul analizei informatiei prezentate de catre organele de urmarire penala cu privire la mersul si rezultatele urmarii penale in cauzele ce au ca obiect al cercetarii patrimoniul, actiunile/inactiunile angajatilor I.S. ,,Calea Ferata din Moldova” pentru anii 2010-2020, Comisia constata un numar destul de mare de cauze penale urmarirea penala asupra carora a fost clasata/incetata sau suspendata. In acest context, Comisia de ancheta sugereaza Procuraturii Generale crearea unui grup specializat in sensul examinarii si aprecierii legalitatii si temeiniciei emiterii ordonantelor de clasare a cauzelor penale ce au ca obiect al investigarii patrimoniul, actiunile sau inactiunile angajatilor I.S. ,,Calea Ferata din Moldova” pentru anii 2010-2020.</w:t>
      </w:r>
    </w:p>
    <w:p>
      <w:pPr>
        <w:pStyle w:val="Style15"/>
        <w:keepNext/>
        <w:keepLines/>
        <w:widowControl w:val="0"/>
        <w:numPr>
          <w:ilvl w:val="0"/>
          <w:numId w:val="47"/>
        </w:numPr>
        <w:shd w:val="clear" w:color="auto" w:fill="auto"/>
        <w:tabs>
          <w:tab w:pos="1487" w:val="left"/>
        </w:tabs>
        <w:bidi w:val="0"/>
        <w:spacing w:before="0" w:after="0" w:line="240" w:lineRule="auto"/>
        <w:ind w:left="0" w:right="0" w:firstLine="740"/>
        <w:jc w:val="both"/>
      </w:pPr>
      <w:bookmarkStart w:id="90" w:name="bookmark90"/>
      <w:bookmarkStart w:id="91" w:name="bookmark91"/>
      <w:r>
        <w:rPr>
          <w:color w:val="000000"/>
          <w:spacing w:val="0"/>
          <w:w w:val="100"/>
          <w:position w:val="0"/>
          <w:shd w:val="clear" w:color="auto" w:fill="auto"/>
          <w:lang w:val="en-US" w:eastAsia="en-US" w:bidi="en-US"/>
        </w:rPr>
        <w:t>RECOMANDARI</w:t>
      </w:r>
      <w:bookmarkEnd w:id="90"/>
      <w:bookmarkEnd w:id="91"/>
    </w:p>
    <w:p>
      <w:pPr>
        <w:pStyle w:val="Style17"/>
        <w:keepNext w:val="0"/>
        <w:keepLines w:val="0"/>
        <w:widowControl w:val="0"/>
        <w:shd w:val="clear" w:color="auto" w:fill="auto"/>
        <w:bidi w:val="0"/>
        <w:spacing w:before="0" w:after="0" w:line="240" w:lineRule="auto"/>
        <w:ind w:left="0" w:right="0" w:firstLine="740"/>
        <w:jc w:val="left"/>
      </w:pPr>
      <w:r>
        <w:rPr>
          <w:color w:val="000000"/>
          <w:spacing w:val="0"/>
          <w:w w:val="100"/>
          <w:position w:val="0"/>
          <w:shd w:val="clear" w:color="auto" w:fill="auto"/>
          <w:lang w:val="en-US" w:eastAsia="en-US" w:bidi="en-US"/>
        </w:rPr>
        <w:t>In rezultatul examinarii situatiei economico-financiare a I.S. „CFM” Comisia de ancheta inainteaza urmatoarele recomandari:</w:t>
      </w:r>
    </w:p>
    <w:p>
      <w:pPr>
        <w:pStyle w:val="Style17"/>
        <w:keepNext w:val="0"/>
        <w:keepLines w:val="0"/>
        <w:widowControl w:val="0"/>
        <w:shd w:val="clear" w:color="auto" w:fill="auto"/>
        <w:bidi w:val="0"/>
        <w:spacing w:before="0" w:after="40" w:line="240" w:lineRule="auto"/>
        <w:ind w:left="0" w:right="0" w:firstLine="900"/>
        <w:jc w:val="left"/>
      </w:pPr>
      <w:r>
        <w:rPr>
          <w:color w:val="000000"/>
          <w:spacing w:val="0"/>
          <w:w w:val="100"/>
          <w:position w:val="0"/>
          <w:shd w:val="clear" w:color="auto" w:fill="auto"/>
          <w:lang w:val="en-US" w:eastAsia="en-US" w:bidi="en-US"/>
        </w:rPr>
        <w:t>1. Guvernului de a:</w:t>
      </w:r>
    </w:p>
    <w:p>
      <w:pPr>
        <w:pStyle w:val="Style17"/>
        <w:keepNext w:val="0"/>
        <w:keepLines w:val="0"/>
        <w:widowControl w:val="0"/>
        <w:numPr>
          <w:ilvl w:val="0"/>
          <w:numId w:val="35"/>
        </w:numPr>
        <w:shd w:val="clear" w:color="auto" w:fill="auto"/>
        <w:tabs>
          <w:tab w:pos="979" w:val="left"/>
        </w:tabs>
        <w:bidi w:val="0"/>
        <w:spacing w:before="0" w:after="0" w:line="310" w:lineRule="auto"/>
        <w:ind w:left="0" w:right="0" w:firstLine="740"/>
        <w:jc w:val="both"/>
      </w:pPr>
      <w:r>
        <w:rPr>
          <w:color w:val="000000"/>
          <w:spacing w:val="0"/>
          <w:w w:val="100"/>
          <w:position w:val="0"/>
          <w:shd w:val="clear" w:color="auto" w:fill="auto"/>
          <w:lang w:val="en-US" w:eastAsia="en-US" w:bidi="en-US"/>
        </w:rPr>
        <w:t>asigura eficientizarea managementului I.S. „CFM”;</w:t>
      </w:r>
    </w:p>
    <w:p>
      <w:pPr>
        <w:pStyle w:val="Style17"/>
        <w:keepNext w:val="0"/>
        <w:keepLines w:val="0"/>
        <w:widowControl w:val="0"/>
        <w:numPr>
          <w:ilvl w:val="0"/>
          <w:numId w:val="35"/>
        </w:numPr>
        <w:shd w:val="clear" w:color="auto" w:fill="auto"/>
        <w:tabs>
          <w:tab w:pos="979" w:val="left"/>
        </w:tabs>
        <w:bidi w:val="0"/>
        <w:spacing w:before="0" w:after="0" w:line="310" w:lineRule="auto"/>
        <w:ind w:left="0" w:right="0" w:firstLine="740"/>
        <w:jc w:val="both"/>
      </w:pPr>
      <w:r>
        <w:rPr>
          <w:color w:val="000000"/>
          <w:spacing w:val="0"/>
          <w:w w:val="100"/>
          <w:position w:val="0"/>
          <w:shd w:val="clear" w:color="auto" w:fill="auto"/>
          <w:lang w:val="en-US" w:eastAsia="en-US" w:bidi="en-US"/>
        </w:rPr>
        <w:t>asigura optimizarea cheltuielilor administrative;</w:t>
      </w:r>
    </w:p>
    <w:p>
      <w:pPr>
        <w:pStyle w:val="Style17"/>
        <w:keepNext w:val="0"/>
        <w:keepLines w:val="0"/>
        <w:widowControl w:val="0"/>
        <w:numPr>
          <w:ilvl w:val="0"/>
          <w:numId w:val="35"/>
        </w:numPr>
        <w:shd w:val="clear" w:color="auto" w:fill="auto"/>
        <w:tabs>
          <w:tab w:pos="979" w:val="left"/>
        </w:tabs>
        <w:bidi w:val="0"/>
        <w:spacing w:before="0" w:after="0" w:line="310" w:lineRule="auto"/>
        <w:ind w:left="0" w:right="0" w:firstLine="740"/>
        <w:jc w:val="both"/>
      </w:pPr>
      <w:r>
        <w:rPr>
          <w:color w:val="000000"/>
          <w:spacing w:val="0"/>
          <w:w w:val="100"/>
          <w:position w:val="0"/>
          <w:shd w:val="clear" w:color="auto" w:fill="auto"/>
          <w:lang w:val="en-US" w:eastAsia="en-US" w:bidi="en-US"/>
        </w:rPr>
        <w:t>asigura o monitorizare riguroasa a procurarilor;</w:t>
      </w:r>
      <w:r>
        <w:br w:type="page"/>
      </w:r>
    </w:p>
    <w:p>
      <w:pPr>
        <w:pStyle w:val="Style17"/>
        <w:keepNext w:val="0"/>
        <w:keepLines w:val="0"/>
        <w:widowControl w:val="0"/>
        <w:numPr>
          <w:ilvl w:val="0"/>
          <w:numId w:val="35"/>
        </w:numPr>
        <w:shd w:val="clear" w:color="auto" w:fill="auto"/>
        <w:tabs>
          <w:tab w:pos="1010" w:val="left"/>
        </w:tabs>
        <w:bidi w:val="0"/>
        <w:spacing w:before="0" w:after="0" w:line="240" w:lineRule="auto"/>
        <w:ind w:left="0" w:right="0" w:firstLine="740"/>
        <w:jc w:val="both"/>
      </w:pPr>
      <w:r>
        <w:rPr>
          <w:color w:val="000000"/>
          <w:spacing w:val="0"/>
          <w:w w:val="100"/>
          <w:position w:val="0"/>
          <w:shd w:val="clear" w:color="auto" w:fill="auto"/>
          <w:lang w:val="en-US" w:eastAsia="en-US" w:bidi="en-US"/>
        </w:rPr>
        <w:t>asigura separarea subdiviziunilor/serviciilor I.S. „CFM” care detin functii de control de subdiviziunile, serviciile care sunt consumatoare de resurse.</w:t>
      </w:r>
    </w:p>
    <w:p>
      <w:pPr>
        <w:pStyle w:val="Style17"/>
        <w:keepNext w:val="0"/>
        <w:keepLines w:val="0"/>
        <w:widowControl w:val="0"/>
        <w:numPr>
          <w:ilvl w:val="0"/>
          <w:numId w:val="35"/>
        </w:numPr>
        <w:shd w:val="clear" w:color="auto" w:fill="auto"/>
        <w:tabs>
          <w:tab w:pos="1010" w:val="left"/>
        </w:tabs>
        <w:bidi w:val="0"/>
        <w:spacing w:before="0" w:after="0" w:line="240" w:lineRule="auto"/>
        <w:ind w:left="0" w:right="0" w:firstLine="740"/>
        <w:jc w:val="both"/>
      </w:pPr>
      <w:r>
        <w:rPr>
          <w:color w:val="000000"/>
          <w:spacing w:val="0"/>
          <w:w w:val="100"/>
          <w:position w:val="0"/>
          <w:shd w:val="clear" w:color="auto" w:fill="auto"/>
          <w:lang w:val="en-US" w:eastAsia="en-US" w:bidi="en-US"/>
        </w:rPr>
        <w:t>examina posibilitatea subventionarii transportului feroviar de pasageri (suburban si local);</w:t>
      </w:r>
    </w:p>
    <w:p>
      <w:pPr>
        <w:pStyle w:val="Style17"/>
        <w:keepNext w:val="0"/>
        <w:keepLines w:val="0"/>
        <w:widowControl w:val="0"/>
        <w:numPr>
          <w:ilvl w:val="0"/>
          <w:numId w:val="35"/>
        </w:numPr>
        <w:shd w:val="clear" w:color="auto" w:fill="auto"/>
        <w:tabs>
          <w:tab w:pos="1010" w:val="left"/>
        </w:tabs>
        <w:bidi w:val="0"/>
        <w:spacing w:before="0" w:after="0" w:line="240" w:lineRule="auto"/>
        <w:ind w:left="0" w:right="0" w:firstLine="740"/>
        <w:jc w:val="both"/>
      </w:pPr>
      <w:r>
        <w:rPr>
          <w:color w:val="000000"/>
          <w:spacing w:val="0"/>
          <w:w w:val="100"/>
          <w:position w:val="0"/>
          <w:shd w:val="clear" w:color="auto" w:fill="auto"/>
          <w:lang w:val="en-US" w:eastAsia="en-US" w:bidi="en-US"/>
        </w:rPr>
        <w:t>examina posibilitatea reorganizarii intreprinderii conform unui plan elaborat in baza unor analize economico-financiare ample, de dezvoltare a fluxurilor de transport feroviar la nivel national, regional si chiar demararea unor proiecte globale;</w:t>
      </w:r>
    </w:p>
    <w:p>
      <w:pPr>
        <w:pStyle w:val="Style17"/>
        <w:keepNext w:val="0"/>
        <w:keepLines w:val="0"/>
        <w:widowControl w:val="0"/>
        <w:numPr>
          <w:ilvl w:val="0"/>
          <w:numId w:val="35"/>
        </w:numPr>
        <w:shd w:val="clear" w:color="auto" w:fill="auto"/>
        <w:tabs>
          <w:tab w:pos="1010" w:val="left"/>
        </w:tabs>
        <w:bidi w:val="0"/>
        <w:spacing w:before="0" w:after="0" w:line="240" w:lineRule="auto"/>
        <w:ind w:left="0" w:right="0" w:firstLine="740"/>
        <w:jc w:val="both"/>
      </w:pPr>
      <w:r>
        <w:rPr>
          <w:color w:val="000000"/>
          <w:spacing w:val="0"/>
          <w:w w:val="100"/>
          <w:position w:val="0"/>
          <w:shd w:val="clear" w:color="auto" w:fill="auto"/>
          <w:lang w:val="en-US" w:eastAsia="en-US" w:bidi="en-US"/>
        </w:rPr>
        <w:t>examina posibilitatea demararii unui proces masiv de reabilitare si tehnologizare a infrastructurii;</w:t>
      </w:r>
    </w:p>
    <w:p>
      <w:pPr>
        <w:pStyle w:val="Style17"/>
        <w:keepNext w:val="0"/>
        <w:keepLines w:val="0"/>
        <w:widowControl w:val="0"/>
        <w:numPr>
          <w:ilvl w:val="0"/>
          <w:numId w:val="35"/>
        </w:numPr>
        <w:shd w:val="clear" w:color="auto" w:fill="auto"/>
        <w:tabs>
          <w:tab w:pos="1010" w:val="left"/>
        </w:tabs>
        <w:bidi w:val="0"/>
        <w:spacing w:before="0" w:after="0" w:line="240" w:lineRule="auto"/>
        <w:ind w:left="0" w:right="0" w:firstLine="740"/>
        <w:jc w:val="both"/>
      </w:pPr>
      <w:r>
        <w:rPr>
          <w:color w:val="000000"/>
          <w:spacing w:val="0"/>
          <w:w w:val="100"/>
          <w:position w:val="0"/>
          <w:shd w:val="clear" w:color="auto" w:fill="auto"/>
          <w:lang w:val="en-US" w:eastAsia="en-US" w:bidi="en-US"/>
        </w:rPr>
        <w:t>examina posibilitatea crearii si implementarii unui mecanism de restituire a accizelor pentru combustibil in partea ce tine de motorina consumata pe infrastructura feroviara;</w:t>
      </w:r>
    </w:p>
    <w:p>
      <w:pPr>
        <w:pStyle w:val="Style17"/>
        <w:keepNext w:val="0"/>
        <w:keepLines w:val="0"/>
        <w:widowControl w:val="0"/>
        <w:numPr>
          <w:ilvl w:val="0"/>
          <w:numId w:val="35"/>
        </w:numPr>
        <w:shd w:val="clear" w:color="auto" w:fill="auto"/>
        <w:tabs>
          <w:tab w:pos="1010" w:val="left"/>
        </w:tabs>
        <w:bidi w:val="0"/>
        <w:spacing w:before="0" w:after="0" w:line="240" w:lineRule="auto"/>
        <w:ind w:left="0" w:right="0" w:firstLine="740"/>
        <w:jc w:val="both"/>
      </w:pPr>
      <w:r>
        <w:rPr>
          <w:color w:val="000000"/>
          <w:spacing w:val="0"/>
          <w:w w:val="100"/>
          <w:position w:val="0"/>
          <w:shd w:val="clear" w:color="auto" w:fill="auto"/>
          <w:lang w:val="en-US" w:eastAsia="en-US" w:bidi="en-US"/>
        </w:rPr>
        <w:t>elabora un mecanism de a stimula transportul de marfuri in volume sporite pe cale ferata.</w:t>
      </w:r>
    </w:p>
    <w:p>
      <w:pPr>
        <w:pStyle w:val="Style17"/>
        <w:keepNext w:val="0"/>
        <w:keepLines w:val="0"/>
        <w:widowControl w:val="0"/>
        <w:numPr>
          <w:ilvl w:val="0"/>
          <w:numId w:val="53"/>
        </w:numPr>
        <w:shd w:val="clear" w:color="auto" w:fill="auto"/>
        <w:tabs>
          <w:tab w:pos="1078" w:val="left"/>
        </w:tabs>
        <w:bidi w:val="0"/>
        <w:spacing w:before="0" w:after="0" w:line="240" w:lineRule="auto"/>
        <w:ind w:left="0" w:right="0" w:firstLine="740"/>
        <w:jc w:val="both"/>
      </w:pPr>
      <w:r>
        <w:rPr>
          <w:color w:val="000000"/>
          <w:spacing w:val="0"/>
          <w:w w:val="100"/>
          <w:position w:val="0"/>
          <w:shd w:val="clear" w:color="auto" w:fill="auto"/>
          <w:lang w:val="en-US" w:eastAsia="en-US" w:bidi="en-US"/>
        </w:rPr>
        <w:t>De a solicita Procuraturii Generale:</w:t>
      </w:r>
    </w:p>
    <w:p>
      <w:pPr>
        <w:pStyle w:val="Style17"/>
        <w:keepNext w:val="0"/>
        <w:keepLines w:val="0"/>
        <w:widowControl w:val="0"/>
        <w:numPr>
          <w:ilvl w:val="0"/>
          <w:numId w:val="35"/>
        </w:numPr>
        <w:shd w:val="clear" w:color="auto" w:fill="auto"/>
        <w:tabs>
          <w:tab w:pos="1010" w:val="left"/>
        </w:tabs>
        <w:bidi w:val="0"/>
        <w:spacing w:before="0" w:after="0" w:line="240" w:lineRule="auto"/>
        <w:ind w:left="0" w:right="0" w:firstLine="740"/>
        <w:jc w:val="both"/>
      </w:pPr>
      <w:r>
        <w:rPr>
          <w:color w:val="000000"/>
          <w:spacing w:val="0"/>
          <w:w w:val="100"/>
          <w:position w:val="0"/>
          <w:shd w:val="clear" w:color="auto" w:fill="auto"/>
          <w:lang w:val="en-US" w:eastAsia="en-US" w:bidi="en-US"/>
        </w:rPr>
        <w:t xml:space="preserve">examinarea si aprecierea legalitatii si temeiniciei emiterii ordonantelor de clasare a cauzelor penale ce au ca obiect al investigarii patrimoniul, actiunile sau inactiunile angajatilor I.S. ,,Calea Ferata din Moldova” pentru anii </w:t>
      </w:r>
      <w:r>
        <w:rPr>
          <w:color w:val="000000"/>
          <w:spacing w:val="0"/>
          <w:w w:val="100"/>
          <w:position w:val="0"/>
          <w:shd w:val="clear" w:color="auto" w:fill="auto"/>
          <w:lang w:val="ru-RU" w:eastAsia="ru-RU" w:bidi="ru-RU"/>
        </w:rPr>
        <w:t xml:space="preserve">2010-2020, </w:t>
      </w:r>
      <w:r>
        <w:rPr>
          <w:color w:val="000000"/>
          <w:spacing w:val="0"/>
          <w:w w:val="100"/>
          <w:position w:val="0"/>
          <w:shd w:val="clear" w:color="auto" w:fill="auto"/>
          <w:lang w:val="en-US" w:eastAsia="en-US" w:bidi="en-US"/>
        </w:rPr>
        <w:t xml:space="preserve">in temeiul art. </w:t>
      </w:r>
      <w:r>
        <w:rPr>
          <w:color w:val="000000"/>
          <w:spacing w:val="0"/>
          <w:w w:val="100"/>
          <w:position w:val="0"/>
          <w:shd w:val="clear" w:color="auto" w:fill="auto"/>
          <w:lang w:val="ru-RU" w:eastAsia="ru-RU" w:bidi="ru-RU"/>
        </w:rPr>
        <w:t>53</w:t>
      </w:r>
      <w:r>
        <w:rPr>
          <w:color w:val="000000"/>
          <w:spacing w:val="0"/>
          <w:w w:val="100"/>
          <w:position w:val="0"/>
          <w:shd w:val="clear" w:color="auto" w:fill="auto"/>
          <w:vertAlign w:val="superscript"/>
          <w:lang w:val="ru-RU" w:eastAsia="ru-RU" w:bidi="ru-RU"/>
        </w:rPr>
        <w:t>1</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en-US" w:eastAsia="en-US" w:bidi="en-US"/>
        </w:rPr>
        <w:t xml:space="preserve">alin. </w:t>
      </w:r>
      <w:r>
        <w:rPr>
          <w:color w:val="000000"/>
          <w:spacing w:val="0"/>
          <w:w w:val="100"/>
          <w:position w:val="0"/>
          <w:shd w:val="clear" w:color="auto" w:fill="auto"/>
          <w:lang w:val="ru-RU" w:eastAsia="ru-RU" w:bidi="ru-RU"/>
        </w:rPr>
        <w:t xml:space="preserve">(2) </w:t>
      </w:r>
      <w:r>
        <w:rPr>
          <w:color w:val="000000"/>
          <w:spacing w:val="0"/>
          <w:w w:val="100"/>
          <w:position w:val="0"/>
          <w:shd w:val="clear" w:color="auto" w:fill="auto"/>
          <w:lang w:val="en-US" w:eastAsia="en-US" w:bidi="en-US"/>
        </w:rPr>
        <w:t>din Codul de procedura penala;</w:t>
      </w:r>
    </w:p>
    <w:p>
      <w:pPr>
        <w:pStyle w:val="Style17"/>
        <w:keepNext w:val="0"/>
        <w:keepLines w:val="0"/>
        <w:widowControl w:val="0"/>
        <w:numPr>
          <w:ilvl w:val="0"/>
          <w:numId w:val="35"/>
        </w:numPr>
        <w:shd w:val="clear" w:color="auto" w:fill="auto"/>
        <w:tabs>
          <w:tab w:pos="1010" w:val="left"/>
        </w:tabs>
        <w:bidi w:val="0"/>
        <w:spacing w:before="0" w:after="0" w:line="240" w:lineRule="auto"/>
        <w:ind w:left="0" w:right="0" w:firstLine="740"/>
        <w:jc w:val="both"/>
      </w:pPr>
      <w:r>
        <w:rPr>
          <w:color w:val="000000"/>
          <w:spacing w:val="0"/>
          <w:w w:val="100"/>
          <w:position w:val="0"/>
          <w:shd w:val="clear" w:color="auto" w:fill="auto"/>
          <w:lang w:val="en-US" w:eastAsia="en-US" w:bidi="en-US"/>
        </w:rPr>
        <w:t xml:space="preserve">examinarea oportunitatii crearii unui grup specializat in scopul efectuarii cercetarii sub toate aspectele, complete si obiective a circumstantelor cauzelor penale ce au ca obiect al investigarii patrimoniul, actiunile sau inactiunile angajatilor I.S. ,,Calea Ferata din Moldova” pentru anii </w:t>
      </w:r>
      <w:r>
        <w:rPr>
          <w:color w:val="000000"/>
          <w:spacing w:val="0"/>
          <w:w w:val="100"/>
          <w:position w:val="0"/>
          <w:shd w:val="clear" w:color="auto" w:fill="auto"/>
          <w:lang w:val="ru-RU" w:eastAsia="ru-RU" w:bidi="ru-RU"/>
        </w:rPr>
        <w:t>2010-2020;</w:t>
      </w:r>
    </w:p>
    <w:p>
      <w:pPr>
        <w:pStyle w:val="Style17"/>
        <w:keepNext w:val="0"/>
        <w:keepLines w:val="0"/>
        <w:widowControl w:val="0"/>
        <w:numPr>
          <w:ilvl w:val="0"/>
          <w:numId w:val="35"/>
        </w:numPr>
        <w:shd w:val="clear" w:color="auto" w:fill="auto"/>
        <w:tabs>
          <w:tab w:pos="1724" w:val="left"/>
        </w:tabs>
        <w:bidi w:val="0"/>
        <w:spacing w:before="0" w:after="0" w:line="240" w:lineRule="auto"/>
        <w:ind w:left="0" w:right="0" w:firstLine="740"/>
        <w:jc w:val="both"/>
      </w:pPr>
      <w:r>
        <w:rPr>
          <w:color w:val="000000"/>
          <w:spacing w:val="0"/>
          <w:w w:val="100"/>
          <w:position w:val="0"/>
          <w:shd w:val="clear" w:color="auto" w:fill="auto"/>
          <w:lang w:val="en-US" w:eastAsia="en-US" w:bidi="en-US"/>
        </w:rPr>
        <w:t>intreprinderea masurilor pentru recuperarea mijloacelor financiare delapidate din</w:t>
      </w:r>
    </w:p>
    <w:p>
      <w:pPr>
        <w:pStyle w:val="Style17"/>
        <w:keepNext w:val="0"/>
        <w:keepLines w:val="0"/>
        <w:widowControl w:val="0"/>
        <w:shd w:val="clear" w:color="auto" w:fill="auto"/>
        <w:tabs>
          <w:tab w:pos="516" w:val="left"/>
          <w:tab w:pos="984" w:val="left"/>
        </w:tabs>
        <w:bidi w:val="0"/>
        <w:spacing w:before="0" w:after="460" w:line="240" w:lineRule="auto"/>
        <w:ind w:left="0" w:right="0" w:firstLine="0"/>
        <w:jc w:val="left"/>
      </w:pPr>
      <w:r>
        <mc:AlternateContent>
          <mc:Choice Requires="wps">
            <w:drawing>
              <wp:anchor distT="0" distB="0" distL="114300" distR="114300" simplePos="0" relativeHeight="125829399" behindDoc="0" locked="0" layoutInCell="1" allowOverlap="1">
                <wp:simplePos x="0" y="0"/>
                <wp:positionH relativeFrom="page">
                  <wp:posOffset>1318260</wp:posOffset>
                </wp:positionH>
                <wp:positionV relativeFrom="paragraph">
                  <wp:posOffset>508000</wp:posOffset>
                </wp:positionV>
                <wp:extent cx="2008505" cy="1149350"/>
                <wp:wrapSquare wrapText="right"/>
                <wp:docPr id="80" name="Shape 80"/>
                <a:graphic xmlns:a="http://schemas.openxmlformats.org/drawingml/2006/main">
                  <a:graphicData uri="http://schemas.microsoft.com/office/word/2010/wordprocessingShape">
                    <wps:wsp>
                      <wps:cNvSpPr txBox="1"/>
                      <wps:spPr>
                        <a:xfrm>
                          <a:ext cx="2008505" cy="1149350"/>
                        </a:xfrm>
                        <a:prstGeom prst="rect"/>
                        <a:noFill/>
                      </wps:spPr>
                      <wps:txbx>
                        <w:txbxContent>
                          <w:p>
                            <w:pPr>
                              <w:pStyle w:val="Style17"/>
                              <w:keepNext w:val="0"/>
                              <w:keepLines w:val="0"/>
                              <w:widowControl w:val="0"/>
                              <w:shd w:val="clear" w:color="auto" w:fill="auto"/>
                              <w:bidi w:val="0"/>
                              <w:spacing w:before="0" w:after="160" w:line="240" w:lineRule="auto"/>
                              <w:ind w:left="0" w:right="0" w:firstLine="0"/>
                              <w:jc w:val="left"/>
                            </w:pPr>
                            <w:r>
                              <w:rPr>
                                <w:b/>
                                <w:bCs/>
                                <w:color w:val="000000"/>
                                <w:spacing w:val="0"/>
                                <w:w w:val="100"/>
                                <w:position w:val="0"/>
                                <w:shd w:val="clear" w:color="auto" w:fill="auto"/>
                                <w:lang w:val="en-US" w:eastAsia="en-US" w:bidi="en-US"/>
                              </w:rPr>
                              <w:t>Presedintele Comisiei</w:t>
                            </w:r>
                          </w:p>
                          <w:p>
                            <w:pPr>
                              <w:pStyle w:val="Style17"/>
                              <w:keepNext w:val="0"/>
                              <w:keepLines w:val="0"/>
                              <w:widowControl w:val="0"/>
                              <w:shd w:val="clear" w:color="auto" w:fill="auto"/>
                              <w:bidi w:val="0"/>
                              <w:spacing w:before="0" w:after="160" w:line="240" w:lineRule="auto"/>
                              <w:ind w:left="0" w:right="0" w:firstLine="0"/>
                              <w:jc w:val="left"/>
                            </w:pPr>
                            <w:r>
                              <w:rPr>
                                <w:b/>
                                <w:bCs/>
                                <w:color w:val="000000"/>
                                <w:spacing w:val="0"/>
                                <w:w w:val="100"/>
                                <w:position w:val="0"/>
                                <w:shd w:val="clear" w:color="auto" w:fill="auto"/>
                                <w:lang w:val="en-US" w:eastAsia="en-US" w:bidi="en-US"/>
                              </w:rPr>
                              <w:t>Vicepresedintele Comisiei</w:t>
                            </w:r>
                          </w:p>
                          <w:p>
                            <w:pPr>
                              <w:pStyle w:val="Style17"/>
                              <w:keepNext w:val="0"/>
                              <w:keepLines w:val="0"/>
                              <w:widowControl w:val="0"/>
                              <w:shd w:val="clear" w:color="auto" w:fill="auto"/>
                              <w:bidi w:val="0"/>
                              <w:spacing w:before="0" w:after="160" w:line="240" w:lineRule="auto"/>
                              <w:ind w:left="0" w:right="0" w:firstLine="0"/>
                              <w:jc w:val="left"/>
                            </w:pPr>
                            <w:r>
                              <w:rPr>
                                <w:b/>
                                <w:bCs/>
                                <w:color w:val="000000"/>
                                <w:spacing w:val="0"/>
                                <w:w w:val="100"/>
                                <w:position w:val="0"/>
                                <w:shd w:val="clear" w:color="auto" w:fill="auto"/>
                                <w:lang w:val="en-US" w:eastAsia="en-US" w:bidi="en-US"/>
                              </w:rPr>
                              <w:t>Secretarul Comisiei</w:t>
                            </w:r>
                          </w:p>
                          <w:p>
                            <w:pPr>
                              <w:pStyle w:val="Style17"/>
                              <w:keepNext w:val="0"/>
                              <w:keepLines w:val="0"/>
                              <w:widowControl w:val="0"/>
                              <w:shd w:val="clear" w:color="auto" w:fill="auto"/>
                              <w:bidi w:val="0"/>
                              <w:spacing w:before="0" w:after="160" w:line="240" w:lineRule="auto"/>
                              <w:ind w:left="0" w:right="0" w:firstLine="0"/>
                              <w:jc w:val="left"/>
                            </w:pPr>
                            <w:r>
                              <w:rPr>
                                <w:b/>
                                <w:bCs/>
                                <w:color w:val="000000"/>
                                <w:spacing w:val="0"/>
                                <w:w w:val="100"/>
                                <w:position w:val="0"/>
                                <w:shd w:val="clear" w:color="auto" w:fill="auto"/>
                                <w:lang w:val="en-US" w:eastAsia="en-US" w:bidi="en-US"/>
                              </w:rPr>
                              <w:t>Membrii Comisiei:</w:t>
                            </w:r>
                          </w:p>
                        </w:txbxContent>
                      </wps:txbx>
                      <wps:bodyPr lIns="0" tIns="0" rIns="0" bIns="0">
                        <a:noAutoFit/>
                      </wps:bodyPr>
                    </wps:wsp>
                  </a:graphicData>
                </a:graphic>
              </wp:anchor>
            </w:drawing>
          </mc:Choice>
          <mc:Fallback>
            <w:pict>
              <v:shape id="_x0000_s1106" type="#_x0000_t202" style="position:absolute;margin-left:103.8pt;margin-top:40.pt;width:158.15000000000001pt;height:90.5pt;z-index:-125829354;mso-wrap-distance-left:9.pt;mso-wrap-distance-right:9.pt;mso-position-horizontal-relative:page" filled="f" stroked="f">
                <v:textbox inset="0,0,0,0">
                  <w:txbxContent>
                    <w:p>
                      <w:pPr>
                        <w:pStyle w:val="Style17"/>
                        <w:keepNext w:val="0"/>
                        <w:keepLines w:val="0"/>
                        <w:widowControl w:val="0"/>
                        <w:shd w:val="clear" w:color="auto" w:fill="auto"/>
                        <w:bidi w:val="0"/>
                        <w:spacing w:before="0" w:after="160" w:line="240" w:lineRule="auto"/>
                        <w:ind w:left="0" w:right="0" w:firstLine="0"/>
                        <w:jc w:val="left"/>
                      </w:pPr>
                      <w:r>
                        <w:rPr>
                          <w:b/>
                          <w:bCs/>
                          <w:color w:val="000000"/>
                          <w:spacing w:val="0"/>
                          <w:w w:val="100"/>
                          <w:position w:val="0"/>
                          <w:shd w:val="clear" w:color="auto" w:fill="auto"/>
                          <w:lang w:val="en-US" w:eastAsia="en-US" w:bidi="en-US"/>
                        </w:rPr>
                        <w:t>Presedintele Comisiei</w:t>
                      </w:r>
                    </w:p>
                    <w:p>
                      <w:pPr>
                        <w:pStyle w:val="Style17"/>
                        <w:keepNext w:val="0"/>
                        <w:keepLines w:val="0"/>
                        <w:widowControl w:val="0"/>
                        <w:shd w:val="clear" w:color="auto" w:fill="auto"/>
                        <w:bidi w:val="0"/>
                        <w:spacing w:before="0" w:after="160" w:line="240" w:lineRule="auto"/>
                        <w:ind w:left="0" w:right="0" w:firstLine="0"/>
                        <w:jc w:val="left"/>
                      </w:pPr>
                      <w:r>
                        <w:rPr>
                          <w:b/>
                          <w:bCs/>
                          <w:color w:val="000000"/>
                          <w:spacing w:val="0"/>
                          <w:w w:val="100"/>
                          <w:position w:val="0"/>
                          <w:shd w:val="clear" w:color="auto" w:fill="auto"/>
                          <w:lang w:val="en-US" w:eastAsia="en-US" w:bidi="en-US"/>
                        </w:rPr>
                        <w:t>Vicepresedintele Comisiei</w:t>
                      </w:r>
                    </w:p>
                    <w:p>
                      <w:pPr>
                        <w:pStyle w:val="Style17"/>
                        <w:keepNext w:val="0"/>
                        <w:keepLines w:val="0"/>
                        <w:widowControl w:val="0"/>
                        <w:shd w:val="clear" w:color="auto" w:fill="auto"/>
                        <w:bidi w:val="0"/>
                        <w:spacing w:before="0" w:after="160" w:line="240" w:lineRule="auto"/>
                        <w:ind w:left="0" w:right="0" w:firstLine="0"/>
                        <w:jc w:val="left"/>
                      </w:pPr>
                      <w:r>
                        <w:rPr>
                          <w:b/>
                          <w:bCs/>
                          <w:color w:val="000000"/>
                          <w:spacing w:val="0"/>
                          <w:w w:val="100"/>
                          <w:position w:val="0"/>
                          <w:shd w:val="clear" w:color="auto" w:fill="auto"/>
                          <w:lang w:val="en-US" w:eastAsia="en-US" w:bidi="en-US"/>
                        </w:rPr>
                        <w:t>Secretarul Comisiei</w:t>
                      </w:r>
                    </w:p>
                    <w:p>
                      <w:pPr>
                        <w:pStyle w:val="Style17"/>
                        <w:keepNext w:val="0"/>
                        <w:keepLines w:val="0"/>
                        <w:widowControl w:val="0"/>
                        <w:shd w:val="clear" w:color="auto" w:fill="auto"/>
                        <w:bidi w:val="0"/>
                        <w:spacing w:before="0" w:after="160" w:line="240" w:lineRule="auto"/>
                        <w:ind w:left="0" w:right="0" w:firstLine="0"/>
                        <w:jc w:val="left"/>
                      </w:pPr>
                      <w:r>
                        <w:rPr>
                          <w:b/>
                          <w:bCs/>
                          <w:color w:val="000000"/>
                          <w:spacing w:val="0"/>
                          <w:w w:val="100"/>
                          <w:position w:val="0"/>
                          <w:shd w:val="clear" w:color="auto" w:fill="auto"/>
                          <w:lang w:val="en-US" w:eastAsia="en-US" w:bidi="en-US"/>
                        </w:rPr>
                        <w:t>Membrii Comisiei:</w:t>
                      </w:r>
                    </w:p>
                  </w:txbxContent>
                </v:textbox>
                <w10:wrap type="square" side="right" anchorx="page"/>
              </v:shape>
            </w:pict>
          </mc:Fallback>
        </mc:AlternateContent>
      </w:r>
      <w:r>
        <w:rPr>
          <w:color w:val="000000"/>
          <w:spacing w:val="0"/>
          <w:w w:val="100"/>
          <w:position w:val="0"/>
          <w:shd w:val="clear" w:color="auto" w:fill="auto"/>
          <w:lang w:val="en-US" w:eastAsia="en-US" w:bidi="en-US"/>
        </w:rPr>
        <w:t>I.S.</w:t>
        <w:tab/>
        <w:t>„Calea Ferata din Moldova”.</w:t>
      </w:r>
    </w:p>
    <w:p>
      <w:pPr>
        <w:pStyle w:val="Style17"/>
        <w:keepNext w:val="0"/>
        <w:keepLines w:val="0"/>
        <w:widowControl w:val="0"/>
        <w:shd w:val="clear" w:color="auto" w:fill="auto"/>
        <w:bidi w:val="0"/>
        <w:spacing w:before="0" w:after="0" w:line="360" w:lineRule="auto"/>
        <w:ind w:left="2900" w:right="0" w:firstLine="20"/>
        <w:jc w:val="left"/>
      </w:pPr>
      <w:r>
        <w:rPr>
          <w:b/>
          <w:bCs/>
          <w:color w:val="000000"/>
          <w:spacing w:val="0"/>
          <w:w w:val="100"/>
          <w:position w:val="0"/>
          <w:shd w:val="clear" w:color="auto" w:fill="auto"/>
          <w:lang w:val="en-US" w:eastAsia="en-US" w:bidi="en-US"/>
        </w:rPr>
        <w:t>Oleg LIPSKII Angel AGACHE Corneliu PADNEVICI Alexandru JOLNACI Nicolae PASCARU Petru FRUNZE Radu MARIAN Alexandru SLUSARI Ion LEUCA</w:t>
      </w:r>
    </w:p>
    <w:p>
      <w:pPr>
        <w:pStyle w:val="Style17"/>
        <w:keepNext w:val="0"/>
        <w:keepLines w:val="0"/>
        <w:widowControl w:val="0"/>
        <w:shd w:val="clear" w:color="auto" w:fill="auto"/>
        <w:bidi w:val="0"/>
        <w:spacing w:before="0" w:after="240" w:line="360" w:lineRule="auto"/>
        <w:ind w:left="7100" w:right="0" w:firstLine="0"/>
        <w:jc w:val="left"/>
        <w:sectPr>
          <w:headerReference w:type="default" r:id="rId36"/>
          <w:footerReference w:type="default" r:id="rId37"/>
          <w:headerReference w:type="first" r:id="rId38"/>
          <w:footerReference w:type="first" r:id="rId39"/>
          <w:footnotePr>
            <w:pos w:val="pageBottom"/>
            <w:numFmt w:val="decimal"/>
            <w:numStart w:val="8"/>
            <w:numRestart w:val="continuous"/>
            <w15:footnoteColumns w:val="1"/>
          </w:footnotePr>
          <w:pgSz w:w="11900" w:h="16840"/>
          <w:pgMar w:top="578" w:left="1162" w:right="457" w:bottom="823" w:header="0" w:footer="3" w:gutter="0"/>
          <w:cols w:space="720"/>
          <w:noEndnote/>
          <w:titlePg/>
          <w:rtlGutter w:val="0"/>
          <w:docGrid w:linePitch="360"/>
        </w:sectPr>
      </w:pPr>
      <w:r>
        <w:rPr>
          <w:b/>
          <w:bCs/>
          <w:color w:val="000000"/>
          <w:spacing w:val="0"/>
          <w:w w:val="100"/>
          <w:position w:val="0"/>
          <w:shd w:val="clear" w:color="auto" w:fill="auto"/>
          <w:lang w:val="en-US" w:eastAsia="en-US" w:bidi="en-US"/>
        </w:rPr>
        <w:t>Igor HIMICI</w:t>
      </w:r>
    </w:p>
    <w:p>
      <w:pPr>
        <w:pStyle w:val="Style77"/>
        <w:keepNext w:val="0"/>
        <w:keepLines w:val="0"/>
        <w:widowControl w:val="0"/>
        <w:shd w:val="clear" w:color="auto" w:fill="auto"/>
        <w:bidi w:val="0"/>
        <w:spacing w:before="0" w:line="240" w:lineRule="auto"/>
        <w:ind w:firstLine="0"/>
        <w:jc w:val="right"/>
      </w:pPr>
      <w:r>
        <w:rPr>
          <w:color w:val="000000"/>
          <w:spacing w:val="0"/>
          <w:w w:val="100"/>
          <w:position w:val="0"/>
          <w:shd w:val="clear" w:color="auto" w:fill="auto"/>
          <w:lang w:val="en-US" w:eastAsia="en-US" w:bidi="en-US"/>
        </w:rPr>
        <w:t xml:space="preserve">Anexa </w:t>
      </w:r>
      <w:r>
        <w:rPr>
          <w:color w:val="000000"/>
          <w:spacing w:val="0"/>
          <w:w w:val="100"/>
          <w:position w:val="0"/>
          <w:shd w:val="clear" w:color="auto" w:fill="auto"/>
          <w:lang w:val="ru-RU" w:eastAsia="ru-RU" w:bidi="ru-RU"/>
        </w:rPr>
        <w:t xml:space="preserve">1 </w:t>
      </w:r>
      <w:r>
        <w:rPr>
          <w:color w:val="000000"/>
          <w:spacing w:val="0"/>
          <w:w w:val="100"/>
          <w:position w:val="0"/>
          <w:shd w:val="clear" w:color="auto" w:fill="auto"/>
          <w:lang w:val="en-US" w:eastAsia="en-US" w:bidi="en-US"/>
        </w:rPr>
        <w:t>la Raportul Comisiei de ancheta privind analiza situatiei economico-financiare de la I.S. ,,Calea Ferata din Moldova” si rezultatul activitatii ramurii de transport feroviar pentru perioada 2010-2020</w:t>
      </w:r>
    </w:p>
    <w:p>
      <w:pPr>
        <w:pStyle w:val="Style80"/>
        <w:keepNext w:val="0"/>
        <w:keepLines w:val="0"/>
        <w:widowControl w:val="0"/>
        <w:shd w:val="clear" w:color="auto" w:fill="auto"/>
        <w:bidi w:val="0"/>
        <w:spacing w:before="0" w:line="240" w:lineRule="auto"/>
        <w:ind w:left="0" w:right="0" w:firstLine="0"/>
        <w:jc w:val="center"/>
      </w:pPr>
      <w:r>
        <w:rPr>
          <w:b/>
          <w:bCs/>
          <w:color w:val="000000"/>
          <w:spacing w:val="0"/>
          <w:w w:val="100"/>
          <w:position w:val="0"/>
          <w:sz w:val="24"/>
          <w:szCs w:val="24"/>
          <w:shd w:val="clear" w:color="auto" w:fill="auto"/>
          <w:lang w:val="en-US" w:eastAsia="en-US" w:bidi="en-US"/>
        </w:rPr>
        <w:t>Suma aproximativa a prejudiciilor</w:t>
      </w:r>
    </w:p>
    <w:tbl>
      <w:tblPr>
        <w:tblOverlap w:val="never"/>
        <w:jc w:val="center"/>
        <w:tblLayout w:type="fixed"/>
      </w:tblPr>
      <w:tblGrid>
        <w:gridCol w:w="619"/>
        <w:gridCol w:w="2827"/>
        <w:gridCol w:w="9701"/>
        <w:gridCol w:w="2170"/>
      </w:tblGrid>
      <w:tr>
        <w:trPr>
          <w:trHeight w:val="566" w:hRule="exact"/>
        </w:trPr>
        <w:tc>
          <w:tcPr>
            <w:tcBorders>
              <w:top w:val="single" w:sz="4"/>
              <w:left w:val="single" w:sz="4"/>
            </w:tcBorders>
            <w:shd w:val="clear" w:color="auto" w:fill="B3C6E6"/>
            <w:vAlign w:val="top"/>
          </w:tcPr>
          <w:p>
            <w:pPr>
              <w:pStyle w:val="Style9"/>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en-US" w:eastAsia="en-US" w:bidi="en-US"/>
              </w:rPr>
              <w:t>r.</w:t>
            </w:r>
          </w:p>
        </w:tc>
        <w:tc>
          <w:tcPr>
            <w:tcBorders>
              <w:top w:val="single" w:sz="4"/>
              <w:left w:val="single" w:sz="4"/>
            </w:tcBorders>
            <w:shd w:val="clear" w:color="auto" w:fill="B3C6E6"/>
            <w:vAlign w:val="top"/>
          </w:tcPr>
          <w:p>
            <w:pPr>
              <w:pStyle w:val="Style9"/>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en-US" w:eastAsia="en-US" w:bidi="en-US"/>
              </w:rPr>
              <w:t>Tip deficienta/deficiente</w:t>
            </w:r>
          </w:p>
        </w:tc>
        <w:tc>
          <w:tcPr>
            <w:tcBorders>
              <w:top w:val="single" w:sz="4"/>
              <w:left w:val="single" w:sz="4"/>
            </w:tcBorders>
            <w:shd w:val="clear" w:color="auto" w:fill="B3C6E6"/>
            <w:vAlign w:val="top"/>
          </w:tcPr>
          <w:p>
            <w:pPr>
              <w:pStyle w:val="Style9"/>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en-US" w:eastAsia="en-US" w:bidi="en-US"/>
              </w:rPr>
              <w:t>Deficienta/Actul prin care s-a constat</w:t>
            </w:r>
          </w:p>
        </w:tc>
        <w:tc>
          <w:tcPr>
            <w:tcBorders>
              <w:top w:val="single" w:sz="4"/>
              <w:left w:val="single" w:sz="4"/>
              <w:right w:val="single" w:sz="4"/>
            </w:tcBorders>
            <w:shd w:val="clear" w:color="auto" w:fill="B3C6E6"/>
            <w:vAlign w:val="bottom"/>
          </w:tcPr>
          <w:p>
            <w:pPr>
              <w:pStyle w:val="Style9"/>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en-US" w:eastAsia="en-US" w:bidi="en-US"/>
              </w:rPr>
              <w:t>Suma aprox. a prejudiciilor</w:t>
            </w:r>
          </w:p>
        </w:tc>
      </w:tr>
      <w:tr>
        <w:trPr>
          <w:trHeight w:val="283"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en-US" w:eastAsia="en-US" w:bidi="en-US"/>
              </w:rPr>
              <w:t>I.</w:t>
            </w:r>
          </w:p>
        </w:tc>
        <w:tc>
          <w:tcPr>
            <w:gridSpan w:val="3"/>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24"/>
                <w:szCs w:val="24"/>
              </w:rPr>
            </w:pPr>
            <w:r>
              <w:rPr>
                <w:b/>
                <w:bCs/>
                <w:color w:val="000000"/>
                <w:spacing w:val="0"/>
                <w:w w:val="100"/>
                <w:position w:val="0"/>
                <w:sz w:val="24"/>
                <w:szCs w:val="24"/>
                <w:shd w:val="clear" w:color="auto" w:fill="auto"/>
                <w:lang w:val="en-US" w:eastAsia="en-US" w:bidi="en-US"/>
              </w:rPr>
              <w:t>Administrare deficienta</w:t>
            </w:r>
          </w:p>
        </w:tc>
      </w:tr>
      <w:tr>
        <w:trPr>
          <w:trHeight w:val="2539" w:hRule="exact"/>
        </w:trPr>
        <w:tc>
          <w:tcPr>
            <w:vMerge w:val="restart"/>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220"/>
              <w:jc w:val="left"/>
              <w:rPr>
                <w:sz w:val="20"/>
                <w:szCs w:val="20"/>
              </w:rPr>
            </w:pPr>
            <w:r>
              <w:rPr>
                <w:color w:val="000000"/>
                <w:spacing w:val="0"/>
                <w:w w:val="100"/>
                <w:position w:val="0"/>
                <w:sz w:val="20"/>
                <w:szCs w:val="20"/>
                <w:shd w:val="clear" w:color="auto" w:fill="auto"/>
                <w:lang w:val="en-US" w:eastAsia="en-US" w:bidi="en-US"/>
              </w:rPr>
              <w:t>1.</w:t>
            </w:r>
          </w:p>
        </w:tc>
        <w:tc>
          <w:tcPr>
            <w:vMerge w:val="restart"/>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Administrarea deficienta a fondurilor din contractele de credit incheiate cu BERD (52,5 mil. EURO) §i BEI (50 mil. EURO) si trei acorduri de grant cu UE (6,75 mil. EURO).</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22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Implementarea proiectului este in intarziere semnificativa/ Hotararea Curtii de Conturi nr. 68 din 17 decembrie 2020 Din cauza trecerilor frecvente peste termenele stabilite initial pentru Implementarea componentelor /programului de achizitii/ rezultatelor intermediare ale proiectului, perioada de gratie de trei ani la contractul de credit (incheiat cu BERD) a fost depasita cu usurinta, iar I.S. „CFM” a intrat in etapa de rambursare a transelor la imprumut fara a incasa beneficii din investitiile efectuate pentru procurarea locomotivelor, precum si din urma proiectarii si reabilitarii infrastructurii feroviare (reabilitarea liniilor ferate)./ Hotararea Curtii de Conturi nr. 68 din 17 decembrie 2020</w:t>
            </w:r>
          </w:p>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Totodata, se atesta ca unele livrabile / conditionalitati de reformare a I.S. „CFM”, impuse de finantatori si indeplinite in intregime de intreprindere, in perioada 2015 - 2017, nu au fost sustenabile in timp, afectand in acest fel randamentul investitiilor efectuate in valoare totala de 292,0 mii EURO. / Hotararea Curtii de Conturi nr. 68 din 17 decembrie 2020</w:t>
            </w:r>
          </w:p>
        </w:tc>
        <w:tc>
          <w:tcPr>
            <w:tcBorders>
              <w:top w:val="single" w:sz="4"/>
              <w:left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w:t>
            </w:r>
          </w:p>
        </w:tc>
      </w:tr>
      <w:tr>
        <w:trPr>
          <w:trHeight w:val="240"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Total</w:t>
            </w:r>
          </w:p>
        </w:tc>
        <w:tc>
          <w:tcPr>
            <w:tcBorders>
              <w:top w:val="single" w:sz="4"/>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w:t>
            </w:r>
          </w:p>
        </w:tc>
      </w:tr>
      <w:tr>
        <w:trPr>
          <w:trHeight w:val="2314" w:hRule="exact"/>
        </w:trPr>
        <w:tc>
          <w:tcPr>
            <w:vMerge w:val="restart"/>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220"/>
              <w:jc w:val="left"/>
              <w:rPr>
                <w:sz w:val="20"/>
                <w:szCs w:val="20"/>
              </w:rPr>
            </w:pPr>
            <w:r>
              <w:rPr>
                <w:color w:val="000000"/>
                <w:spacing w:val="0"/>
                <w:w w:val="100"/>
                <w:position w:val="0"/>
                <w:sz w:val="20"/>
                <w:szCs w:val="20"/>
                <w:shd w:val="clear" w:color="auto" w:fill="auto"/>
                <w:lang w:val="en-US" w:eastAsia="en-US" w:bidi="en-US"/>
              </w:rPr>
              <w:t>2.</w:t>
            </w:r>
          </w:p>
        </w:tc>
        <w:tc>
          <w:tcPr>
            <w:vMerge w:val="restart"/>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Utilizare deficienta a combustibilului</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22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achizitie sistem automatizat de control si verificare (44 unitati) „DELTA-SU” neutilizat/ Actul Inspectiei Financiare din 08.11.2019</w:t>
            </w:r>
          </w:p>
          <w:p>
            <w:pPr>
              <w:pStyle w:val="Style9"/>
              <w:keepNext w:val="0"/>
              <w:keepLines w:val="0"/>
              <w:widowControl w:val="0"/>
              <w:shd w:val="clear" w:color="auto" w:fill="auto"/>
              <w:bidi w:val="0"/>
              <w:spacing w:before="0" w:after="0" w:line="480" w:lineRule="auto"/>
              <w:ind w:left="0" w:right="0" w:firstLine="0"/>
              <w:jc w:val="left"/>
              <w:rPr>
                <w:sz w:val="20"/>
                <w:szCs w:val="20"/>
              </w:rPr>
            </w:pPr>
            <w:r>
              <w:rPr>
                <w:color w:val="000000"/>
                <w:spacing w:val="0"/>
                <w:w w:val="100"/>
                <w:position w:val="0"/>
                <w:sz w:val="20"/>
                <w:szCs w:val="20"/>
                <w:shd w:val="clear" w:color="auto" w:fill="auto"/>
                <w:lang w:val="en-US" w:eastAsia="en-US" w:bidi="en-US"/>
              </w:rPr>
              <w:t>cheltuieli motorina supra norma/ Actul Inspectiei Financiare din 08.11.2019</w:t>
            </w:r>
          </w:p>
          <w:p>
            <w:pPr>
              <w:pStyle w:val="Style9"/>
              <w:keepNext w:val="0"/>
              <w:keepLines w:val="0"/>
              <w:widowControl w:val="0"/>
              <w:shd w:val="clear" w:color="auto" w:fill="auto"/>
              <w:bidi w:val="0"/>
              <w:spacing w:before="0" w:after="100" w:line="480" w:lineRule="auto"/>
              <w:ind w:left="0" w:right="0" w:firstLine="0"/>
              <w:jc w:val="left"/>
              <w:rPr>
                <w:sz w:val="20"/>
                <w:szCs w:val="20"/>
              </w:rPr>
            </w:pPr>
            <w:r>
              <w:rPr>
                <w:color w:val="000000"/>
                <w:spacing w:val="0"/>
                <w:w w:val="100"/>
                <w:position w:val="0"/>
                <w:sz w:val="20"/>
                <w:szCs w:val="20"/>
                <w:shd w:val="clear" w:color="auto" w:fill="auto"/>
                <w:lang w:val="en-US" w:eastAsia="en-US" w:bidi="en-US"/>
              </w:rPr>
              <w:t xml:space="preserve">supraconsum de carburanti si lubrifianti pentru anul 2018/ Hotararea Curtii de Conturi nr. 68 din 17 decembrie 2020 supraconsum de carburanti si lubrifianti pentru anul 2018/ Hotararii Curtii de Conturi nr. 68 din 17 decembrie 2020 posibil prejudiciu din sustragerea motorinei </w:t>
            </w:r>
            <w:r>
              <w:rPr>
                <w:color w:val="000000"/>
                <w:spacing w:val="0"/>
                <w:w w:val="100"/>
                <w:position w:val="0"/>
                <w:sz w:val="20"/>
                <w:szCs w:val="20"/>
                <w:shd w:val="clear" w:color="auto" w:fill="auto"/>
                <w:lang w:val="ru-RU" w:eastAsia="ru-RU" w:bidi="ru-RU"/>
              </w:rPr>
              <w:t xml:space="preserve">(2018-2019)/ / </w:t>
            </w:r>
            <w:r>
              <w:rPr>
                <w:color w:val="000000"/>
                <w:spacing w:val="0"/>
                <w:w w:val="100"/>
                <w:position w:val="0"/>
                <w:sz w:val="20"/>
                <w:szCs w:val="20"/>
                <w:shd w:val="clear" w:color="auto" w:fill="auto"/>
                <w:lang w:val="en-US" w:eastAsia="en-US" w:bidi="en-US"/>
              </w:rPr>
              <w:t>Hotararea Curtii de Conturi nr. 68 din 17 decembrie 2020</w:t>
            </w:r>
          </w:p>
        </w:tc>
        <w:tc>
          <w:tcPr>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46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5,126 mil. lei</w:t>
            </w:r>
          </w:p>
          <w:p>
            <w:pPr>
              <w:pStyle w:val="Style9"/>
              <w:keepNext w:val="0"/>
              <w:keepLines w:val="0"/>
              <w:widowControl w:val="0"/>
              <w:shd w:val="clear" w:color="auto" w:fill="auto"/>
              <w:bidi w:val="0"/>
              <w:spacing w:before="0" w:after="22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4,556 mil. lei</w:t>
            </w:r>
          </w:p>
          <w:p>
            <w:pPr>
              <w:pStyle w:val="Style9"/>
              <w:keepNext w:val="0"/>
              <w:keepLines w:val="0"/>
              <w:widowControl w:val="0"/>
              <w:shd w:val="clear" w:color="auto" w:fill="auto"/>
              <w:bidi w:val="0"/>
              <w:spacing w:before="0" w:after="22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5,974 mil. lei</w:t>
            </w:r>
          </w:p>
          <w:p>
            <w:pPr>
              <w:pStyle w:val="Style9"/>
              <w:keepNext w:val="0"/>
              <w:keepLines w:val="0"/>
              <w:widowControl w:val="0"/>
              <w:shd w:val="clear" w:color="auto" w:fill="auto"/>
              <w:bidi w:val="0"/>
              <w:spacing w:before="0" w:after="22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4,954 mil. lei</w:t>
            </w:r>
          </w:p>
          <w:p>
            <w:pPr>
              <w:pStyle w:val="Style9"/>
              <w:keepNext w:val="0"/>
              <w:keepLines w:val="0"/>
              <w:widowControl w:val="0"/>
              <w:shd w:val="clear" w:color="auto" w:fill="auto"/>
              <w:bidi w:val="0"/>
              <w:spacing w:before="0" w:after="22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2,297 mil. lei</w:t>
            </w:r>
          </w:p>
        </w:tc>
      </w:tr>
      <w:tr>
        <w:trPr>
          <w:trHeight w:val="298"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Total</w:t>
            </w:r>
          </w:p>
        </w:tc>
        <w:tc>
          <w:tcPr>
            <w:tcBorders>
              <w:top w:val="single" w:sz="4"/>
              <w:left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22,907 mil. lei</w:t>
            </w:r>
          </w:p>
        </w:tc>
      </w:tr>
      <w:tr>
        <w:trPr>
          <w:trHeight w:val="470" w:hRule="exact"/>
        </w:trPr>
        <w:tc>
          <w:tcPr>
            <w:vMerge w:val="restart"/>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w:t>
            </w:r>
          </w:p>
        </w:tc>
        <w:tc>
          <w:tcPr>
            <w:vMerge w:val="restart"/>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Nedelimitarea si neinregistrarea deplina a drepturilor asupra bunurilor</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instrainarea de catre autoritatile administratiei publice locale ale or. Ungheni catre alti agenti economic/ Hotararii Curtii de Conturi nr. 31 din 8 august 2011 si Demersul Serviciului de Informatii si Securitate</w:t>
            </w:r>
          </w:p>
        </w:tc>
        <w:tc>
          <w:tcPr>
            <w:tcBorders>
              <w:top w:val="single" w:sz="4"/>
              <w:left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w:t>
            </w:r>
          </w:p>
        </w:tc>
      </w:tr>
      <w:tr>
        <w:trPr>
          <w:trHeight w:val="480" w:hRule="exact"/>
        </w:trPr>
        <w:tc>
          <w:tcPr>
            <w:vMerge/>
            <w:tcBorders>
              <w:left w:val="single" w:sz="4"/>
              <w:bottom w:val="single" w:sz="4"/>
            </w:tcBorders>
            <w:shd w:val="clear" w:color="auto" w:fill="FFFFFF"/>
            <w:vAlign w:val="top"/>
          </w:tcPr>
          <w:p>
            <w:pPr/>
          </w:p>
        </w:tc>
        <w:tc>
          <w:tcPr>
            <w:vMerge/>
            <w:tcBorders>
              <w:left w:val="single" w:sz="4"/>
              <w:bottom w:val="single" w:sz="4"/>
            </w:tcBorders>
            <w:shd w:val="clear" w:color="auto" w:fill="FFFFFF"/>
            <w:vAlign w:val="top"/>
          </w:tcPr>
          <w:p>
            <w:pPr/>
          </w:p>
        </w:tc>
        <w:tc>
          <w:tcPr>
            <w:tcBorders>
              <w:top w:val="single" w:sz="4"/>
              <w:left w:val="single" w:sz="4"/>
              <w:bottom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Total</w:t>
            </w:r>
          </w:p>
        </w:tc>
        <w:tc>
          <w:tcPr>
            <w:tcBorders>
              <w:top w:val="single" w:sz="4"/>
              <w:left w:val="single" w:sz="4"/>
              <w:bottom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w:t>
            </w:r>
          </w:p>
        </w:tc>
      </w:tr>
    </w:tbl>
    <w:p>
      <w:pPr>
        <w:spacing w:lineRule="exact" w:line="1"/>
        <w:rPr>
          <w:sz w:val="2"/>
          <w:szCs w:val="2"/>
        </w:rPr>
      </w:pPr>
      <w:r>
        <w:br w:type="page"/>
      </w:r>
    </w:p>
    <w:tbl>
      <w:tblPr>
        <w:tblOverlap w:val="never"/>
        <w:jc w:val="center"/>
        <w:tblLayout w:type="fixed"/>
      </w:tblPr>
      <w:tblGrid>
        <w:gridCol w:w="619"/>
        <w:gridCol w:w="2827"/>
        <w:gridCol w:w="9701"/>
        <w:gridCol w:w="2170"/>
      </w:tblGrid>
      <w:tr>
        <w:trPr>
          <w:trHeight w:val="590" w:hRule="exact"/>
        </w:trPr>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4.</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Obiecte nefinalizate/ executate necalitativ</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La situatia din 01.08.2010, valoarea lucrarilor executate la constructia liniei de cale ferata „Cahul-Giurgiulesti” a insumat 502,3 mil.lei, constructia obiectului nefiind finalizata./Hotararea Curtii de Conturi nr. 2 din 14.01.2011</w:t>
            </w:r>
          </w:p>
        </w:tc>
        <w:tc>
          <w:tcPr>
            <w:tcBorders>
              <w:top w:val="single" w:sz="4"/>
              <w:left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w:t>
            </w:r>
          </w:p>
        </w:tc>
      </w:tr>
      <w:tr>
        <w:trPr>
          <w:trHeight w:val="595"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Conform Hotararii Curtii de Conturi nr. 8 din 26 martie 2018:</w:t>
            </w:r>
          </w:p>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 in 9 cazuri (45%) intreprinderea nu dispune de documente justificative care ar argumenta volumele lucrarilor de</w:t>
            </w:r>
          </w:p>
        </w:tc>
        <w:tc>
          <w:tcPr>
            <w:tcBorders>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32,1 mil. lei</w:t>
            </w:r>
          </w:p>
        </w:tc>
      </w:tr>
      <w:tr>
        <w:trPr>
          <w:trHeight w:val="1373"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constructii, montaj si ale celor de proiectare in suma totala de 32,1 mil.lei;</w:t>
            </w:r>
          </w:p>
          <w:p>
            <w:pPr>
              <w:pStyle w:val="Style9"/>
              <w:keepNext w:val="0"/>
              <w:keepLines w:val="0"/>
              <w:widowControl w:val="0"/>
              <w:numPr>
                <w:ilvl w:val="0"/>
                <w:numId w:val="55"/>
              </w:numPr>
              <w:shd w:val="clear" w:color="auto" w:fill="auto"/>
              <w:tabs>
                <w:tab w:pos="120" w:val="left"/>
              </w:tabs>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pentru 40 de obiecte in suma totala de 26,3 mil.lei, a decazut necesitatea finalizarii lor, ceea ce denota o utilizare ineficienta a mijloacelor financiare, cuprinzand si cele 25 de obiecte in suma totala de 1, 3 mil. lei, la elaborarea proiectelor, care sunt deja depasite;</w:t>
            </w:r>
          </w:p>
          <w:p>
            <w:pPr>
              <w:pStyle w:val="Style9"/>
              <w:keepNext w:val="0"/>
              <w:keepLines w:val="0"/>
              <w:widowControl w:val="0"/>
              <w:numPr>
                <w:ilvl w:val="0"/>
                <w:numId w:val="55"/>
              </w:numPr>
              <w:shd w:val="clear" w:color="auto" w:fill="auto"/>
              <w:tabs>
                <w:tab w:pos="120" w:val="left"/>
              </w:tabs>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pentru 2 obiecte, desi au fost efectuate investitii capitale in suma totala de 6,3 mil.lei, pana in prezent nu au fost intocmite actele de receptie finala (fiind argumentat prin calitatea redusa a lucrarilor efectuate), si ca rezultat acestea</w:t>
            </w:r>
          </w:p>
        </w:tc>
        <w:tc>
          <w:tcPr>
            <w:tcBorders>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26,3 mil.lei</w:t>
            </w:r>
          </w:p>
        </w:tc>
      </w:tr>
      <w:tr>
        <w:trPr>
          <w:trHeight w:val="221"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pe parcursul a 15 ani nu au fost transmise beneficiarului;</w:t>
            </w:r>
          </w:p>
        </w:tc>
        <w:tc>
          <w:tcPr>
            <w:tcBorders>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6,3 mil.lei</w:t>
            </w:r>
          </w:p>
        </w:tc>
      </w:tr>
      <w:tr>
        <w:trPr>
          <w:trHeight w:val="1392"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9"/>
              <w:keepNext w:val="0"/>
              <w:keepLines w:val="0"/>
              <w:widowControl w:val="0"/>
              <w:numPr>
                <w:ilvl w:val="0"/>
                <w:numId w:val="57"/>
              </w:numPr>
              <w:shd w:val="clear" w:color="auto" w:fill="auto"/>
              <w:tabs>
                <w:tab w:pos="130" w:val="left"/>
              </w:tabs>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Constructia liniei de cale ferata Cahul-Giurgiulesti nu este finalizata, insa se exploateaza pentru testare (doar pentru transportul feroviar de marfuri) si necesita investitii suplimentare pentru finalizarea ei. Insuficienta mijloacelor financiare pentru constructia tronsonului Cahul-Giurgiulesti a conditionat imposibilitatea continuarii si finalizarii constructiei, fapt ce pericliteaza siguranta transportului feroviar;</w:t>
            </w:r>
          </w:p>
          <w:p>
            <w:pPr>
              <w:pStyle w:val="Style9"/>
              <w:keepNext w:val="0"/>
              <w:keepLines w:val="0"/>
              <w:widowControl w:val="0"/>
              <w:numPr>
                <w:ilvl w:val="0"/>
                <w:numId w:val="57"/>
              </w:numPr>
              <w:shd w:val="clear" w:color="auto" w:fill="auto"/>
              <w:tabs>
                <w:tab w:pos="125" w:val="left"/>
              </w:tabs>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din 650,6 mii traverse din beton armat produse la Uzina de traverse din Balti din cadrul intreprinderii au fost identificate 45,9 mii traverse defectate, fapt ce nu asigura eficienta si eficacitatea mijloacelor investite. Costurile de</w:t>
            </w:r>
          </w:p>
        </w:tc>
        <w:tc>
          <w:tcPr>
            <w:tcBorders>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vertAlign w:val="subscript"/>
                <w:lang w:val="en-US" w:eastAsia="en-US" w:bidi="en-US"/>
              </w:rPr>
              <w:t>*</w:t>
            </w:r>
          </w:p>
        </w:tc>
      </w:tr>
      <w:tr>
        <w:trPr>
          <w:trHeight w:val="902"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productie a unei traverse au constituit cca 900 lei, pe cand pretul de cumparare de la alti producatori specializati este de cca 560 lei. Tinand cont de cele relatate, Consiliul de administrate a decis in anul 2015 conservarea Uzinei de traverse din Balti./ Hotararea Curtii de Conturi nr. 8 din 26 martie 2018</w:t>
            </w:r>
          </w:p>
        </w:tc>
        <w:tc>
          <w:tcPr>
            <w:tcBorders>
              <w:left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vertAlign w:val="subscript"/>
                <w:lang w:val="en-US" w:eastAsia="en-US" w:bidi="en-US"/>
              </w:rPr>
              <w:t>*</w:t>
            </w:r>
          </w:p>
        </w:tc>
      </w:tr>
      <w:tr>
        <w:trPr>
          <w:trHeight w:val="288"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Total</w:t>
            </w:r>
          </w:p>
        </w:tc>
        <w:tc>
          <w:tcPr>
            <w:tcBorders>
              <w:top w:val="single" w:sz="4"/>
              <w:left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64,7 mil. lei</w:t>
            </w:r>
          </w:p>
        </w:tc>
      </w:tr>
      <w:tr>
        <w:trPr>
          <w:trHeight w:val="250" w:hRule="exact"/>
        </w:trPr>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5.</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Active materiale neutilizate mai</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Sunt admise soldurilor de active materiale neutilizate in procesul tehnologic in cantitati mari pe o perioada</w:t>
            </w:r>
          </w:p>
        </w:tc>
        <w:tc>
          <w:tcPr>
            <w:tcBorders>
              <w:top w:val="single" w:sz="4"/>
              <w:left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w:t>
            </w:r>
          </w:p>
        </w:tc>
      </w:tr>
      <w:tr>
        <w:trPr>
          <w:trHeight w:val="470"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mult de 10 ani (stocuri prea mari, vechi)</w:t>
            </w:r>
          </w:p>
        </w:tc>
        <w:tc>
          <w:tcPr>
            <w:tcBorders>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indelungata (piese de schimb -11,5 mil.lei)/Hotararea Curtii de Conturi nr. 31 din 8 august 2011</w:t>
            </w:r>
          </w:p>
        </w:tc>
        <w:tc>
          <w:tcPr>
            <w:tcBorders>
              <w:left w:val="single" w:sz="4"/>
              <w:right w:val="single" w:sz="4"/>
            </w:tcBorders>
            <w:shd w:val="clear" w:color="auto" w:fill="FFFFFF"/>
            <w:vAlign w:val="top"/>
          </w:tcPr>
          <w:p>
            <w:pPr>
              <w:widowControl w:val="0"/>
              <w:rPr>
                <w:sz w:val="10"/>
                <w:szCs w:val="10"/>
              </w:rPr>
            </w:pPr>
          </w:p>
        </w:tc>
      </w:tr>
      <w:tr>
        <w:trPr>
          <w:trHeight w:val="902"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stocuri de marfuri si materiale procurate inca din anii 1980, in suma de 17,1 mil.lei, care sunt depasite, atat ca durata de utilizare/exploatare, cat si ca utilitate</w:t>
            </w:r>
          </w:p>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Din stocurile detinute la sfarsitul anului 2016 in valoare totala de 286,0 mil.lei, 42,2 mil.lei se afla in stanga Nistrului, asupra carora intreprinderea nu detine controlul/ Hotararea Curtii de Conturi nr. 8 din 26 martie 2018</w:t>
            </w:r>
          </w:p>
        </w:tc>
        <w:tc>
          <w:tcPr>
            <w:tcBorders>
              <w:left w:val="single" w:sz="4"/>
              <w:right w:val="single" w:sz="4"/>
            </w:tcBorders>
            <w:shd w:val="clear" w:color="auto" w:fill="FFFFFF"/>
            <w:vAlign w:val="top"/>
          </w:tcPr>
          <w:p>
            <w:pPr>
              <w:widowControl w:val="0"/>
              <w:rPr>
                <w:sz w:val="10"/>
                <w:szCs w:val="10"/>
              </w:rPr>
            </w:pPr>
          </w:p>
        </w:tc>
      </w:tr>
      <w:tr>
        <w:trPr>
          <w:trHeight w:val="240"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Total</w:t>
            </w:r>
          </w:p>
        </w:tc>
        <w:tc>
          <w:tcPr>
            <w:tcBorders>
              <w:top w:val="single" w:sz="4"/>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w:t>
            </w:r>
          </w:p>
        </w:tc>
      </w:tr>
      <w:tr>
        <w:trPr>
          <w:trHeight w:val="245"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6.</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Cheltuieli neintemeiate,</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la data de 23.12.2014, I.S. „CFM” a incheiat contractul de asistenta juridica cu Biroul asociat de avocati „Popa &amp;</w:t>
            </w:r>
          </w:p>
        </w:tc>
        <w:tc>
          <w:tcPr>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0,2 mil. lei</w:t>
            </w:r>
          </w:p>
        </w:tc>
      </w:tr>
      <w:tr>
        <w:trPr>
          <w:trHeight w:val="235"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neregulamentare si lipsa</w:t>
            </w:r>
          </w:p>
        </w:tc>
        <w:tc>
          <w:tcPr>
            <w:tcBorders>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Asociatii. Astfel, in perioada anului 2015, in lipsa actelor de acordare a serviciilor, contabilitatea I.S. „CFM” a atribuit</w:t>
            </w:r>
          </w:p>
        </w:tc>
        <w:tc>
          <w:tcPr>
            <w:tcBorders>
              <w:left w:val="single" w:sz="4"/>
              <w:right w:val="single" w:sz="4"/>
            </w:tcBorders>
            <w:shd w:val="clear" w:color="auto" w:fill="FFFFFF"/>
            <w:vAlign w:val="top"/>
          </w:tcPr>
          <w:p>
            <w:pPr>
              <w:widowControl w:val="0"/>
              <w:rPr>
                <w:sz w:val="10"/>
                <w:szCs w:val="10"/>
              </w:rPr>
            </w:pPr>
          </w:p>
        </w:tc>
      </w:tr>
      <w:tr>
        <w:trPr>
          <w:trHeight w:val="346"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procedurilor de control intern.</w:t>
            </w:r>
          </w:p>
        </w:tc>
        <w:tc>
          <w:tcPr>
            <w:tcBorders>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la cheltuieli serviciile juridice acordate de Biroul asociat de avocati „Popa &amp; Asociatii” in suma de 203,7 mii lei.</w:t>
            </w:r>
          </w:p>
        </w:tc>
        <w:tc>
          <w:tcPr>
            <w:tcBorders>
              <w:left w:val="single" w:sz="4"/>
              <w:right w:val="single" w:sz="4"/>
            </w:tcBorders>
            <w:shd w:val="clear" w:color="auto" w:fill="FFFFFF"/>
            <w:vAlign w:val="top"/>
          </w:tcPr>
          <w:p>
            <w:pPr>
              <w:widowControl w:val="0"/>
              <w:rPr>
                <w:sz w:val="10"/>
                <w:szCs w:val="10"/>
              </w:rPr>
            </w:pPr>
          </w:p>
        </w:tc>
      </w:tr>
      <w:tr>
        <w:trPr>
          <w:trHeight w:val="802" w:hRule="exact"/>
        </w:trPr>
        <w:tc>
          <w:tcPr>
            <w:tcBorders>
              <w:left w:val="single" w:sz="4"/>
              <w:bottom w:val="single" w:sz="4"/>
            </w:tcBorders>
            <w:shd w:val="clear" w:color="auto" w:fill="FFFFFF"/>
            <w:vAlign w:val="top"/>
          </w:tcPr>
          <w:p>
            <w:pPr>
              <w:widowControl w:val="0"/>
              <w:rPr>
                <w:sz w:val="10"/>
                <w:szCs w:val="10"/>
              </w:rPr>
            </w:pPr>
          </w:p>
        </w:tc>
        <w:tc>
          <w:tcPr>
            <w:tcBorders>
              <w:left w:val="single" w:sz="4"/>
              <w:bottom w:val="single" w:sz="4"/>
            </w:tcBorders>
            <w:shd w:val="clear" w:color="auto" w:fill="FFFFFF"/>
            <w:vAlign w:val="top"/>
          </w:tcPr>
          <w:p>
            <w:pPr>
              <w:widowControl w:val="0"/>
              <w:rPr>
                <w:sz w:val="10"/>
                <w:szCs w:val="10"/>
              </w:rPr>
            </w:pPr>
          </w:p>
        </w:tc>
        <w:tc>
          <w:tcPr>
            <w:tcBorders>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 calcularea si achitarea neregulamentara a unor plati salariale in suma totala de 66,386 mil. lei, achitate in lipsa Regulamentului privind premierea angajatilor/Actul Inspectiei Financiare din 08.07.2016</w:t>
            </w:r>
          </w:p>
        </w:tc>
        <w:tc>
          <w:tcPr>
            <w:tcBorders>
              <w:left w:val="single" w:sz="4"/>
              <w:bottom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vertAlign w:val="subscript"/>
                <w:lang w:val="en-US" w:eastAsia="en-US" w:bidi="en-US"/>
              </w:rPr>
              <w:t>*</w:t>
            </w:r>
          </w:p>
        </w:tc>
      </w:tr>
    </w:tbl>
    <w:p>
      <w:pPr>
        <w:spacing w:lineRule="exact" w:line="1"/>
        <w:rPr>
          <w:sz w:val="2"/>
          <w:szCs w:val="2"/>
        </w:rPr>
      </w:pPr>
      <w:r>
        <w:br w:type="page"/>
      </w:r>
    </w:p>
    <w:tbl>
      <w:tblPr>
        <w:tblOverlap w:val="never"/>
        <w:jc w:val="center"/>
        <w:tblLayout w:type="fixed"/>
      </w:tblPr>
      <w:tblGrid>
        <w:gridCol w:w="624"/>
        <w:gridCol w:w="2822"/>
        <w:gridCol w:w="9701"/>
        <w:gridCol w:w="2170"/>
      </w:tblGrid>
      <w:tr>
        <w:trPr>
          <w:trHeight w:val="2083"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9"/>
              <w:keepNext w:val="0"/>
              <w:keepLines w:val="0"/>
              <w:widowControl w:val="0"/>
              <w:numPr>
                <w:ilvl w:val="0"/>
                <w:numId w:val="59"/>
              </w:numPr>
              <w:shd w:val="clear" w:color="auto" w:fill="auto"/>
              <w:tabs>
                <w:tab w:pos="115" w:val="left"/>
              </w:tabs>
              <w:bidi w:val="0"/>
              <w:spacing w:before="0" w:after="22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neinregistrarea integrala a drepturilor asupra bunurilor imobile, inclusiv asupra terenurilor aferente acestora, la organele cadastrale si in evidenta contabila, determina riscul neasigurarii integritatii patrimoniului public (541 de terenuri cu suprafata totala de 10358,90 ha, 3797 unitati de mijloace fixe cu valoarea de bilant de 103,6 mil. lei, amplasate pe teritoriul din stanga Nistrului, care de facto nu pot fi gestionate/ Actul Inspectiei Financiare din 08.07.2016</w:t>
            </w:r>
          </w:p>
          <w:p>
            <w:pPr>
              <w:pStyle w:val="Style9"/>
              <w:keepNext w:val="0"/>
              <w:keepLines w:val="0"/>
              <w:widowControl w:val="0"/>
              <w:numPr>
                <w:ilvl w:val="0"/>
                <w:numId w:val="59"/>
              </w:numPr>
              <w:shd w:val="clear" w:color="auto" w:fill="auto"/>
              <w:tabs>
                <w:tab w:pos="120" w:val="left"/>
              </w:tabs>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63 de raporturi contractuale cu locatiunea au decurs cu abateri de la angajamentele asumate de locatari si au generat dispute nesolutionate pana in prezent si creante compromise in valoare totala de 19,986 mil. lei/ Hotararea Curtii de Conturi nr. 68 din 17 decembrie 2020</w:t>
            </w:r>
          </w:p>
        </w:tc>
        <w:tc>
          <w:tcPr>
            <w:tcBorders>
              <w:top w:val="single" w:sz="4"/>
              <w:left w:val="single" w:sz="4"/>
              <w:right w:val="single" w:sz="4"/>
            </w:tcBorders>
            <w:shd w:val="clear" w:color="auto" w:fill="FFFFFF"/>
            <w:vAlign w:val="top"/>
          </w:tcPr>
          <w:p>
            <w:pPr>
              <w:pStyle w:val="Style9"/>
              <w:keepNext w:val="0"/>
              <w:keepLines w:val="0"/>
              <w:widowControl w:val="0"/>
              <w:shd w:val="clear" w:color="auto" w:fill="auto"/>
              <w:bidi w:val="0"/>
              <w:spacing w:before="0" w:after="120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w:t>
            </w:r>
          </w:p>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19,986 mil. lei</w:t>
            </w: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Total</w:t>
            </w:r>
          </w:p>
        </w:tc>
        <w:tc>
          <w:tcPr>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20,186</w:t>
            </w:r>
          </w:p>
        </w:tc>
      </w:tr>
      <w:tr>
        <w:trPr>
          <w:trHeight w:val="821" w:hRule="exact"/>
        </w:trPr>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7.</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Casari dubioase</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- 6 vagoane constatate ca lipsuri, de catre serviciul contabil n-au fost reflectate in evidenta contabila cu valoare de intrare in suma de 1,583 mil. lei, ceea ce a dus la denaturarea datelor contabile, precum si contabilizarea prejudiciului adus I.S. „CFM”./ Actul Inspectiei Financiare din 08.11.2019</w:t>
            </w:r>
          </w:p>
        </w:tc>
        <w:tc>
          <w:tcPr>
            <w:tcBorders>
              <w:top w:val="single" w:sz="4"/>
              <w:left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1,583 mil. lei</w:t>
            </w:r>
          </w:p>
        </w:tc>
      </w:tr>
      <w:tr>
        <w:trPr>
          <w:trHeight w:val="802"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 comercializarea neconforma activele (materialele) obtinute sub forma de metale feroase (circa 66,6 mii tone cu obtinerea veniturilor din acestea in suma totala de 168,095 mil. lei), in lipsa deciziilor si acceptului Consiliului de administrate/ Hotararea Curtii de Conturi nr. 68 din 17 decembrie 2020</w:t>
            </w:r>
          </w:p>
        </w:tc>
        <w:tc>
          <w:tcPr>
            <w:tcBorders>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vertAlign w:val="subscript"/>
                <w:lang w:val="en-US" w:eastAsia="en-US" w:bidi="en-US"/>
              </w:rPr>
              <w:t>*</w:t>
            </w:r>
          </w:p>
        </w:tc>
      </w:tr>
      <w:tr>
        <w:trPr>
          <w:trHeight w:val="384"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Total</w:t>
            </w:r>
          </w:p>
        </w:tc>
        <w:tc>
          <w:tcPr>
            <w:tcBorders>
              <w:top w:val="single" w:sz="4"/>
              <w:left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1,583 mil. lei</w:t>
            </w:r>
          </w:p>
        </w:tc>
      </w:tr>
      <w:tr>
        <w:trPr>
          <w:trHeight w:val="1056" w:hRule="exact"/>
        </w:trPr>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8.</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Alte cazuri de administrare deficienta</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pentru transportarea marfurilor pe cale ferata in/din Portul International Liber Giurgiulesti au fost aplicate tarife locale net inferioare tarifelor internationale prevazute in politica tarifara (elaborata in conformitate cu Conventia Tarifara a administratiilor feroviare ale statelor - participante la Comunitatea Statelor Independente din 17.02.1993), prin ce I.S. „CFM” a ratat incasarea veniturilor in suma de 59,004 mil. lei./ Actul Inspectiei financiare din 08.07.2016</w:t>
            </w:r>
          </w:p>
        </w:tc>
        <w:tc>
          <w:tcPr>
            <w:tcBorders>
              <w:top w:val="single" w:sz="4"/>
              <w:left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59,004 mil. lei</w:t>
            </w:r>
          </w:p>
        </w:tc>
      </w:tr>
      <w:tr>
        <w:trPr>
          <w:trHeight w:val="1027"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o parte din bunurile I.S. „CFM” (cca 477 mijloace fixe la valoarea de bilant de 10,935 mil. lei), raportate la mijloace fixe, contrar spiritului legal de gestiune nu produc beneficii economice si se afla intr-un continuu proces de uzare si degradare, fapt care poate genera pierderea irecuperabila a unor elemente importante din cadrul patrimoniului statului/ Hotararea Curtii de Conturi nr. 68 din 17 decembrie 2020</w:t>
            </w:r>
          </w:p>
        </w:tc>
        <w:tc>
          <w:tcPr>
            <w:tcBorders>
              <w:left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vertAlign w:val="subscript"/>
                <w:lang w:val="en-US" w:eastAsia="en-US" w:bidi="en-US"/>
              </w:rPr>
              <w:t>*</w:t>
            </w:r>
          </w:p>
        </w:tc>
      </w:tr>
      <w:tr>
        <w:trPr>
          <w:trHeight w:val="384"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Total</w:t>
            </w:r>
          </w:p>
        </w:tc>
        <w:tc>
          <w:tcPr>
            <w:tcBorders>
              <w:top w:val="single" w:sz="4"/>
              <w:left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59,004 mil. lei</w:t>
            </w:r>
          </w:p>
        </w:tc>
      </w:tr>
      <w:tr>
        <w:trPr>
          <w:trHeight w:val="389" w:hRule="exact"/>
        </w:trPr>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en-US" w:eastAsia="en-US" w:bidi="en-US"/>
              </w:rPr>
              <w:t>Tota</w:t>
            </w:r>
          </w:p>
        </w:tc>
        <w:tc>
          <w:tcPr>
            <w:gridSpan w:val="2"/>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en-US" w:eastAsia="en-US" w:bidi="en-US"/>
              </w:rPr>
              <w:t>Administrare deficienta</w:t>
            </w:r>
          </w:p>
        </w:tc>
        <w:tc>
          <w:tcPr>
            <w:tcBorders>
              <w:top w:val="single" w:sz="4"/>
              <w:left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en-US" w:eastAsia="en-US" w:bidi="en-US"/>
              </w:rPr>
              <w:t>168,380 mil. lei</w:t>
            </w:r>
          </w:p>
        </w:tc>
      </w:tr>
      <w:tr>
        <w:trPr>
          <w:trHeight w:val="389" w:hRule="exact"/>
        </w:trPr>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center"/>
              <w:rPr>
                <w:sz w:val="24"/>
                <w:szCs w:val="24"/>
              </w:rPr>
            </w:pPr>
            <w:r>
              <w:rPr>
                <w:b/>
                <w:bCs/>
                <w:color w:val="000000"/>
                <w:spacing w:val="0"/>
                <w:w w:val="100"/>
                <w:position w:val="0"/>
                <w:sz w:val="24"/>
                <w:szCs w:val="24"/>
                <w:shd w:val="clear" w:color="auto" w:fill="auto"/>
                <w:lang w:val="en-US" w:eastAsia="en-US" w:bidi="en-US"/>
              </w:rPr>
              <w:t>II.</w:t>
            </w:r>
          </w:p>
        </w:tc>
        <w:tc>
          <w:tcPr>
            <w:gridSpan w:val="3"/>
            <w:tcBorders>
              <w:top w:val="single" w:sz="4"/>
              <w:left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en-US" w:eastAsia="en-US" w:bidi="en-US"/>
              </w:rPr>
              <w:t>Contracte dubioase</w:t>
            </w:r>
          </w:p>
        </w:tc>
      </w:tr>
      <w:tr>
        <w:trPr>
          <w:trHeight w:val="821" w:hRule="exact"/>
        </w:trPr>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1.</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Contracte privind amenajarea intersectiilor la nivel cu drumurile publice incheiate cu:</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576" w:hRule="exact"/>
        </w:trPr>
        <w:tc>
          <w:tcPr>
            <w:tcBorders>
              <w:left w:val="single" w:sz="4"/>
              <w:bottom w:val="single" w:sz="4"/>
            </w:tcBorders>
            <w:shd w:val="clear" w:color="auto" w:fill="FFFFFF"/>
            <w:vAlign w:val="top"/>
          </w:tcPr>
          <w:p>
            <w:pPr>
              <w:widowControl w:val="0"/>
              <w:rPr>
                <w:sz w:val="10"/>
                <w:szCs w:val="10"/>
              </w:rPr>
            </w:pPr>
          </w:p>
        </w:tc>
        <w:tc>
          <w:tcPr>
            <w:tcBorders>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SRL „Justar Tehno”</w:t>
            </w:r>
          </w:p>
        </w:tc>
        <w:tc>
          <w:tcPr>
            <w:tcBorders>
              <w:left w:val="single" w:sz="4"/>
              <w:bottom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 xml:space="preserve">nu au fost prezentate documente contabile care ar confirma executarea lucrarilor de catre SRL „Justar Tehno” </w:t>
            </w:r>
            <w:r>
              <w:rPr>
                <w:color w:val="000000"/>
                <w:spacing w:val="0"/>
                <w:w w:val="100"/>
                <w:position w:val="0"/>
                <w:sz w:val="20"/>
                <w:szCs w:val="20"/>
                <w:shd w:val="clear" w:color="auto" w:fill="auto"/>
                <w:lang w:val="ru-RU" w:eastAsia="ru-RU" w:bidi="ru-RU"/>
              </w:rPr>
              <w:t xml:space="preserve">/ </w:t>
            </w:r>
            <w:r>
              <w:rPr>
                <w:color w:val="000000"/>
                <w:spacing w:val="0"/>
                <w:w w:val="100"/>
                <w:position w:val="0"/>
                <w:sz w:val="20"/>
                <w:szCs w:val="20"/>
                <w:shd w:val="clear" w:color="auto" w:fill="auto"/>
                <w:lang w:val="en-US" w:eastAsia="en-US" w:bidi="en-US"/>
              </w:rPr>
              <w:t>actul Inspectiei Financiare din 08.11.2019</w:t>
            </w:r>
          </w:p>
        </w:tc>
        <w:tc>
          <w:tcPr>
            <w:tcBorders>
              <w:left w:val="single" w:sz="4"/>
              <w:bottom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0,279 mil. lei</w:t>
            </w:r>
          </w:p>
        </w:tc>
      </w:tr>
    </w:tbl>
    <w:p>
      <w:pPr>
        <w:spacing w:lineRule="exact" w:line="1"/>
        <w:rPr>
          <w:sz w:val="2"/>
          <w:szCs w:val="2"/>
        </w:rPr>
      </w:pPr>
      <w:r>
        <w:br w:type="page"/>
      </w:r>
    </w:p>
    <w:tbl>
      <w:tblPr>
        <w:tblOverlap w:val="never"/>
        <w:jc w:val="center"/>
        <w:tblLayout w:type="fixed"/>
      </w:tblPr>
      <w:tblGrid>
        <w:gridCol w:w="619"/>
        <w:gridCol w:w="2827"/>
        <w:gridCol w:w="9701"/>
        <w:gridCol w:w="2170"/>
      </w:tblGrid>
      <w:tr>
        <w:trPr>
          <w:trHeight w:val="821"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SRL „Demid Com” si SRO „ADOTEL - HEX” ’</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cheltuieli suplimentare pentru achitarea dobanzii de 7,5% anual la creditul contractat/ actul Inspectiei Financiare din 08.11.2019</w:t>
            </w:r>
          </w:p>
        </w:tc>
        <w:tc>
          <w:tcPr>
            <w:tcBorders>
              <w:top w:val="single" w:sz="4"/>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3,476 mil. lei</w:t>
            </w:r>
          </w:p>
        </w:tc>
      </w:tr>
      <w:tr>
        <w:trPr>
          <w:trHeight w:val="696"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plata catre SRO „ADOTEL - HEX” pentru echipament tehnologic, care pana la momentul inspectarii nu a fost livrat/ actul Inspectiei Financiare din 08.11.2019</w:t>
            </w:r>
          </w:p>
        </w:tc>
        <w:tc>
          <w:tcPr>
            <w:tcBorders>
              <w:left w:val="single" w:sz="4"/>
              <w:right w:val="single" w:sz="4"/>
            </w:tcBorders>
            <w:shd w:val="clear" w:color="auto" w:fill="FFFFFF"/>
            <w:vAlign w:val="top"/>
          </w:tcPr>
          <w:p>
            <w:pPr>
              <w:pStyle w:val="Style9"/>
              <w:keepNext w:val="0"/>
              <w:keepLines w:val="0"/>
              <w:widowControl w:val="0"/>
              <w:shd w:val="clear" w:color="auto" w:fill="auto"/>
              <w:bidi w:val="0"/>
              <w:spacing w:before="10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13,317 mil. lei</w:t>
            </w:r>
          </w:p>
        </w:tc>
      </w:tr>
      <w:tr>
        <w:trPr>
          <w:trHeight w:val="566"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plata catre „Demid - Com” SRL, nu au fost prezentate documente contabile care ar confirma executarea lucrarilor/ actul Inspectiei Financiare din 08.11.2019</w:t>
            </w:r>
          </w:p>
        </w:tc>
        <w:tc>
          <w:tcPr>
            <w:tcBorders>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8,278 mil. lei</w:t>
            </w:r>
          </w:p>
        </w:tc>
      </w:tr>
      <w:tr>
        <w:trPr>
          <w:trHeight w:val="240"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Total</w:t>
            </w:r>
          </w:p>
        </w:tc>
        <w:tc>
          <w:tcPr>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25,359 mil. lei</w:t>
            </w:r>
          </w:p>
        </w:tc>
      </w:tr>
      <w:tr>
        <w:trPr>
          <w:trHeight w:val="2314" w:hRule="exact"/>
        </w:trPr>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2.</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Contracte de reconstructie si modernizare a parcului de locomotive incheiat cu S.C. „Remar” S.A.</w:t>
            </w:r>
          </w:p>
        </w:tc>
        <w:tc>
          <w:tcPr>
            <w:tcBorders>
              <w:top w:val="single" w:sz="4"/>
              <w:left w:val="single" w:sz="4"/>
            </w:tcBorders>
            <w:shd w:val="clear" w:color="auto" w:fill="FFFFFF"/>
            <w:vAlign w:val="bottom"/>
          </w:tcPr>
          <w:p>
            <w:pPr>
              <w:pStyle w:val="Style9"/>
              <w:keepNext w:val="0"/>
              <w:keepLines w:val="0"/>
              <w:widowControl w:val="0"/>
              <w:numPr>
                <w:ilvl w:val="0"/>
                <w:numId w:val="61"/>
              </w:numPr>
              <w:shd w:val="clear" w:color="auto" w:fill="auto"/>
              <w:tabs>
                <w:tab w:pos="115" w:val="left"/>
              </w:tabs>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conflictul de interese;</w:t>
            </w:r>
          </w:p>
          <w:p>
            <w:pPr>
              <w:pStyle w:val="Style9"/>
              <w:keepNext w:val="0"/>
              <w:keepLines w:val="0"/>
              <w:widowControl w:val="0"/>
              <w:numPr>
                <w:ilvl w:val="0"/>
                <w:numId w:val="61"/>
              </w:numPr>
              <w:shd w:val="clear" w:color="auto" w:fill="auto"/>
              <w:tabs>
                <w:tab w:pos="115" w:val="left"/>
              </w:tabs>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existenta mai multor companii capabile sa efectueze modernizarea trenurilor;</w:t>
            </w:r>
          </w:p>
          <w:p>
            <w:pPr>
              <w:pStyle w:val="Style9"/>
              <w:keepNext w:val="0"/>
              <w:keepLines w:val="0"/>
              <w:widowControl w:val="0"/>
              <w:numPr>
                <w:ilvl w:val="0"/>
                <w:numId w:val="61"/>
              </w:numPr>
              <w:shd w:val="clear" w:color="auto" w:fill="auto"/>
              <w:tabs>
                <w:tab w:pos="115" w:val="left"/>
              </w:tabs>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lipsa unei valori contractuale fixe si concrete a pretului unitar pentru serviciul de modernizare a garniturii prototip/ Actul Inspectiei Financiare din 08.07.2016</w:t>
            </w:r>
          </w:p>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Din 5 unitati modernizate, in stare functionala sunt doar 2 (la o locomotiva este iesita din functiune cutia de viteze; la alta sistemul de incalzire, alta a fost incendiata in martie 2014, la scurt timp dupa modernizare)./Demers SIS Conform Actul Inspectiei Financiare din 08.07.2016 pentru lucrarile de reconstructie si modernizare a 5 trenuri diesel D1, I.S. „CFM” a suportat cheltuieli in suma de 210,487 mil. lei.</w:t>
            </w:r>
          </w:p>
          <w:p>
            <w:pPr>
              <w:pStyle w:val="Style9"/>
              <w:keepNext w:val="0"/>
              <w:keepLines w:val="0"/>
              <w:widowControl w:val="0"/>
              <w:shd w:val="clear" w:color="auto" w:fill="auto"/>
              <w:tabs>
                <w:tab w:pos="5434" w:val="left"/>
              </w:tabs>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Respectiv, conform opiniei Comisiei de ancheta costul celor nefunctionale/a prejudiciului cauzat ar reprezenta aprox. 126,292 mil. lei</w:t>
              <w:tab/>
              <w:t>’</w:t>
            </w:r>
          </w:p>
        </w:tc>
        <w:tc>
          <w:tcPr>
            <w:tcBorders>
              <w:top w:val="single" w:sz="4"/>
              <w:left w:val="single" w:sz="4"/>
              <w:right w:val="single" w:sz="4"/>
            </w:tcBorders>
            <w:shd w:val="clear" w:color="auto" w:fill="FFFFFF"/>
            <w:vAlign w:val="top"/>
          </w:tcPr>
          <w:p>
            <w:pPr>
              <w:pStyle w:val="Style9"/>
              <w:keepNext w:val="0"/>
              <w:keepLines w:val="0"/>
              <w:widowControl w:val="0"/>
              <w:shd w:val="clear" w:color="auto" w:fill="auto"/>
              <w:bidi w:val="0"/>
              <w:spacing w:before="0" w:after="168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w:t>
            </w:r>
          </w:p>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126,292 mil. lei</w:t>
            </w:r>
          </w:p>
        </w:tc>
      </w:tr>
      <w:tr>
        <w:trPr>
          <w:trHeight w:val="235"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Total</w:t>
            </w:r>
          </w:p>
        </w:tc>
        <w:tc>
          <w:tcPr>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126,292 mil. lei</w:t>
            </w:r>
          </w:p>
        </w:tc>
      </w:tr>
      <w:tr>
        <w:trPr>
          <w:trHeight w:val="590" w:hRule="exact"/>
        </w:trPr>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3.</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Contracte locatiune vagoane incheiate cu:</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470"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SC “Transpac-Service” SRL</w:t>
            </w:r>
          </w:p>
        </w:tc>
        <w:tc>
          <w:tcPr>
            <w:tcBorders>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plata ratata de la darea in arenda a vagoanelor/ Hotararii Curtii de Conturi nr. 31 din 8 august 2011</w:t>
            </w:r>
          </w:p>
        </w:tc>
        <w:tc>
          <w:tcPr>
            <w:tcBorders>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7,3 mil. lei</w:t>
            </w:r>
          </w:p>
        </w:tc>
      </w:tr>
      <w:tr>
        <w:trPr>
          <w:trHeight w:val="456"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SC „Dincomex” S.R.L.</w:t>
            </w:r>
          </w:p>
        </w:tc>
        <w:tc>
          <w:tcPr>
            <w:tcBorders>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confiscate 43 de semi-vagoane in Federatia Rusa in anul 2009/ Demersul I.S. „CFM” nr. H4/546 din 19.03.2021</w:t>
            </w:r>
          </w:p>
        </w:tc>
        <w:tc>
          <w:tcPr>
            <w:tcBorders>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43 de semi-vagoane</w:t>
            </w:r>
          </w:p>
        </w:tc>
      </w:tr>
      <w:tr>
        <w:trPr>
          <w:trHeight w:val="336"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plata ratata de la darea in folosinta temporara contra plata 57 cisterne/ Actul Inspectiei Financiare din 08.11.2019</w:t>
            </w:r>
          </w:p>
        </w:tc>
        <w:tc>
          <w:tcPr>
            <w:tcBorders>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7,660 mil. lei</w:t>
            </w:r>
          </w:p>
        </w:tc>
      </w:tr>
      <w:tr>
        <w:trPr>
          <w:trHeight w:val="240"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Total</w:t>
            </w:r>
          </w:p>
        </w:tc>
        <w:tc>
          <w:tcPr>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14,960 mil. lei</w:t>
            </w:r>
          </w:p>
        </w:tc>
      </w:tr>
      <w:tr>
        <w:trPr>
          <w:trHeight w:val="1046" w:hRule="exact"/>
        </w:trPr>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4.</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Contracte sisteme IT incheiate cu:</w:t>
            </w:r>
          </w:p>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SC „Katia Expert Consulting”</w:t>
            </w:r>
          </w:p>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S.R.L.</w:t>
            </w:r>
          </w:p>
        </w:tc>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investitii ineficiente care in procesul activitatii nu se folosesc/Actul Inspectiei Financiare din 08.11.2019</w:t>
            </w:r>
          </w:p>
        </w:tc>
        <w:tc>
          <w:tcPr>
            <w:tcBorders>
              <w:top w:val="single" w:sz="4"/>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2,005 mil. lei</w:t>
            </w:r>
          </w:p>
        </w:tc>
      </w:tr>
      <w:tr>
        <w:trPr>
          <w:trHeight w:val="461"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SRL „BASS Systems”</w:t>
            </w:r>
          </w:p>
        </w:tc>
        <w:tc>
          <w:tcPr>
            <w:tcBorders>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investitii ineficiente care in procesul activitatii nu se folosesc/Actul Inspectiei Financiare din 08.11.2019</w:t>
            </w:r>
          </w:p>
        </w:tc>
        <w:tc>
          <w:tcPr>
            <w:tcBorders>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10,270 mil. lei</w:t>
            </w:r>
          </w:p>
        </w:tc>
      </w:tr>
      <w:tr>
        <w:trPr>
          <w:trHeight w:val="350" w:hRule="exact"/>
        </w:trPr>
        <w:tc>
          <w:tcPr>
            <w:tcBorders>
              <w:left w:val="single" w:sz="4"/>
              <w:bottom w:val="single" w:sz="4"/>
            </w:tcBorders>
            <w:shd w:val="clear" w:color="auto" w:fill="FFFFFF"/>
            <w:vAlign w:val="top"/>
          </w:tcPr>
          <w:p>
            <w:pPr>
              <w:widowControl w:val="0"/>
              <w:rPr>
                <w:sz w:val="10"/>
                <w:szCs w:val="10"/>
              </w:rPr>
            </w:pPr>
          </w:p>
        </w:tc>
        <w:tc>
          <w:tcPr>
            <w:tcBorders>
              <w:left w:val="single" w:sz="4"/>
              <w:bottom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SRL „DSS-Group”</w:t>
            </w:r>
          </w:p>
        </w:tc>
        <w:tc>
          <w:tcPr>
            <w:tcBorders>
              <w:left w:val="single" w:sz="4"/>
              <w:bottom w:val="single" w:sz="4"/>
            </w:tcBorders>
            <w:shd w:val="clear" w:color="auto" w:fill="FFFFFF"/>
            <w:vAlign w:val="top"/>
          </w:tcPr>
          <w:p>
            <w:pPr>
              <w:widowControl w:val="0"/>
              <w:rPr>
                <w:sz w:val="10"/>
                <w:szCs w:val="10"/>
              </w:rPr>
            </w:pPr>
          </w:p>
        </w:tc>
        <w:tc>
          <w:tcPr>
            <w:tcBorders>
              <w:left w:val="single" w:sz="4"/>
              <w:bottom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vertAlign w:val="subscript"/>
                <w:lang w:val="en-US" w:eastAsia="en-US" w:bidi="en-US"/>
              </w:rPr>
              <w:t>*</w:t>
            </w:r>
          </w:p>
        </w:tc>
      </w:tr>
    </w:tbl>
    <w:p>
      <w:pPr>
        <w:spacing w:lineRule="exact" w:line="1"/>
        <w:rPr>
          <w:sz w:val="2"/>
          <w:szCs w:val="2"/>
        </w:rPr>
      </w:pPr>
      <w:r>
        <w:br w:type="page"/>
      </w:r>
    </w:p>
    <w:tbl>
      <w:tblPr>
        <w:tblOverlap w:val="never"/>
        <w:jc w:val="center"/>
        <w:tblLayout w:type="fixed"/>
      </w:tblPr>
      <w:tblGrid>
        <w:gridCol w:w="624"/>
        <w:gridCol w:w="2822"/>
        <w:gridCol w:w="9701"/>
        <w:gridCol w:w="2170"/>
      </w:tblGrid>
      <w:tr>
        <w:trPr>
          <w:trHeight w:val="475" w:hRule="exact"/>
        </w:trPr>
        <w:tc>
          <w:tcPr>
            <w:vMerge w:val="restart"/>
            <w:tcBorders>
              <w:top w:val="single" w:sz="4"/>
              <w:left w:val="single" w:sz="4"/>
            </w:tcBorders>
            <w:shd w:val="clear" w:color="auto" w:fill="FFFFFF"/>
            <w:vAlign w:val="top"/>
          </w:tcPr>
          <w:p>
            <w:pPr>
              <w:widowControl w:val="0"/>
              <w:rPr>
                <w:sz w:val="10"/>
                <w:szCs w:val="10"/>
              </w:rPr>
            </w:pPr>
          </w:p>
        </w:tc>
        <w:tc>
          <w:tcPr>
            <w:vMerge w:val="restart"/>
            <w:tcBorders>
              <w:top w:val="single" w:sz="4"/>
              <w:left w:val="single" w:sz="4"/>
            </w:tcBorders>
            <w:shd w:val="clear" w:color="auto" w:fill="FFFFFF"/>
            <w:vAlign w:val="top"/>
          </w:tcPr>
          <w:p>
            <w:pPr>
              <w:widowControl w:val="0"/>
              <w:rPr>
                <w:sz w:val="10"/>
                <w:szCs w:val="10"/>
              </w:rPr>
            </w:pPr>
          </w:p>
        </w:tc>
        <w:tc>
          <w:tcPr>
            <w:gridSpan w:val="2"/>
            <w:tcBorders>
              <w:top w:val="single" w:sz="4"/>
              <w:left w:val="single" w:sz="4"/>
              <w:right w:val="single" w:sz="4"/>
            </w:tcBorders>
            <w:shd w:val="clear" w:color="auto" w:fill="FFFFFF"/>
            <w:vAlign w:val="bottom"/>
          </w:tcPr>
          <w:p>
            <w:pPr>
              <w:pStyle w:val="Style9"/>
              <w:keepNext w:val="0"/>
              <w:keepLines w:val="0"/>
              <w:widowControl w:val="0"/>
              <w:shd w:val="clear" w:color="auto" w:fill="auto"/>
              <w:tabs>
                <w:tab w:pos="6139" w:val="left"/>
                <w:tab w:pos="8131" w:val="left"/>
              </w:tabs>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achizitionarea acestor servicii n-a fost coordonata cu Consiliul de administrate al CFM/ Actul Inspectiei Financiare din 08.07.2016</w:t>
              <w:tab/>
              <w:t>’</w:t>
              <w:tab/>
              <w:t>’</w:t>
            </w:r>
          </w:p>
        </w:tc>
      </w:tr>
      <w:tr>
        <w:trPr>
          <w:trHeight w:val="240"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Total</w:t>
            </w:r>
          </w:p>
        </w:tc>
        <w:tc>
          <w:tcPr>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12,275 mil. lei</w:t>
            </w:r>
          </w:p>
        </w:tc>
      </w:tr>
      <w:tr>
        <w:trPr>
          <w:trHeight w:val="826" w:hRule="exact"/>
        </w:trPr>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5.</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Contracte locatiune incaperi incheiate cu:</w:t>
            </w:r>
          </w:p>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SRL „Optimus Plus”</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datorii locatiune incaperi/Actul Inspectiei Financiare din 08.11.2019</w:t>
            </w:r>
          </w:p>
        </w:tc>
        <w:tc>
          <w:tcPr>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3,814 mil. lei</w:t>
            </w:r>
          </w:p>
        </w:tc>
      </w:tr>
      <w:tr>
        <w:trPr>
          <w:trHeight w:val="461"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„Telesport-M” SRL</w:t>
            </w:r>
          </w:p>
        </w:tc>
        <w:tc>
          <w:tcPr>
            <w:tcBorders>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datorii locatiune incaperi/Actul Inspectiei Financiare din 08.11.2019</w:t>
            </w:r>
          </w:p>
        </w:tc>
        <w:tc>
          <w:tcPr>
            <w:tcBorders>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3,257 mil. lei</w:t>
            </w:r>
          </w:p>
        </w:tc>
      </w:tr>
      <w:tr>
        <w:trPr>
          <w:trHeight w:val="792"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9"/>
              <w:keepNext w:val="0"/>
              <w:keepLines w:val="0"/>
              <w:widowControl w:val="0"/>
              <w:shd w:val="clear" w:color="auto" w:fill="auto"/>
              <w:tabs>
                <w:tab w:pos="1070" w:val="left"/>
              </w:tabs>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Asociatia Obstesca „Lion Muay Thai” ’</w:t>
              <w:tab/>
              <w:t>’</w:t>
            </w:r>
          </w:p>
        </w:tc>
        <w:tc>
          <w:tcPr>
            <w:tcBorders>
              <w:left w:val="single" w:sz="4"/>
            </w:tcBorders>
            <w:shd w:val="clear" w:color="auto" w:fill="FFFFFF"/>
            <w:vAlign w:val="bottom"/>
          </w:tcPr>
          <w:p>
            <w:pPr>
              <w:pStyle w:val="Style9"/>
              <w:keepNext w:val="0"/>
              <w:keepLines w:val="0"/>
              <w:widowControl w:val="0"/>
              <w:shd w:val="clear" w:color="auto" w:fill="auto"/>
              <w:bidi w:val="0"/>
              <w:spacing w:before="0" w:after="22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datorii locatiune incaperi/Actul Inspectiei Financiare din 08.11.2019</w:t>
            </w:r>
          </w:p>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datorii locatiune incaperi/Actul Inspectiei Financiare din 08.11.2019</w:t>
            </w:r>
          </w:p>
        </w:tc>
        <w:tc>
          <w:tcPr>
            <w:tcBorders>
              <w:left w:val="single" w:sz="4"/>
              <w:right w:val="single" w:sz="4"/>
            </w:tcBorders>
            <w:shd w:val="clear" w:color="auto" w:fill="FFFFFF"/>
            <w:vAlign w:val="bottom"/>
          </w:tcPr>
          <w:p>
            <w:pPr>
              <w:pStyle w:val="Style9"/>
              <w:keepNext w:val="0"/>
              <w:keepLines w:val="0"/>
              <w:widowControl w:val="0"/>
              <w:shd w:val="clear" w:color="auto" w:fill="auto"/>
              <w:bidi w:val="0"/>
              <w:spacing w:before="0" w:after="22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1,241 mil. lei</w:t>
            </w:r>
          </w:p>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0,875 mil. lei</w:t>
            </w:r>
          </w:p>
        </w:tc>
      </w:tr>
      <w:tr>
        <w:trPr>
          <w:trHeight w:val="240"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II „Pogonet Galina”</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Total</w:t>
            </w:r>
          </w:p>
        </w:tc>
        <w:tc>
          <w:tcPr>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9,187 mil. lei</w:t>
            </w:r>
          </w:p>
        </w:tc>
      </w:tr>
      <w:tr>
        <w:trPr>
          <w:trHeight w:val="470" w:hRule="exact"/>
        </w:trPr>
        <w:tc>
          <w:tcPr>
            <w:tcBorders>
              <w:top w:val="single" w:sz="4"/>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en-US" w:eastAsia="en-US" w:bidi="en-US"/>
              </w:rPr>
              <w:t>6.</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Contractul cu „MTH Remont” SRO</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investitii ineficiente care in procesul activitatii nu se folosesc</w:t>
            </w:r>
          </w:p>
        </w:tc>
        <w:tc>
          <w:tcPr>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924 mii Euro sau</w:t>
            </w:r>
          </w:p>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 xml:space="preserve">19,745 mil. lei </w:t>
            </w:r>
            <w:r>
              <w:rPr>
                <w:color w:val="000000"/>
                <w:spacing w:val="0"/>
                <w:w w:val="100"/>
                <w:position w:val="0"/>
                <w:sz w:val="20"/>
                <w:szCs w:val="20"/>
                <w:shd w:val="clear" w:color="auto" w:fill="auto"/>
                <w:lang w:val="en-US" w:eastAsia="en-US" w:bidi="en-US"/>
              </w:rPr>
              <w:t>***</w:t>
            </w:r>
          </w:p>
        </w:tc>
      </w:tr>
      <w:tr>
        <w:trPr>
          <w:trHeight w:val="240"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Total</w:t>
            </w:r>
          </w:p>
        </w:tc>
        <w:tc>
          <w:tcPr>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19,745 mil. lei</w:t>
            </w:r>
          </w:p>
        </w:tc>
      </w:tr>
      <w:tr>
        <w:trPr>
          <w:trHeight w:val="240"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jc w:val="left"/>
              <w:rPr>
                <w:sz w:val="20"/>
                <w:szCs w:val="20"/>
              </w:rPr>
            </w:pPr>
            <w:r>
              <w:rPr>
                <w:color w:val="000000"/>
                <w:spacing w:val="0"/>
                <w:w w:val="100"/>
                <w:position w:val="0"/>
                <w:sz w:val="20"/>
                <w:szCs w:val="20"/>
                <w:shd w:val="clear" w:color="auto" w:fill="auto"/>
                <w:lang w:val="en-US" w:eastAsia="en-US" w:bidi="en-US"/>
              </w:rPr>
              <w:t>7</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Penalitati din contracte</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 xml:space="preserve">majorari de intarziere sub forma de penalitati </w:t>
            </w:r>
            <w:r>
              <w:rPr>
                <w:color w:val="000000"/>
                <w:spacing w:val="0"/>
                <w:w w:val="100"/>
                <w:position w:val="0"/>
                <w:sz w:val="20"/>
                <w:szCs w:val="20"/>
                <w:shd w:val="clear" w:color="auto" w:fill="auto"/>
                <w:lang w:val="ru-RU" w:eastAsia="ru-RU" w:bidi="ru-RU"/>
              </w:rPr>
              <w:t xml:space="preserve">/ </w:t>
            </w:r>
            <w:r>
              <w:rPr>
                <w:color w:val="000000"/>
                <w:spacing w:val="0"/>
                <w:w w:val="100"/>
                <w:position w:val="0"/>
                <w:sz w:val="20"/>
                <w:szCs w:val="20"/>
                <w:shd w:val="clear" w:color="auto" w:fill="auto"/>
                <w:lang w:val="en-US" w:eastAsia="en-US" w:bidi="en-US"/>
              </w:rPr>
              <w:t>Hotararea Curtii de Conturi nr. 68 din 17 decembrie 2020</w:t>
            </w:r>
          </w:p>
        </w:tc>
        <w:tc>
          <w:tcPr>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10,481 mil. lei</w:t>
            </w:r>
          </w:p>
        </w:tc>
      </w:tr>
      <w:tr>
        <w:trPr>
          <w:trHeight w:val="240"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Total</w:t>
            </w:r>
          </w:p>
        </w:tc>
        <w:tc>
          <w:tcPr>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10,481 mil. lei</w:t>
            </w:r>
          </w:p>
        </w:tc>
      </w:tr>
      <w:tr>
        <w:trPr>
          <w:trHeight w:val="288"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en-US" w:eastAsia="en-US" w:bidi="en-US"/>
              </w:rPr>
              <w:t>Tota</w:t>
            </w:r>
          </w:p>
        </w:tc>
        <w:tc>
          <w:tcPr>
            <w:gridSpan w:val="2"/>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en-US" w:eastAsia="en-US" w:bidi="en-US"/>
              </w:rPr>
              <w:t>Contracte dubioase</w:t>
            </w:r>
          </w:p>
        </w:tc>
        <w:tc>
          <w:tcPr>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en-US" w:eastAsia="en-US" w:bidi="en-US"/>
              </w:rPr>
              <w:t>218,299 mil. lei</w:t>
            </w:r>
          </w:p>
        </w:tc>
      </w:tr>
      <w:tr>
        <w:trPr>
          <w:trHeight w:val="283"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en-US" w:eastAsia="en-US" w:bidi="en-US"/>
              </w:rPr>
              <w:t>III.</w:t>
            </w:r>
          </w:p>
        </w:tc>
        <w:tc>
          <w:tcPr>
            <w:gridSpan w:val="3"/>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en-US" w:eastAsia="en-US" w:bidi="en-US"/>
              </w:rPr>
              <w:t>Achizitii dubioase</w:t>
            </w:r>
          </w:p>
        </w:tc>
      </w:tr>
      <w:tr>
        <w:trPr>
          <w:trHeight w:val="835"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Achizitii in lipsa contractelor incheiate</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Serviciul ATM a admis in anii 2009-2010 procurarea unor marfuri (metal, tevi, electrozi) in suma de 4,342 mil. lei in lipsa contractelor incheiate si autorizate de Comisia de preturi a I.S. „CFM”/ Hotararii Curtii de Conturi nr. 31 din 8 august 2011</w:t>
            </w:r>
          </w:p>
        </w:tc>
        <w:tc>
          <w:tcPr>
            <w:tcBorders>
              <w:top w:val="single" w:sz="4"/>
              <w:left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4,342 mil. lei</w:t>
            </w:r>
          </w:p>
        </w:tc>
      </w:tr>
      <w:tr>
        <w:trPr>
          <w:trHeight w:val="917"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pStyle w:val="Style9"/>
              <w:keepNext w:val="0"/>
              <w:keepLines w:val="0"/>
              <w:widowControl w:val="0"/>
              <w:shd w:val="clear" w:color="auto" w:fill="auto"/>
              <w:bidi w:val="0"/>
              <w:spacing w:before="8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Achizitii de la intermediari</w:t>
            </w:r>
          </w:p>
        </w:tc>
        <w:tc>
          <w:tcPr>
            <w:tcBorders>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S.R.L. „Ratfer-Com”, S.R.L. „Avangarda-Const”, S.R.L. „Antarius-Com”, S.R.L. „Elenicna”, S.R.L. „Uncovlad”, S.R.L. „Doina-Emox” au livrat Serviciului ATM productie tehnica in suma de 55,233 mil. lei, concomitent inregistrand importul acestor marfuri in suma de 12,681 mil. lei/ Hotararii Curtii de Conturi nr. 31 din 8 august 2011</w:t>
            </w:r>
          </w:p>
        </w:tc>
        <w:tc>
          <w:tcPr>
            <w:tcBorders>
              <w:left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vertAlign w:val="subscript"/>
                <w:lang w:val="en-US" w:eastAsia="en-US" w:bidi="en-US"/>
              </w:rPr>
              <w:t>*</w:t>
            </w:r>
          </w:p>
        </w:tc>
      </w:tr>
      <w:tr>
        <w:trPr>
          <w:trHeight w:val="682"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1265 de ferestre termopan pentru vagoanele de pasageri de 17,481 mil. lei (achizitii de la intermediari)/ Hotararea Curtii de Conturi nr. 31 din 8 august 2011</w:t>
            </w:r>
          </w:p>
        </w:tc>
        <w:tc>
          <w:tcPr>
            <w:tcBorders>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vertAlign w:val="subscript"/>
                <w:lang w:val="en-US" w:eastAsia="en-US" w:bidi="en-US"/>
              </w:rPr>
              <w:t>*</w:t>
            </w:r>
          </w:p>
        </w:tc>
      </w:tr>
      <w:tr>
        <w:trPr>
          <w:trHeight w:val="922"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pStyle w:val="Style9"/>
              <w:keepNext w:val="0"/>
              <w:keepLines w:val="0"/>
              <w:widowControl w:val="0"/>
              <w:shd w:val="clear" w:color="auto" w:fill="auto"/>
              <w:bidi w:val="0"/>
              <w:spacing w:before="10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Avansuri acordate</w:t>
            </w:r>
          </w:p>
        </w:tc>
        <w:tc>
          <w:tcPr>
            <w:tcBorders>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Avans pentru acumulatoare, acordat unei firme de peste hotarele republicii, in suma de 634,8 mii lei In pofida masurilor intreprinse si castigului de cauza in instanta de judecata, aceste mijloace nu au fost recuperate/Hotararea Curtii de Conturi nr. 31 din 8 august 2011</w:t>
            </w:r>
          </w:p>
        </w:tc>
        <w:tc>
          <w:tcPr>
            <w:tcBorders>
              <w:left w:val="single" w:sz="4"/>
              <w:right w:val="single" w:sz="4"/>
            </w:tcBorders>
            <w:shd w:val="clear" w:color="auto" w:fill="FFFFFF"/>
            <w:vAlign w:val="top"/>
          </w:tcPr>
          <w:p>
            <w:pPr>
              <w:pStyle w:val="Style9"/>
              <w:keepNext w:val="0"/>
              <w:keepLines w:val="0"/>
              <w:widowControl w:val="0"/>
              <w:shd w:val="clear" w:color="auto" w:fill="auto"/>
              <w:bidi w:val="0"/>
              <w:spacing w:before="10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0,634 mil. lei</w:t>
            </w:r>
          </w:p>
        </w:tc>
      </w:tr>
      <w:tr>
        <w:trPr>
          <w:trHeight w:val="806" w:hRule="exact"/>
        </w:trPr>
        <w:tc>
          <w:tcPr>
            <w:tcBorders>
              <w:left w:val="single" w:sz="4"/>
              <w:bottom w:val="single" w:sz="4"/>
            </w:tcBorders>
            <w:shd w:val="clear" w:color="auto" w:fill="FFFFFF"/>
            <w:vAlign w:val="top"/>
          </w:tcPr>
          <w:p>
            <w:pPr>
              <w:widowControl w:val="0"/>
              <w:rPr>
                <w:sz w:val="10"/>
                <w:szCs w:val="10"/>
              </w:rPr>
            </w:pPr>
          </w:p>
        </w:tc>
        <w:tc>
          <w:tcPr>
            <w:tcBorders>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Procurari in lipsa relatiilor contractuale</w:t>
            </w:r>
          </w:p>
        </w:tc>
        <w:tc>
          <w:tcPr>
            <w:tcBorders>
              <w:left w:val="single" w:sz="4"/>
              <w:bottom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Efectuate procurari in lipsa relatiilor contractuale in valoare totala de 56,8 mil.lei de la 9 agenti economici/ Hotararea Curtii de Conturi nr. 8 din 26 martie 2018</w:t>
            </w:r>
          </w:p>
        </w:tc>
        <w:tc>
          <w:tcPr>
            <w:tcBorders>
              <w:left w:val="single" w:sz="4"/>
              <w:bottom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vertAlign w:val="subscript"/>
                <w:lang w:val="en-US" w:eastAsia="en-US" w:bidi="en-US"/>
              </w:rPr>
              <w:t>*</w:t>
            </w:r>
          </w:p>
        </w:tc>
      </w:tr>
    </w:tbl>
    <w:p>
      <w:pPr>
        <w:spacing w:lineRule="exact" w:line="1"/>
        <w:rPr>
          <w:sz w:val="2"/>
          <w:szCs w:val="2"/>
        </w:rPr>
      </w:pPr>
      <w:r>
        <w:br w:type="page"/>
      </w:r>
    </w:p>
    <w:tbl>
      <w:tblPr>
        <w:tblOverlap w:val="never"/>
        <w:jc w:val="center"/>
        <w:tblLayout w:type="fixed"/>
      </w:tblPr>
      <w:tblGrid>
        <w:gridCol w:w="619"/>
        <w:gridCol w:w="2827"/>
        <w:gridCol w:w="9701"/>
        <w:gridCol w:w="2170"/>
      </w:tblGrid>
      <w:tr>
        <w:trPr>
          <w:trHeight w:val="1296"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Procurari nejustificate de bunuri materiale, in valoare totala de 51,261 mil. lei, care nu au fost utilizate sau deja existau in depozitele I.S. „CFM”.</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Efectuate procurari nejustificate de bunuri materiale, in valoare totala de 51,261 mil. lei, care nu au fost utilizate sau deja existau in depozitele I.S. „CFM”./ Hotararea Curtii de Conturi nr. 68 din 17 decembrie 2020</w:t>
            </w:r>
          </w:p>
        </w:tc>
        <w:tc>
          <w:tcPr>
            <w:tcBorders>
              <w:top w:val="single" w:sz="4"/>
              <w:left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51,261 mil. lei</w:t>
            </w:r>
          </w:p>
        </w:tc>
      </w:tr>
      <w:tr>
        <w:trPr>
          <w:trHeight w:val="1368"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pStyle w:val="Style9"/>
              <w:keepNext w:val="0"/>
              <w:keepLines w:val="0"/>
              <w:widowControl w:val="0"/>
              <w:shd w:val="clear" w:color="auto" w:fill="auto"/>
              <w:bidi w:val="0"/>
              <w:spacing w:before="8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Achizitii preturi mai mari decat pretul angro existent pe piata</w:t>
            </w:r>
          </w:p>
        </w:tc>
        <w:tc>
          <w:tcPr>
            <w:tcBorders>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Acceptarea ofertei SRL „Basapetrol” care depasea pretul angro existent pe piata la acel moment. In perioada anilor 2013-2014, achizitii de a motorina in valoare de 115,257 mil. lei si ulei in valoare de 1,366 mil. lei. SRL „Basapetrol” a obtinut un profit brut in marime de 2.756.355 lei. Similar S.R.L. „Avante” a livrat motorina in valoare de 17.975 mil. lei la pret ce depasea pretul angro la momentul existent. S.R.L. „Avante” a inregistrat un profit brut in marime de 1.007.762 lei/Actul Inspectiei Financiare din 07.11.2014</w:t>
            </w:r>
          </w:p>
        </w:tc>
        <w:tc>
          <w:tcPr>
            <w:tcBorders>
              <w:left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vertAlign w:val="subscript"/>
                <w:lang w:val="en-US" w:eastAsia="en-US" w:bidi="en-US"/>
              </w:rPr>
              <w:t>*</w:t>
            </w:r>
          </w:p>
        </w:tc>
      </w:tr>
      <w:tr>
        <w:trPr>
          <w:trHeight w:val="1147"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Achizitionari marfuri neasigurand certificarea calitatii marfurilor si provenienta acestora</w:t>
            </w:r>
          </w:p>
        </w:tc>
        <w:tc>
          <w:tcPr>
            <w:tcBorders>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Prin deciziile IFPS din 04.03.2016 si din 06.05.2016, nu s-a luat in calcul sumele TVA spre restituire, respectiv, 587,6 mii lei si 4,383 mil. lei, ca rezultat al neconfirmarii provenientei marfurilor si legalitatii serviciilor livrate in adresa I.S. „CFM”/ Actul Inspectiei Financiare din 08.07.2016</w:t>
            </w:r>
          </w:p>
        </w:tc>
        <w:tc>
          <w:tcPr>
            <w:tcBorders>
              <w:left w:val="single" w:sz="4"/>
              <w:right w:val="single" w:sz="4"/>
            </w:tcBorders>
            <w:shd w:val="clear" w:color="auto" w:fill="FFFFFF"/>
            <w:vAlign w:val="top"/>
          </w:tcPr>
          <w:p>
            <w:pPr>
              <w:pStyle w:val="Style9"/>
              <w:keepNext w:val="0"/>
              <w:keepLines w:val="0"/>
              <w:widowControl w:val="0"/>
              <w:shd w:val="clear" w:color="auto" w:fill="auto"/>
              <w:bidi w:val="0"/>
              <w:spacing w:before="10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4,970 mil. lei</w:t>
            </w:r>
          </w:p>
        </w:tc>
      </w:tr>
      <w:tr>
        <w:trPr>
          <w:trHeight w:val="1157"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pStyle w:val="Style9"/>
              <w:keepNext w:val="0"/>
              <w:keepLines w:val="0"/>
              <w:widowControl w:val="0"/>
              <w:shd w:val="clear" w:color="auto" w:fill="auto"/>
              <w:bidi w:val="0"/>
              <w:spacing w:before="10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Achizitii de la intermediari cu majorari considerabile de pret</w:t>
            </w:r>
          </w:p>
        </w:tc>
        <w:tc>
          <w:tcPr>
            <w:tcBorders>
              <w:lef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Majoritatea materialelor si utilajului furnizat este produs la intreprinderi specializate de peste hotarele tarii (Ucraina, Rusia, Cehia). Furnizorii locali S.R.L. „BSA-Impex”, S.R.L. „Indelco”, S.R.L. „Spectehcom”, S.R.L. „Levdra”, S.R.L. „Tehnomet”, S.R.L. „Metvil”, S.R.L. „Arvi-Invest” aplica adaosul comercial care variaza intre 40-90 la suta/ Actul Inspectiei Financiare din 08.11.2019</w:t>
            </w:r>
          </w:p>
        </w:tc>
        <w:tc>
          <w:tcPr>
            <w:tcBorders>
              <w:left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vertAlign w:val="subscript"/>
                <w:lang w:val="en-US" w:eastAsia="en-US" w:bidi="en-US"/>
              </w:rPr>
              <w:t>*</w:t>
            </w:r>
          </w:p>
        </w:tc>
      </w:tr>
      <w:tr>
        <w:trPr>
          <w:trHeight w:val="1944"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Pentru anul 2018 doar de la firmele a trei grupuri de interese au fost realizate achizitii de 83,55 milioane de lei, din care, prejudiciul intreprinderii de stat constituie peste 40 de milioane de lei. Pentru anul 2019 (la situatia din 31 octombrie), din suma totala a achizitiilor (in valoare de cca. 75,41 milioane de lei), de la aceleasi companii de referinta au fost operate procurari de 28,11 milioane de lei, prejudiciul IS „CFM” constituind cca. 15 milioane de lei./ Demers SIS nr. 5/1903 din 10.12.2019</w:t>
            </w:r>
          </w:p>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 xml:space="preserve">Astfel, conform estimarilor SIS pentru aproximativ 22 luni I.S. a fost prejudiciata cu aproximativ 55 mil. lei. Respectiv, prejudiciile medii anuale au fost de aproximativ de 30 de mil. de lei. Respectiv o perioada de 11 ani </w:t>
            </w:r>
            <w:r>
              <w:rPr>
                <w:color w:val="000000"/>
                <w:spacing w:val="0"/>
                <w:w w:val="100"/>
                <w:position w:val="0"/>
                <w:sz w:val="20"/>
                <w:szCs w:val="20"/>
                <w:shd w:val="clear" w:color="auto" w:fill="auto"/>
                <w:lang w:val="ru-RU" w:eastAsia="ru-RU" w:bidi="ru-RU"/>
              </w:rPr>
              <w:t>(2010</w:t>
              <w:softHyphen/>
            </w:r>
            <w:r>
              <w:rPr>
                <w:color w:val="000000"/>
                <w:spacing w:val="0"/>
                <w:w w:val="100"/>
                <w:position w:val="0"/>
                <w:sz w:val="20"/>
                <w:szCs w:val="20"/>
                <w:shd w:val="clear" w:color="auto" w:fill="auto"/>
                <w:lang w:val="en-US" w:eastAsia="en-US" w:bidi="en-US"/>
              </w:rPr>
            </w:r>
            <w:r>
              <w:rPr>
                <w:color w:val="000000"/>
                <w:spacing w:val="0"/>
                <w:w w:val="100"/>
                <w:position w:val="0"/>
                <w:sz w:val="20"/>
                <w:szCs w:val="20"/>
                <w:shd w:val="clear" w:color="auto" w:fill="auto"/>
                <w:lang w:val="ru-RU" w:eastAsia="ru-RU" w:bidi="ru-RU"/>
              </w:rPr>
              <w:t>2020)</w:t>
            </w:r>
            <w:r>
              <w:rPr>
                <w:color w:val="000000"/>
                <w:spacing w:val="0"/>
                <w:w w:val="100"/>
                <w:position w:val="0"/>
                <w:sz w:val="20"/>
                <w:szCs w:val="20"/>
                <w:shd w:val="clear" w:color="auto" w:fill="auto"/>
                <w:lang w:val="en-US" w:eastAsia="en-US" w:bidi="en-US"/>
              </w:rPr>
              <w:t xml:space="preserve"> ar fi reprezenta aproximativ 330 mil. lei/Opinie Comisia de ancheta</w:t>
            </w:r>
          </w:p>
        </w:tc>
        <w:tc>
          <w:tcPr>
            <w:tcBorders>
              <w:left w:val="single" w:sz="4"/>
              <w:right w:val="single" w:sz="4"/>
            </w:tcBorders>
            <w:shd w:val="clear" w:color="auto" w:fill="FFFFFF"/>
            <w:vAlign w:val="top"/>
          </w:tcPr>
          <w:p>
            <w:pPr>
              <w:pStyle w:val="Style9"/>
              <w:keepNext w:val="0"/>
              <w:keepLines w:val="0"/>
              <w:widowControl w:val="0"/>
              <w:shd w:val="clear" w:color="auto" w:fill="auto"/>
              <w:bidi w:val="0"/>
              <w:spacing w:before="10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330 mil. lei</w:t>
            </w:r>
          </w:p>
        </w:tc>
      </w:tr>
      <w:tr>
        <w:trPr>
          <w:trHeight w:val="288"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en-US" w:eastAsia="en-US" w:bidi="en-US"/>
              </w:rPr>
              <w:t>Tota</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en-US" w:eastAsia="en-US" w:bidi="en-US"/>
              </w:rPr>
              <w:t>Achizitii dubioase (in baza</w:t>
            </w:r>
          </w:p>
        </w:tc>
        <w:tc>
          <w:tcPr>
            <w:tcBorders>
              <w:top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en-US" w:eastAsia="en-US" w:bidi="en-US"/>
              </w:rPr>
              <w:t>opiniei Comisiei de Ancheta in baza estimarilor SIS)</w:t>
            </w:r>
          </w:p>
        </w:tc>
        <w:tc>
          <w:tcPr>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en-US" w:eastAsia="en-US" w:bidi="en-US"/>
              </w:rPr>
              <w:t>Aprox. 330 mil. lei</w:t>
            </w:r>
          </w:p>
        </w:tc>
      </w:tr>
      <w:tr>
        <w:trPr>
          <w:trHeight w:val="288"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en-US" w:eastAsia="en-US" w:bidi="en-US"/>
              </w:rPr>
              <w:t>IV.</w:t>
            </w:r>
          </w:p>
        </w:tc>
        <w:tc>
          <w:tcPr>
            <w:gridSpan w:val="3"/>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en-US" w:eastAsia="en-US" w:bidi="en-US"/>
              </w:rPr>
              <w:t>Alte scheme ilicite</w:t>
            </w:r>
          </w:p>
        </w:tc>
      </w:tr>
      <w:tr>
        <w:trPr>
          <w:trHeight w:val="1157" w:hRule="exact"/>
        </w:trPr>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360"/>
              <w:jc w:val="left"/>
              <w:rPr>
                <w:sz w:val="20"/>
                <w:szCs w:val="20"/>
              </w:rPr>
            </w:pPr>
            <w:r>
              <w:rPr>
                <w:color w:val="000000"/>
                <w:spacing w:val="0"/>
                <w:w w:val="100"/>
                <w:position w:val="0"/>
                <w:sz w:val="20"/>
                <w:szCs w:val="20"/>
                <w:shd w:val="clear" w:color="auto" w:fill="auto"/>
                <w:lang w:val="en-US" w:eastAsia="en-US" w:bidi="en-US"/>
              </w:rPr>
              <w:t>1.</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Transportarea fara bilete</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Valoarea estimativa a veniturilor neinregistrate de intreprindere in perioada 06.05.2013-28.05.2013 constituie 1,026 mil. lei/ actul Inspectiei Financiare din 21.05.2014</w:t>
            </w:r>
          </w:p>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Reiesind din suma de 1,026 mil. lei/pentru o luna venituri neinregistrate, Comisia de ancheta estimeaza valoarea estimativa a veniturilor neinregistrate din transportarea fara bilete la 12 mil. lei anual sau pentru perioada 2010-2020 la 132 mil. lei</w:t>
            </w:r>
          </w:p>
        </w:tc>
        <w:tc>
          <w:tcPr>
            <w:tcBorders>
              <w:top w:val="single" w:sz="4"/>
              <w:left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132 mil. lei</w:t>
            </w:r>
          </w:p>
        </w:tc>
      </w:tr>
      <w:tr>
        <w:trPr>
          <w:trHeight w:val="250" w:hRule="exact"/>
        </w:trPr>
        <w:tc>
          <w:tcPr>
            <w:tcBorders>
              <w:left w:val="single" w:sz="4"/>
              <w:bottom w:val="single" w:sz="4"/>
            </w:tcBorders>
            <w:shd w:val="clear" w:color="auto" w:fill="FFFFFF"/>
            <w:vAlign w:val="top"/>
          </w:tcPr>
          <w:p>
            <w:pPr>
              <w:widowControl w:val="0"/>
              <w:rPr>
                <w:sz w:val="10"/>
                <w:szCs w:val="10"/>
              </w:rPr>
            </w:pPr>
          </w:p>
        </w:tc>
        <w:tc>
          <w:tcPr>
            <w:tcBorders>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Total</w:t>
            </w:r>
          </w:p>
        </w:tc>
        <w:tc>
          <w:tcPr>
            <w:tcBorders>
              <w:top w:val="single" w:sz="4"/>
              <w:left w:val="single" w:sz="4"/>
              <w:bottom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132 mil. lei</w:t>
            </w:r>
          </w:p>
        </w:tc>
      </w:tr>
    </w:tbl>
    <w:p>
      <w:pPr>
        <w:spacing w:lineRule="exact" w:line="1"/>
        <w:rPr>
          <w:sz w:val="2"/>
          <w:szCs w:val="2"/>
        </w:rPr>
      </w:pPr>
      <w:r>
        <w:br w:type="page"/>
      </w:r>
    </w:p>
    <w:tbl>
      <w:tblPr>
        <w:tblOverlap w:val="never"/>
        <w:jc w:val="center"/>
        <w:tblLayout w:type="fixed"/>
      </w:tblPr>
      <w:tblGrid>
        <w:gridCol w:w="624"/>
        <w:gridCol w:w="2822"/>
        <w:gridCol w:w="9701"/>
        <w:gridCol w:w="2170"/>
      </w:tblGrid>
      <w:tr>
        <w:trPr>
          <w:trHeight w:val="706" w:hRule="exact"/>
        </w:trPr>
        <w:tc>
          <w:tcPr>
            <w:vMerge w:val="restart"/>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340"/>
              <w:jc w:val="left"/>
              <w:rPr>
                <w:sz w:val="20"/>
                <w:szCs w:val="20"/>
              </w:rPr>
            </w:pPr>
            <w:r>
              <w:rPr>
                <w:color w:val="000000"/>
                <w:spacing w:val="0"/>
                <w:w w:val="100"/>
                <w:position w:val="0"/>
                <w:sz w:val="20"/>
                <w:szCs w:val="20"/>
                <w:shd w:val="clear" w:color="auto" w:fill="auto"/>
                <w:lang w:val="en-US" w:eastAsia="en-US" w:bidi="en-US"/>
              </w:rPr>
              <w:t>2.</w:t>
            </w:r>
          </w:p>
        </w:tc>
        <w:tc>
          <w:tcPr>
            <w:vMerge w:val="restart"/>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Transferuri nejustificate (Paza militara)</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seful Serviciului paza militarizata si contabilul-sef, neintemeiat, in lipsa documentelor justificative, a transferat unor unitati economice mijloace in suma de 1,947 mil. lei si respectiv 207,4 mii lei/ Hotararea Curtii de Conturi nr. 31 din 8 august 2011</w:t>
            </w:r>
          </w:p>
        </w:tc>
        <w:tc>
          <w:tcPr>
            <w:tcBorders>
              <w:top w:val="single" w:sz="4"/>
              <w:left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2,154 mil. lei</w:t>
            </w:r>
          </w:p>
        </w:tc>
      </w:tr>
      <w:tr>
        <w:trPr>
          <w:trHeight w:val="240" w:hRule="exact"/>
        </w:trPr>
        <w:tc>
          <w:tcPr>
            <w:vMerge/>
            <w:tcBorders>
              <w:left w:val="single" w:sz="4"/>
            </w:tcBorders>
            <w:shd w:val="clear" w:color="auto" w:fill="FFFFFF"/>
            <w:vAlign w:val="top"/>
          </w:tcPr>
          <w:p>
            <w:pPr/>
          </w:p>
        </w:tc>
        <w:tc>
          <w:tcPr>
            <w:vMerge/>
            <w:tcBorders>
              <w:left w:val="single" w:sz="4"/>
            </w:tcBorders>
            <w:shd w:val="clear" w:color="auto" w:fill="FFFFFF"/>
            <w:vAlign w:val="top"/>
          </w:tcPr>
          <w:p>
            <w:pP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Total</w:t>
            </w:r>
          </w:p>
        </w:tc>
        <w:tc>
          <w:tcPr>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2,154 mil. lei</w:t>
            </w:r>
          </w:p>
        </w:tc>
      </w:tr>
      <w:tr>
        <w:trPr>
          <w:trHeight w:val="701" w:hRule="exact"/>
        </w:trPr>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340"/>
              <w:jc w:val="left"/>
              <w:rPr>
                <w:sz w:val="20"/>
                <w:szCs w:val="20"/>
              </w:rPr>
            </w:pPr>
            <w:r>
              <w:rPr>
                <w:color w:val="000000"/>
                <w:spacing w:val="0"/>
                <w:w w:val="100"/>
                <w:position w:val="0"/>
                <w:sz w:val="20"/>
                <w:szCs w:val="20"/>
                <w:shd w:val="clear" w:color="auto" w:fill="auto"/>
                <w:lang w:val="en-US" w:eastAsia="en-US" w:bidi="en-US"/>
              </w:rPr>
              <w:t>3.</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Necalcularea taxei suplimentara pentru pregatirea si transmiterea vagoanelor la Ocnita</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n-a fost calculata taxa suplimentara pentru pregatirea si transmiterea a 37 de vagoane descoperite sub incarcaturi la s. Gnivani (Ucraina), ca urmare fiind ratata posibilitatea incasarii a unui venit suplimentar in suma totala de 949,6 mii lei/Actul Inspectiei Financiare din 14.02.2013</w:t>
            </w:r>
          </w:p>
        </w:tc>
        <w:tc>
          <w:tcPr>
            <w:tcBorders>
              <w:top w:val="single" w:sz="4"/>
              <w:left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0,949 mil. lei</w:t>
            </w:r>
          </w:p>
        </w:tc>
      </w:tr>
      <w:tr>
        <w:trPr>
          <w:trHeight w:val="240"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Total</w:t>
            </w:r>
          </w:p>
        </w:tc>
        <w:tc>
          <w:tcPr>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0,949 mil. lei</w:t>
            </w:r>
          </w:p>
        </w:tc>
      </w:tr>
      <w:tr>
        <w:trPr>
          <w:trHeight w:val="1157" w:hRule="exact"/>
        </w:trPr>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340"/>
              <w:jc w:val="left"/>
              <w:rPr>
                <w:sz w:val="20"/>
                <w:szCs w:val="20"/>
              </w:rPr>
            </w:pPr>
            <w:r>
              <w:rPr>
                <w:color w:val="000000"/>
                <w:spacing w:val="0"/>
                <w:w w:val="100"/>
                <w:position w:val="0"/>
                <w:sz w:val="20"/>
                <w:szCs w:val="20"/>
                <w:shd w:val="clear" w:color="auto" w:fill="auto"/>
                <w:lang w:val="en-US" w:eastAsia="en-US" w:bidi="en-US"/>
              </w:rPr>
              <w:t>5.</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Taxe neoficiale aplicate expeditorilor</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Prin intermediul unor angajati ai I.S. „CFM”, erau colectate taxe neoficiale aplicate expeditorilor de la 2 la 5$ pentru o tona transportata (pentru perioada 2015-2019). Firmele expeditoare care o achita sunt favorizate/Demers SIS</w:t>
            </w:r>
          </w:p>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Dat fiind faptul ca conform datelor oficiale in perioada mentionata I.S. „CFM” a transportat in jur de 21,64 mil. tone (tabelul 4), Comisia de ancheta estimeaza ca intreprinderea a fost prejudiciata cu aproximativ 43,28 mil. $ sau 770,384 mil. lei.</w:t>
            </w:r>
          </w:p>
        </w:tc>
        <w:tc>
          <w:tcPr>
            <w:tcBorders>
              <w:top w:val="single" w:sz="4"/>
              <w:left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770,384 mil. lei</w:t>
            </w:r>
          </w:p>
        </w:tc>
      </w:tr>
      <w:tr>
        <w:trPr>
          <w:trHeight w:val="240"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Total</w:t>
            </w:r>
          </w:p>
        </w:tc>
        <w:tc>
          <w:tcPr>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770,384 mil. lei</w:t>
            </w:r>
          </w:p>
        </w:tc>
      </w:tr>
      <w:tr>
        <w:trPr>
          <w:trHeight w:val="1051" w:hRule="exact"/>
        </w:trPr>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340"/>
              <w:jc w:val="left"/>
              <w:rPr>
                <w:sz w:val="20"/>
                <w:szCs w:val="20"/>
              </w:rPr>
            </w:pPr>
            <w:r>
              <w:rPr>
                <w:color w:val="000000"/>
                <w:spacing w:val="0"/>
                <w:w w:val="100"/>
                <w:position w:val="0"/>
                <w:sz w:val="20"/>
                <w:szCs w:val="20"/>
                <w:shd w:val="clear" w:color="auto" w:fill="auto"/>
                <w:lang w:val="en-US" w:eastAsia="en-US" w:bidi="en-US"/>
              </w:rPr>
              <w:t>6.</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Alte informatii privind acte de coruptie, scheme ilicite</w:t>
            </w:r>
          </w:p>
        </w:tc>
        <w:tc>
          <w:tcPr>
            <w:tcBorders>
              <w:top w:val="single" w:sz="4"/>
              <w:lef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Mecanismele infractionale circumscrise coruptiei, in procesul achizitiilor efectuate de I.S. „CFM”, prejudiciile financiare majore cauzate operatorului national de transport feroviar, in rezultatul achizitiilor de bunuri/piese si alte consumabile la preturi majorate excesiv, prin intermediul grupurilor de companii afiliate/favorizate de factorii de decizie/ Demers SIS</w:t>
            </w:r>
          </w:p>
        </w:tc>
        <w:tc>
          <w:tcPr>
            <w:tcBorders>
              <w:top w:val="single" w:sz="4"/>
              <w:left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w:t>
            </w:r>
          </w:p>
        </w:tc>
      </w:tr>
      <w:tr>
        <w:trPr>
          <w:trHeight w:val="802"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actiuni organizate, dubioase, ale unor agenti economici interpusi ca furnizori de marfuri si servicii, la incasarea de la I.S. „CFM” prin intermediul litigiilor de judecata, a unor datorii formate abuziv, in suma totala de peste 10 milioane de lei (inclusiv taxe de stat, dobanzi de intarziere)./ Demers SIS</w:t>
            </w:r>
          </w:p>
        </w:tc>
        <w:tc>
          <w:tcPr>
            <w:tcBorders>
              <w:left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vertAlign w:val="subscript"/>
                <w:lang w:val="en-US" w:eastAsia="en-US" w:bidi="en-US"/>
              </w:rPr>
              <w:t>*</w:t>
            </w:r>
          </w:p>
        </w:tc>
      </w:tr>
      <w:tr>
        <w:trPr>
          <w:trHeight w:val="240"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Total</w:t>
            </w:r>
          </w:p>
        </w:tc>
        <w:tc>
          <w:tcPr>
            <w:tcBorders>
              <w:top w:val="single" w:sz="4"/>
              <w:left w:val="single" w:sz="4"/>
              <w:right w:val="single" w:sz="4"/>
            </w:tcBorders>
            <w:shd w:val="clear" w:color="auto" w:fill="FFFFFF"/>
            <w:vAlign w:val="center"/>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w:t>
            </w:r>
          </w:p>
        </w:tc>
      </w:tr>
      <w:tr>
        <w:trPr>
          <w:trHeight w:val="283"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en-US" w:eastAsia="en-US" w:bidi="en-US"/>
              </w:rPr>
              <w:t>Tota</w:t>
            </w:r>
          </w:p>
        </w:tc>
        <w:tc>
          <w:tcPr>
            <w:gridSpan w:val="2"/>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en-US" w:eastAsia="en-US" w:bidi="en-US"/>
              </w:rPr>
              <w:t>alte scheme ilicite</w:t>
            </w:r>
          </w:p>
        </w:tc>
        <w:tc>
          <w:tcPr>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en-US" w:eastAsia="en-US" w:bidi="en-US"/>
              </w:rPr>
              <w:t>905,487 mil. lei</w:t>
            </w:r>
          </w:p>
        </w:tc>
      </w:tr>
      <w:tr>
        <w:trPr>
          <w:trHeight w:val="288" w:hRule="exact"/>
        </w:trPr>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en-US" w:eastAsia="en-US" w:bidi="en-US"/>
              </w:rPr>
              <w:t>V.</w:t>
            </w:r>
          </w:p>
        </w:tc>
        <w:tc>
          <w:tcPr>
            <w:gridSpan w:val="3"/>
            <w:tcBorders>
              <w:top w:val="single" w:sz="4"/>
              <w:left w:val="single" w:sz="4"/>
              <w:righ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en-US" w:eastAsia="en-US" w:bidi="en-US"/>
              </w:rPr>
              <w:t>Atac de tip raider</w:t>
            </w: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Litigiu de judecata cu SRL</w:t>
            </w:r>
          </w:p>
        </w:tc>
        <w:tc>
          <w:tcPr>
            <w:tcBorders>
              <w:top w:val="single" w:sz="4"/>
              <w:left w:val="single" w:sz="4"/>
            </w:tcBorders>
            <w:shd w:val="clear" w:color="auto" w:fill="FFFFFF"/>
            <w:vAlign w:val="bottom"/>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 xml:space="preserve">pretentiile de incasare de la I.S. „CFM” a unei datorii de 70 080 000 de euro </w:t>
            </w:r>
            <w:r>
              <w:rPr>
                <w:color w:val="000000"/>
                <w:spacing w:val="0"/>
                <w:w w:val="100"/>
                <w:position w:val="0"/>
                <w:sz w:val="20"/>
                <w:szCs w:val="20"/>
                <w:shd w:val="clear" w:color="auto" w:fill="auto"/>
                <w:lang w:val="ru-RU" w:eastAsia="ru-RU" w:bidi="ru-RU"/>
              </w:rPr>
              <w:t xml:space="preserve">/ </w:t>
            </w:r>
            <w:r>
              <w:rPr>
                <w:color w:val="000000"/>
                <w:spacing w:val="0"/>
                <w:w w:val="100"/>
                <w:position w:val="0"/>
                <w:sz w:val="20"/>
                <w:szCs w:val="20"/>
                <w:shd w:val="clear" w:color="auto" w:fill="auto"/>
                <w:lang w:val="en-US" w:eastAsia="en-US" w:bidi="en-US"/>
              </w:rPr>
              <w:t>Demersuri APP, SIS, I.S. „CFM”</w:t>
            </w:r>
          </w:p>
        </w:tc>
        <w:tc>
          <w:tcPr>
            <w:tcBorders>
              <w:top w:val="single" w:sz="4"/>
              <w:left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w:t>
            </w:r>
          </w:p>
        </w:tc>
      </w:tr>
      <w:tr>
        <w:trPr>
          <w:trHeight w:val="250" w:hRule="exact"/>
        </w:trPr>
        <w:tc>
          <w:tcPr>
            <w:tcBorders>
              <w:left w:val="single" w:sz="4"/>
              <w:bottom w:val="single" w:sz="4"/>
            </w:tcBorders>
            <w:shd w:val="clear" w:color="auto" w:fill="FFFFFF"/>
            <w:vAlign w:val="top"/>
          </w:tcPr>
          <w:p>
            <w:pPr>
              <w:widowControl w:val="0"/>
              <w:rPr>
                <w:sz w:val="10"/>
                <w:szCs w:val="10"/>
              </w:rPr>
            </w:pPr>
          </w:p>
        </w:tc>
        <w:tc>
          <w:tcPr>
            <w:tcBorders>
              <w:left w:val="single" w:sz="4"/>
              <w:bottom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en-US" w:eastAsia="en-US" w:bidi="en-US"/>
              </w:rPr>
              <w:t>„TRANSZALIZNICISERVIS”</w:t>
            </w:r>
          </w:p>
        </w:tc>
        <w:tc>
          <w:tcPr>
            <w:tcBorders>
              <w:top w:val="single" w:sz="4"/>
              <w:left w:val="single" w:sz="4"/>
              <w:bottom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Total</w:t>
            </w:r>
          </w:p>
        </w:tc>
        <w:tc>
          <w:tcPr>
            <w:tcBorders>
              <w:top w:val="single" w:sz="4"/>
              <w:left w:val="single" w:sz="4"/>
              <w:bottom w:val="single" w:sz="4"/>
              <w:right w:val="single" w:sz="4"/>
            </w:tcBorders>
            <w:shd w:val="clear" w:color="auto" w:fill="FFFFFF"/>
            <w:vAlign w:val="top"/>
          </w:tcPr>
          <w:p>
            <w:pPr>
              <w:pStyle w:val="Style9"/>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en-US" w:eastAsia="en-US" w:bidi="en-US"/>
              </w:rPr>
              <w:t>*</w:t>
            </w:r>
          </w:p>
        </w:tc>
      </w:tr>
    </w:tbl>
    <w:p>
      <w:pPr>
        <w:widowControl w:val="0"/>
        <w:spacing w:after="439" w:line="1" w:lineRule="exact"/>
      </w:pPr>
    </w:p>
    <w:p>
      <w:pPr>
        <w:pStyle w:val="Style80"/>
        <w:keepNext w:val="0"/>
        <w:keepLines w:val="0"/>
        <w:widowControl w:val="0"/>
        <w:shd w:val="clear" w:color="auto" w:fill="auto"/>
        <w:bidi w:val="0"/>
        <w:spacing w:before="0" w:after="140" w:line="240" w:lineRule="auto"/>
        <w:ind w:left="0" w:right="0"/>
        <w:jc w:val="left"/>
      </w:pPr>
      <w:r>
        <w:rPr>
          <w:color w:val="000000"/>
          <w:spacing w:val="0"/>
          <w:w w:val="100"/>
          <w:position w:val="0"/>
          <w:sz w:val="24"/>
          <w:szCs w:val="24"/>
          <w:shd w:val="clear" w:color="auto" w:fill="auto"/>
          <w:lang w:val="en-US" w:eastAsia="en-US" w:bidi="en-US"/>
        </w:rPr>
        <w:t>* valoarea prejudiciului nu a fost evaluata de autoritatile care au constatat deficienta</w:t>
      </w:r>
    </w:p>
    <w:p>
      <w:pPr>
        <w:pStyle w:val="Style80"/>
        <w:keepNext w:val="0"/>
        <w:keepLines w:val="0"/>
        <w:widowControl w:val="0"/>
        <w:shd w:val="clear" w:color="auto" w:fill="auto"/>
        <w:bidi w:val="0"/>
        <w:spacing w:before="0" w:after="300" w:line="240" w:lineRule="auto"/>
        <w:ind w:left="0" w:right="0"/>
        <w:jc w:val="left"/>
      </w:pPr>
      <w:r>
        <w:rPr>
          <w:i/>
          <w:iCs/>
          <w:color w:val="000000"/>
          <w:spacing w:val="0"/>
          <w:w w:val="100"/>
          <w:position w:val="0"/>
          <w:sz w:val="24"/>
          <w:szCs w:val="24"/>
          <w:shd w:val="clear" w:color="auto" w:fill="auto"/>
          <w:lang w:val="en-US" w:eastAsia="en-US" w:bidi="en-US"/>
        </w:rPr>
        <w:t>**</w:t>
      </w:r>
      <w:r>
        <w:rPr>
          <w:color w:val="000000"/>
          <w:spacing w:val="0"/>
          <w:w w:val="100"/>
          <w:position w:val="0"/>
          <w:sz w:val="24"/>
          <w:szCs w:val="24"/>
          <w:shd w:val="clear" w:color="auto" w:fill="auto"/>
          <w:lang w:val="en-US" w:eastAsia="en-US" w:bidi="en-US"/>
        </w:rPr>
        <w:t xml:space="preserve"> Calculat la cursul valutar de 1 $ = 17.80 lei, 1Euro = 21.30 lei</w:t>
      </w:r>
    </w:p>
    <w:sectPr>
      <w:headerReference w:type="default" r:id="rId40"/>
      <w:footerReference w:type="default" r:id="rId41"/>
      <w:footnotePr>
        <w:pos w:val="pageBottom"/>
        <w:numFmt w:val="decimal"/>
        <w:numStart w:val="8"/>
        <w:numRestart w:val="continuous"/>
        <w15:footnoteColumns w:val="1"/>
      </w:footnotePr>
      <w:pgSz w:w="16840" w:h="11900" w:orient="landscape"/>
      <w:pgMar w:top="1433" w:left="802" w:right="720" w:bottom="1297" w:header="1005" w:footer="3" w:gutter="0"/>
      <w:pgNumType w:start="1"/>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7040880</wp:posOffset>
              </wp:positionH>
              <wp:positionV relativeFrom="page">
                <wp:posOffset>10262870</wp:posOffset>
              </wp:positionV>
              <wp:extent cx="106680" cy="94615"/>
              <wp:wrapNone/>
              <wp:docPr id="15" name="Shape 15"/>
              <a:graphic xmlns:a="http://schemas.openxmlformats.org/drawingml/2006/main">
                <a:graphicData uri="http://schemas.microsoft.com/office/word/2010/wordprocessingShape">
                  <wps:wsp>
                    <wps:cNvSpPr txBox="1"/>
                    <wps:spPr>
                      <a:xfrm>
                        <a:ext cx="106680" cy="94615"/>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en-US" w:eastAsia="en-US" w:bidi="en-US"/>
                              </w:rPr>
                              <w:t>#</w:t>
                            </w:r>
                          </w:fldSimple>
                        </w:p>
                      </w:txbxContent>
                    </wps:txbx>
                    <wps:bodyPr wrap="none" lIns="0" tIns="0" rIns="0" bIns="0">
                      <a:spAutoFit/>
                    </wps:bodyPr>
                  </wps:wsp>
                </a:graphicData>
              </a:graphic>
            </wp:anchor>
          </w:drawing>
        </mc:Choice>
        <mc:Fallback>
          <w:pict>
            <v:shape id="_x0000_s1041" type="#_x0000_t202" style="position:absolute;margin-left:554.39999999999998pt;margin-top:808.10000000000002pt;width:8.4000000000000004pt;height:7.4500000000000002pt;z-index:-188744059;mso-wrap-style:none;mso-wrap-distance-left:0;mso-wrap-distance-right:0;mso-position-horizontal-relative:page;mso-position-vertical-relative:page" wrapcoords="0 0" filled="f" stroked="f">
              <v:textbox style="mso-fit-shape-to-text:t" inset="0,0,0,0">
                <w:txbxContent>
                  <w:p>
                    <w:pPr>
                      <w:pStyle w:val="Style23"/>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en-US" w:eastAsia="en-US" w:bidi="en-US"/>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7040880</wp:posOffset>
              </wp:positionH>
              <wp:positionV relativeFrom="page">
                <wp:posOffset>10262870</wp:posOffset>
              </wp:positionV>
              <wp:extent cx="106680" cy="94615"/>
              <wp:wrapNone/>
              <wp:docPr id="17" name="Shape 17"/>
              <a:graphic xmlns:a="http://schemas.openxmlformats.org/drawingml/2006/main">
                <a:graphicData uri="http://schemas.microsoft.com/office/word/2010/wordprocessingShape">
                  <wps:wsp>
                    <wps:cNvSpPr txBox="1"/>
                    <wps:spPr>
                      <a:xfrm>
                        <a:ext cx="106680" cy="94615"/>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en-US" w:eastAsia="en-US" w:bidi="en-US"/>
                              </w:rPr>
                              <w:t>#</w:t>
                            </w:r>
                          </w:fldSimple>
                        </w:p>
                      </w:txbxContent>
                    </wps:txbx>
                    <wps:bodyPr wrap="none" lIns="0" tIns="0" rIns="0" bIns="0">
                      <a:spAutoFit/>
                    </wps:bodyPr>
                  </wps:wsp>
                </a:graphicData>
              </a:graphic>
            </wp:anchor>
          </w:drawing>
        </mc:Choice>
        <mc:Fallback>
          <w:pict>
            <v:shape id="_x0000_s1043" type="#_x0000_t202" style="position:absolute;margin-left:554.39999999999998pt;margin-top:808.10000000000002pt;width:8.4000000000000004pt;height:7.4500000000000002pt;z-index:-188744057;mso-wrap-style:none;mso-wrap-distance-left:0;mso-wrap-distance-right:0;mso-position-horizontal-relative:page;mso-position-vertical-relative:page" wrapcoords="0 0" filled="f" stroked="f">
              <v:textbox style="mso-fit-shape-to-text:t" inset="0,0,0,0">
                <w:txbxContent>
                  <w:p>
                    <w:pPr>
                      <w:pStyle w:val="Style23"/>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en-US" w:eastAsia="en-US" w:bidi="en-US"/>
                        </w:rPr>
                        <w:t>#</w:t>
                      </w:r>
                    </w:fldSimple>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814705</wp:posOffset>
              </wp:positionH>
              <wp:positionV relativeFrom="page">
                <wp:posOffset>10241280</wp:posOffset>
              </wp:positionV>
              <wp:extent cx="5403850" cy="97790"/>
              <wp:wrapNone/>
              <wp:docPr id="19" name="Shape 19"/>
              <a:graphic xmlns:a="http://schemas.openxmlformats.org/drawingml/2006/main">
                <a:graphicData uri="http://schemas.microsoft.com/office/word/2010/wordprocessingShape">
                  <wps:wsp>
                    <wps:cNvSpPr txBox="1"/>
                    <wps:spPr>
                      <a:xfrm>
                        <a:ext cx="5403850" cy="9779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pPr>
                          <w:r>
                            <w:rPr>
                              <w:color w:val="0563C1"/>
                              <w:spacing w:val="0"/>
                              <w:w w:val="100"/>
                              <w:position w:val="0"/>
                              <w:u w:val="single"/>
                              <w:shd w:val="clear" w:color="auto" w:fill="auto"/>
                              <w:lang w:val="en-US" w:eastAsia="en-US" w:bidi="en-US"/>
                            </w:rPr>
                            <w:t>TRA TRA030/TRA030100.px/table/tableViewLayout1/?rxid=9a62a0d7-86c4-45da-b7e4-fecc26003802</w:t>
                          </w:r>
                        </w:p>
                      </w:txbxContent>
                    </wps:txbx>
                    <wps:bodyPr wrap="none" lIns="0" tIns="0" rIns="0" bIns="0">
                      <a:spAutoFit/>
                    </wps:bodyPr>
                  </wps:wsp>
                </a:graphicData>
              </a:graphic>
            </wp:anchor>
          </w:drawing>
        </mc:Choice>
        <mc:Fallback>
          <w:pict>
            <v:shape id="_x0000_s1045" type="#_x0000_t202" style="position:absolute;margin-left:64.150000000000006pt;margin-top:806.39999999999998pt;width:425.5pt;height:7.7000000000000002pt;z-index:-188744055;mso-wrap-style:none;mso-wrap-distance-left:0;mso-wrap-distance-right:0;mso-position-horizontal-relative:page;mso-position-vertical-relative:page" wrapcoords="0 0" filled="f" stroked="f">
              <v:textbox style="mso-fit-shape-to-text:t" inset="0,0,0,0">
                <w:txbxContent>
                  <w:p>
                    <w:pPr>
                      <w:pStyle w:val="Style23"/>
                      <w:keepNext w:val="0"/>
                      <w:keepLines w:val="0"/>
                      <w:widowControl w:val="0"/>
                      <w:shd w:val="clear" w:color="auto" w:fill="auto"/>
                      <w:bidi w:val="0"/>
                      <w:spacing w:before="0" w:after="0" w:line="240" w:lineRule="auto"/>
                      <w:ind w:left="0" w:right="0" w:firstLine="0"/>
                      <w:jc w:val="left"/>
                    </w:pPr>
                    <w:r>
                      <w:rPr>
                        <w:color w:val="0563C1"/>
                        <w:spacing w:val="0"/>
                        <w:w w:val="100"/>
                        <w:position w:val="0"/>
                        <w:u w:val="single"/>
                        <w:shd w:val="clear" w:color="auto" w:fill="auto"/>
                        <w:lang w:val="en-US" w:eastAsia="en-US" w:bidi="en-US"/>
                      </w:rPr>
                      <w:t>TRA TRA030/TRA030100.px/table/tableViewLayout1/?rxid=9a62a0d7-86c4-45da-b7e4-fecc26003802</w:t>
                    </w:r>
                  </w:p>
                </w:txbxContent>
              </v:textbox>
              <w10:wrap anchorx="page" anchory="page"/>
            </v:shape>
          </w:pict>
        </mc:Fallback>
      </mc:AlternateContent>
    </w:r>
    <w:r>
      <mc:AlternateContent>
        <mc:Choice Requires="wps">
          <w:drawing>
            <wp:anchor distT="0" distB="0" distL="0" distR="0" simplePos="0" relativeHeight="62914700" behindDoc="1" locked="0" layoutInCell="1" allowOverlap="1">
              <wp:simplePos x="0" y="0"/>
              <wp:positionH relativeFrom="page">
                <wp:posOffset>7132955</wp:posOffset>
              </wp:positionH>
              <wp:positionV relativeFrom="page">
                <wp:posOffset>10464165</wp:posOffset>
              </wp:positionV>
              <wp:extent cx="69850" cy="115570"/>
              <wp:wrapNone/>
              <wp:docPr id="21" name="Shape 21"/>
              <a:graphic xmlns:a="http://schemas.openxmlformats.org/drawingml/2006/main">
                <a:graphicData uri="http://schemas.microsoft.com/office/word/2010/wordprocessingShape">
                  <wps:wsp>
                    <wps:cNvSpPr txBox="1"/>
                    <wps:spPr>
                      <a:xfrm>
                        <a:ext cx="69850" cy="11557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en-US" w:eastAsia="en-US" w:bidi="en-US"/>
                              </w:rPr>
                              <w:t>#</w:t>
                            </w:r>
                          </w:fldSimple>
                        </w:p>
                      </w:txbxContent>
                    </wps:txbx>
                    <wps:bodyPr wrap="none" lIns="0" tIns="0" rIns="0" bIns="0">
                      <a:spAutoFit/>
                    </wps:bodyPr>
                  </wps:wsp>
                </a:graphicData>
              </a:graphic>
            </wp:anchor>
          </w:drawing>
        </mc:Choice>
        <mc:Fallback>
          <w:pict>
            <v:shape id="_x0000_s1047" type="#_x0000_t202" style="position:absolute;margin-left:561.64999999999998pt;margin-top:823.95000000000005pt;width:5.5pt;height:9.0999999999999996pt;z-index:-188744053;mso-wrap-style:none;mso-wrap-distance-left:0;mso-wrap-distance-right:0;mso-position-horizontal-relative:page;mso-position-vertical-relative:page" wrapcoords="0 0" filled="f" stroked="f">
              <v:textbox style="mso-fit-shape-to-text:t" inset="0,0,0,0">
                <w:txbxContent>
                  <w:p>
                    <w:pPr>
                      <w:pStyle w:val="Style23"/>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en-US" w:eastAsia="en-US" w:bidi="en-US"/>
                        </w:rPr>
                        <w:t>#</w:t>
                      </w:r>
                    </w:fldSimple>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896620</wp:posOffset>
              </wp:positionH>
              <wp:positionV relativeFrom="page">
                <wp:posOffset>10200005</wp:posOffset>
              </wp:positionV>
              <wp:extent cx="6148070" cy="0"/>
              <wp:wrapNone/>
              <wp:docPr id="23" name="Shape 23"/>
              <a:graphic xmlns:a="http://schemas.openxmlformats.org/drawingml/2006/main">
                <a:graphicData uri="http://schemas.microsoft.com/office/word/2010/wordprocessingShape">
                  <wps:wsp>
                    <wps:cNvCnPr/>
                    <wps:spPr>
                      <a:xfrm>
                        <a:ext cx="6148070" cy="0"/>
                      </a:xfrm>
                      <a:prstGeom prst="straightConnector1"/>
                      <a:ln w="12700">
                        <a:solidFill/>
                      </a:ln>
                    </wps:spPr>
                    <wps:bodyPr/>
                  </wps:wsp>
                </a:graphicData>
              </a:graphic>
            </wp:anchor>
          </w:drawing>
        </mc:Choice>
        <mc:Fallback>
          <w:pict>
            <v:shape o:spt="32" o:oned="true" path="m,l21600,21600e" style="position:absolute;margin-left:70.599999999999994pt;margin-top:803.14999999999998pt;width:484.10000000000002pt;height:0;z-index:-251658240;mso-position-horizontal-relative:page;mso-position-vertical-relative:page">
              <v:stroke weight="1.pt"/>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7040880</wp:posOffset>
              </wp:positionH>
              <wp:positionV relativeFrom="page">
                <wp:posOffset>10262870</wp:posOffset>
              </wp:positionV>
              <wp:extent cx="106680" cy="94615"/>
              <wp:wrapNone/>
              <wp:docPr id="58" name="Shape 58"/>
              <a:graphic xmlns:a="http://schemas.openxmlformats.org/drawingml/2006/main">
                <a:graphicData uri="http://schemas.microsoft.com/office/word/2010/wordprocessingShape">
                  <wps:wsp>
                    <wps:cNvSpPr txBox="1"/>
                    <wps:spPr>
                      <a:xfrm>
                        <a:ext cx="106680" cy="94615"/>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en-US" w:eastAsia="en-US" w:bidi="en-US"/>
                              </w:rPr>
                              <w:t>#</w:t>
                            </w:r>
                          </w:fldSimple>
                        </w:p>
                      </w:txbxContent>
                    </wps:txbx>
                    <wps:bodyPr wrap="none" lIns="0" tIns="0" rIns="0" bIns="0">
                      <a:spAutoFit/>
                    </wps:bodyPr>
                  </wps:wsp>
                </a:graphicData>
              </a:graphic>
            </wp:anchor>
          </w:drawing>
        </mc:Choice>
        <mc:Fallback>
          <w:pict>
            <v:shape id="_x0000_s1084" type="#_x0000_t202" style="position:absolute;margin-left:554.39999999999998pt;margin-top:808.10000000000002pt;width:8.4000000000000004pt;height:7.4500000000000002pt;z-index:-188744051;mso-wrap-style:none;mso-wrap-distance-left:0;mso-wrap-distance-right:0;mso-position-horizontal-relative:page;mso-position-vertical-relative:page" wrapcoords="0 0" filled="f" stroked="f">
              <v:textbox style="mso-fit-shape-to-text:t" inset="0,0,0,0">
                <w:txbxContent>
                  <w:p>
                    <w:pPr>
                      <w:pStyle w:val="Style23"/>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en-US" w:eastAsia="en-US" w:bidi="en-US"/>
                        </w:rPr>
                        <w:t>#</w:t>
                      </w:r>
                    </w:fldSimple>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815340</wp:posOffset>
              </wp:positionH>
              <wp:positionV relativeFrom="page">
                <wp:posOffset>10234930</wp:posOffset>
              </wp:positionV>
              <wp:extent cx="2505710" cy="109855"/>
              <wp:wrapNone/>
              <wp:docPr id="60" name="Shape 60"/>
              <a:graphic xmlns:a="http://schemas.openxmlformats.org/drawingml/2006/main">
                <a:graphicData uri="http://schemas.microsoft.com/office/word/2010/wordprocessingShape">
                  <wps:wsp>
                    <wps:cNvSpPr txBox="1"/>
                    <wps:spPr>
                      <a:xfrm>
                        <a:ext cx="2505710" cy="109855"/>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vertAlign w:val="superscript"/>
                              <w:lang w:val="en-US" w:eastAsia="en-US" w:bidi="en-US"/>
                            </w:rPr>
                            <w:t>15</w:t>
                          </w:r>
                          <w:r>
                            <w:rPr>
                              <w:color w:val="000000"/>
                              <w:spacing w:val="0"/>
                              <w:w w:val="100"/>
                              <w:position w:val="0"/>
                              <w:shd w:val="clear" w:color="auto" w:fill="auto"/>
                              <w:lang w:val="en-US" w:eastAsia="en-US" w:bidi="en-US"/>
                            </w:rPr>
                            <w:t xml:space="preserve"> </w:t>
                          </w:r>
                          <w:r>
                            <w:rPr>
                              <w:color w:val="0563C1"/>
                              <w:spacing w:val="0"/>
                              <w:w w:val="100"/>
                              <w:position w:val="0"/>
                              <w:u w:val="single"/>
                              <w:shd w:val="clear" w:color="auto" w:fill="auto"/>
                              <w:lang w:val="en-US" w:eastAsia="en-US" w:bidi="en-US"/>
                            </w:rPr>
                            <w:t>https://www.bnm.md/ro/content/rata-inflatiei-0</w:t>
                          </w:r>
                        </w:p>
                      </w:txbxContent>
                    </wps:txbx>
                    <wps:bodyPr wrap="none" lIns="0" tIns="0" rIns="0" bIns="0">
                      <a:spAutoFit/>
                    </wps:bodyPr>
                  </wps:wsp>
                </a:graphicData>
              </a:graphic>
            </wp:anchor>
          </w:drawing>
        </mc:Choice>
        <mc:Fallback>
          <w:pict>
            <v:shape id="_x0000_s1086" type="#_x0000_t202" style="position:absolute;margin-left:64.200000000000003pt;margin-top:805.89999999999998pt;width:197.30000000000001pt;height:8.6500000000000004pt;z-index:-188744049;mso-wrap-style:none;mso-wrap-distance-left:0;mso-wrap-distance-right:0;mso-position-horizontal-relative:page;mso-position-vertical-relative:page" wrapcoords="0 0" filled="f" stroked="f">
              <v:textbox style="mso-fit-shape-to-text:t" inset="0,0,0,0">
                <w:txbxContent>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vertAlign w:val="superscript"/>
                        <w:lang w:val="en-US" w:eastAsia="en-US" w:bidi="en-US"/>
                      </w:rPr>
                      <w:t>15</w:t>
                    </w:r>
                    <w:r>
                      <w:rPr>
                        <w:color w:val="000000"/>
                        <w:spacing w:val="0"/>
                        <w:w w:val="100"/>
                        <w:position w:val="0"/>
                        <w:shd w:val="clear" w:color="auto" w:fill="auto"/>
                        <w:lang w:val="en-US" w:eastAsia="en-US" w:bidi="en-US"/>
                      </w:rPr>
                      <w:t xml:space="preserve"> </w:t>
                    </w:r>
                    <w:r>
                      <w:rPr>
                        <w:color w:val="0563C1"/>
                        <w:spacing w:val="0"/>
                        <w:w w:val="100"/>
                        <w:position w:val="0"/>
                        <w:u w:val="single"/>
                        <w:shd w:val="clear" w:color="auto" w:fill="auto"/>
                        <w:lang w:val="en-US" w:eastAsia="en-US" w:bidi="en-US"/>
                      </w:rPr>
                      <w:t>https://www.bnm.md/ro/content/rata-inflatiei-0</w:t>
                    </w:r>
                  </w:p>
                </w:txbxContent>
              </v:textbox>
              <w10:wrap anchorx="page" anchory="page"/>
            </v:shape>
          </w:pict>
        </mc:Fallback>
      </mc:AlternateContent>
    </w:r>
    <w:r>
      <mc:AlternateContent>
        <mc:Choice Requires="wps">
          <w:drawing>
            <wp:anchor distT="0" distB="0" distL="0" distR="0" simplePos="0" relativeHeight="62914706" behindDoc="1" locked="0" layoutInCell="1" allowOverlap="1">
              <wp:simplePos x="0" y="0"/>
              <wp:positionH relativeFrom="page">
                <wp:posOffset>7060565</wp:posOffset>
              </wp:positionH>
              <wp:positionV relativeFrom="page">
                <wp:posOffset>10469245</wp:posOffset>
              </wp:positionV>
              <wp:extent cx="140335" cy="115570"/>
              <wp:wrapNone/>
              <wp:docPr id="62" name="Shape 62"/>
              <a:graphic xmlns:a="http://schemas.openxmlformats.org/drawingml/2006/main">
                <a:graphicData uri="http://schemas.microsoft.com/office/word/2010/wordprocessingShape">
                  <wps:wsp>
                    <wps:cNvSpPr txBox="1"/>
                    <wps:spPr>
                      <a:xfrm>
                        <a:ext cx="140335" cy="11557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en-US" w:eastAsia="en-US" w:bidi="en-US"/>
                              </w:rPr>
                              <w:t>#</w:t>
                            </w:r>
                          </w:fldSimple>
                        </w:p>
                      </w:txbxContent>
                    </wps:txbx>
                    <wps:bodyPr wrap="none" lIns="0" tIns="0" rIns="0" bIns="0">
                      <a:spAutoFit/>
                    </wps:bodyPr>
                  </wps:wsp>
                </a:graphicData>
              </a:graphic>
            </wp:anchor>
          </w:drawing>
        </mc:Choice>
        <mc:Fallback>
          <w:pict>
            <v:shape id="_x0000_s1088" type="#_x0000_t202" style="position:absolute;margin-left:555.95000000000005pt;margin-top:824.35000000000002pt;width:11.050000000000001pt;height:9.0999999999999996pt;z-index:-188744047;mso-wrap-style:none;mso-wrap-distance-left:0;mso-wrap-distance-right:0;mso-position-horizontal-relative:page;mso-position-vertical-relative:page" wrapcoords="0 0" filled="f" stroked="f">
              <v:textbox style="mso-fit-shape-to-text:t" inset="0,0,0,0">
                <w:txbxContent>
                  <w:p>
                    <w:pPr>
                      <w:pStyle w:val="Style23"/>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en-US" w:eastAsia="en-US" w:bidi="en-US"/>
                        </w:rPr>
                        <w:t>#</w:t>
                      </w:r>
                    </w:fldSimple>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7040880</wp:posOffset>
              </wp:positionH>
              <wp:positionV relativeFrom="page">
                <wp:posOffset>10262870</wp:posOffset>
              </wp:positionV>
              <wp:extent cx="106680" cy="94615"/>
              <wp:wrapNone/>
              <wp:docPr id="64" name="Shape 64"/>
              <a:graphic xmlns:a="http://schemas.openxmlformats.org/drawingml/2006/main">
                <a:graphicData uri="http://schemas.microsoft.com/office/word/2010/wordprocessingShape">
                  <wps:wsp>
                    <wps:cNvSpPr txBox="1"/>
                    <wps:spPr>
                      <a:xfrm>
                        <a:ext cx="106680" cy="94615"/>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en-US" w:eastAsia="en-US" w:bidi="en-US"/>
                              </w:rPr>
                              <w:t>#</w:t>
                            </w:r>
                          </w:fldSimple>
                        </w:p>
                      </w:txbxContent>
                    </wps:txbx>
                    <wps:bodyPr wrap="none" lIns="0" tIns="0" rIns="0" bIns="0">
                      <a:spAutoFit/>
                    </wps:bodyPr>
                  </wps:wsp>
                </a:graphicData>
              </a:graphic>
            </wp:anchor>
          </w:drawing>
        </mc:Choice>
        <mc:Fallback>
          <w:pict>
            <v:shape id="_x0000_s1090" type="#_x0000_t202" style="position:absolute;margin-left:554.39999999999998pt;margin-top:808.10000000000002pt;width:8.4000000000000004pt;height:7.4500000000000002pt;z-index:-188744045;mso-wrap-style:none;mso-wrap-distance-left:0;mso-wrap-distance-right:0;mso-position-horizontal-relative:page;mso-position-vertical-relative:page" wrapcoords="0 0" filled="f" stroked="f">
              <v:textbox style="mso-fit-shape-to-text:t" inset="0,0,0,0">
                <w:txbxContent>
                  <w:p>
                    <w:pPr>
                      <w:pStyle w:val="Style23"/>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en-US" w:eastAsia="en-US" w:bidi="en-US"/>
                        </w:rPr>
                        <w:t>#</w:t>
                      </w:r>
                    </w:fldSimple>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0" behindDoc="1" locked="0" layoutInCell="1" allowOverlap="1">
              <wp:simplePos x="0" y="0"/>
              <wp:positionH relativeFrom="page">
                <wp:posOffset>807720</wp:posOffset>
              </wp:positionH>
              <wp:positionV relativeFrom="page">
                <wp:posOffset>10234930</wp:posOffset>
              </wp:positionV>
              <wp:extent cx="2292350" cy="133985"/>
              <wp:wrapNone/>
              <wp:docPr id="66" name="Shape 66"/>
              <a:graphic xmlns:a="http://schemas.openxmlformats.org/drawingml/2006/main">
                <a:graphicData uri="http://schemas.microsoft.com/office/word/2010/wordprocessingShape">
                  <wps:wsp>
                    <wps:cNvSpPr txBox="1"/>
                    <wps:spPr>
                      <a:xfrm>
                        <a:ext cx="2292350" cy="133985"/>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8"/>
                              <w:szCs w:val="8"/>
                              <w:shd w:val="clear" w:color="auto" w:fill="auto"/>
                              <w:vertAlign w:val="superscript"/>
                              <w:lang w:val="en-US" w:eastAsia="en-US" w:bidi="en-US"/>
                            </w:rPr>
                            <w:t>32</w:t>
                          </w:r>
                          <w:r>
                            <w:rPr>
                              <w:rFonts w:ascii="Calibri" w:eastAsia="Calibri" w:hAnsi="Calibri" w:cs="Calibri"/>
                              <w:color w:val="000000"/>
                              <w:spacing w:val="0"/>
                              <w:w w:val="100"/>
                              <w:position w:val="0"/>
                              <w:sz w:val="8"/>
                              <w:szCs w:val="8"/>
                              <w:shd w:val="clear" w:color="auto" w:fill="auto"/>
                              <w:lang w:val="en-US" w:eastAsia="en-US" w:bidi="en-US"/>
                            </w:rPr>
                            <w:t xml:space="preserve"> </w:t>
                          </w:r>
                          <w:r>
                            <w:rPr>
                              <w:color w:val="000000"/>
                              <w:spacing w:val="0"/>
                              <w:w w:val="100"/>
                              <w:position w:val="0"/>
                              <w:shd w:val="clear" w:color="auto" w:fill="auto"/>
                              <w:lang w:val="en-US" w:eastAsia="en-US" w:bidi="en-US"/>
                            </w:rPr>
                            <w:t>Actul Inspectiei Financiare din 08.07.2016</w:t>
                          </w:r>
                        </w:p>
                      </w:txbxContent>
                    </wps:txbx>
                    <wps:bodyPr wrap="none" lIns="0" tIns="0" rIns="0" bIns="0">
                      <a:spAutoFit/>
                    </wps:bodyPr>
                  </wps:wsp>
                </a:graphicData>
              </a:graphic>
            </wp:anchor>
          </w:drawing>
        </mc:Choice>
        <mc:Fallback>
          <w:pict>
            <v:shape id="_x0000_s1092" type="#_x0000_t202" style="position:absolute;margin-left:63.600000000000001pt;margin-top:805.89999999999998pt;width:180.5pt;height:10.550000000000001pt;z-index:-188744043;mso-wrap-style:none;mso-wrap-distance-left:0;mso-wrap-distance-right:0;mso-position-horizontal-relative:page;mso-position-vertical-relative:page" wrapcoords="0 0" filled="f" stroked="f">
              <v:textbox style="mso-fit-shape-to-text:t" inset="0,0,0,0">
                <w:txbxContent>
                  <w:p>
                    <w:pPr>
                      <w:pStyle w:val="Style2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8"/>
                        <w:szCs w:val="8"/>
                        <w:shd w:val="clear" w:color="auto" w:fill="auto"/>
                        <w:vertAlign w:val="superscript"/>
                        <w:lang w:val="en-US" w:eastAsia="en-US" w:bidi="en-US"/>
                      </w:rPr>
                      <w:t>32</w:t>
                    </w:r>
                    <w:r>
                      <w:rPr>
                        <w:rFonts w:ascii="Calibri" w:eastAsia="Calibri" w:hAnsi="Calibri" w:cs="Calibri"/>
                        <w:color w:val="000000"/>
                        <w:spacing w:val="0"/>
                        <w:w w:val="100"/>
                        <w:position w:val="0"/>
                        <w:sz w:val="8"/>
                        <w:szCs w:val="8"/>
                        <w:shd w:val="clear" w:color="auto" w:fill="auto"/>
                        <w:lang w:val="en-US" w:eastAsia="en-US" w:bidi="en-US"/>
                      </w:rPr>
                      <w:t xml:space="preserve"> </w:t>
                    </w:r>
                    <w:r>
                      <w:rPr>
                        <w:color w:val="000000"/>
                        <w:spacing w:val="0"/>
                        <w:w w:val="100"/>
                        <w:position w:val="0"/>
                        <w:shd w:val="clear" w:color="auto" w:fill="auto"/>
                        <w:lang w:val="en-US" w:eastAsia="en-US" w:bidi="en-US"/>
                      </w:rPr>
                      <w:t>Actul Inspectiei Financiare din 08.07.2016</w:t>
                    </w:r>
                  </w:p>
                </w:txbxContent>
              </v:textbox>
              <w10:wrap anchorx="page" anchory="page"/>
            </v:shape>
          </w:pict>
        </mc:Fallback>
      </mc:AlternateContent>
    </w:r>
    <w:r>
      <mc:AlternateContent>
        <mc:Choice Requires="wps">
          <w:drawing>
            <wp:anchor distT="0" distB="0" distL="0" distR="0" simplePos="0" relativeHeight="62914712" behindDoc="1" locked="0" layoutInCell="1" allowOverlap="1">
              <wp:simplePos x="0" y="0"/>
              <wp:positionH relativeFrom="page">
                <wp:posOffset>7077710</wp:posOffset>
              </wp:positionH>
              <wp:positionV relativeFrom="page">
                <wp:posOffset>10484485</wp:posOffset>
              </wp:positionV>
              <wp:extent cx="115570" cy="94615"/>
              <wp:wrapNone/>
              <wp:docPr id="68" name="Shape 68"/>
              <a:graphic xmlns:a="http://schemas.openxmlformats.org/drawingml/2006/main">
                <a:graphicData uri="http://schemas.microsoft.com/office/word/2010/wordprocessingShape">
                  <wps:wsp>
                    <wps:cNvSpPr txBox="1"/>
                    <wps:spPr>
                      <a:xfrm>
                        <a:ext cx="115570" cy="94615"/>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en-US" w:eastAsia="en-US" w:bidi="en-US"/>
                              </w:rPr>
                              <w:t>#</w:t>
                            </w:r>
                          </w:fldSimple>
                        </w:p>
                      </w:txbxContent>
                    </wps:txbx>
                    <wps:bodyPr wrap="none" lIns="0" tIns="0" rIns="0" bIns="0">
                      <a:spAutoFit/>
                    </wps:bodyPr>
                  </wps:wsp>
                </a:graphicData>
              </a:graphic>
            </wp:anchor>
          </w:drawing>
        </mc:Choice>
        <mc:Fallback>
          <w:pict>
            <v:shape id="_x0000_s1094" type="#_x0000_t202" style="position:absolute;margin-left:557.29999999999995pt;margin-top:825.54999999999995pt;width:9.0999999999999996pt;height:7.4500000000000002pt;z-index:-188744041;mso-wrap-style:none;mso-wrap-distance-left:0;mso-wrap-distance-right:0;mso-position-horizontal-relative:page;mso-position-vertical-relative:page" wrapcoords="0 0" filled="f" stroked="f">
              <v:textbox style="mso-fit-shape-to-text:t" inset="0,0,0,0">
                <w:txbxContent>
                  <w:p>
                    <w:pPr>
                      <w:pStyle w:val="Style23"/>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en-US" w:eastAsia="en-US" w:bidi="en-US"/>
                        </w:rPr>
                        <w:t>#</w:t>
                      </w:r>
                    </w:fldSimple>
                  </w:p>
                </w:txbxContent>
              </v:textbox>
              <w10:wrap anchorx="page" anchory="page"/>
            </v:shape>
          </w:pict>
        </mc:Fallback>
      </mc:AlternateContent>
    </w: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4" behindDoc="1" locked="0" layoutInCell="1" allowOverlap="1">
              <wp:simplePos x="0" y="0"/>
              <wp:positionH relativeFrom="page">
                <wp:posOffset>800100</wp:posOffset>
              </wp:positionH>
              <wp:positionV relativeFrom="page">
                <wp:posOffset>10234930</wp:posOffset>
              </wp:positionV>
              <wp:extent cx="2292350" cy="133985"/>
              <wp:wrapNone/>
              <wp:docPr id="70" name="Shape 70"/>
              <a:graphic xmlns:a="http://schemas.openxmlformats.org/drawingml/2006/main">
                <a:graphicData uri="http://schemas.microsoft.com/office/word/2010/wordprocessingShape">
                  <wps:wsp>
                    <wps:cNvSpPr txBox="1"/>
                    <wps:spPr>
                      <a:xfrm>
                        <a:ext cx="2292350" cy="133985"/>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8"/>
                              <w:szCs w:val="8"/>
                              <w:shd w:val="clear" w:color="auto" w:fill="auto"/>
                              <w:vertAlign w:val="superscript"/>
                              <w:lang w:val="en-US" w:eastAsia="en-US" w:bidi="en-US"/>
                            </w:rPr>
                            <w:t>38</w:t>
                          </w:r>
                          <w:r>
                            <w:rPr>
                              <w:rFonts w:ascii="Calibri" w:eastAsia="Calibri" w:hAnsi="Calibri" w:cs="Calibri"/>
                              <w:color w:val="000000"/>
                              <w:spacing w:val="0"/>
                              <w:w w:val="100"/>
                              <w:position w:val="0"/>
                              <w:sz w:val="8"/>
                              <w:szCs w:val="8"/>
                              <w:shd w:val="clear" w:color="auto" w:fill="auto"/>
                              <w:lang w:val="en-US" w:eastAsia="en-US" w:bidi="en-US"/>
                            </w:rPr>
                            <w:t xml:space="preserve"> </w:t>
                          </w:r>
                          <w:r>
                            <w:rPr>
                              <w:color w:val="000000"/>
                              <w:spacing w:val="0"/>
                              <w:w w:val="100"/>
                              <w:position w:val="0"/>
                              <w:shd w:val="clear" w:color="auto" w:fill="auto"/>
                              <w:lang w:val="en-US" w:eastAsia="en-US" w:bidi="en-US"/>
                            </w:rPr>
                            <w:t>Actul Inspectiei Financiare din 08.07.2016</w:t>
                          </w:r>
                        </w:p>
                      </w:txbxContent>
                    </wps:txbx>
                    <wps:bodyPr wrap="none" lIns="0" tIns="0" rIns="0" bIns="0">
                      <a:spAutoFit/>
                    </wps:bodyPr>
                  </wps:wsp>
                </a:graphicData>
              </a:graphic>
            </wp:anchor>
          </w:drawing>
        </mc:Choice>
        <mc:Fallback>
          <w:pict>
            <v:shape id="_x0000_s1096" type="#_x0000_t202" style="position:absolute;margin-left:63.pt;margin-top:805.89999999999998pt;width:180.5pt;height:10.550000000000001pt;z-index:-188744039;mso-wrap-style:none;mso-wrap-distance-left:0;mso-wrap-distance-right:0;mso-position-horizontal-relative:page;mso-position-vertical-relative:page" wrapcoords="0 0" filled="f" stroked="f">
              <v:textbox style="mso-fit-shape-to-text:t" inset="0,0,0,0">
                <w:txbxContent>
                  <w:p>
                    <w:pPr>
                      <w:pStyle w:val="Style23"/>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8"/>
                        <w:szCs w:val="8"/>
                        <w:shd w:val="clear" w:color="auto" w:fill="auto"/>
                        <w:vertAlign w:val="superscript"/>
                        <w:lang w:val="en-US" w:eastAsia="en-US" w:bidi="en-US"/>
                      </w:rPr>
                      <w:t>38</w:t>
                    </w:r>
                    <w:r>
                      <w:rPr>
                        <w:rFonts w:ascii="Calibri" w:eastAsia="Calibri" w:hAnsi="Calibri" w:cs="Calibri"/>
                        <w:color w:val="000000"/>
                        <w:spacing w:val="0"/>
                        <w:w w:val="100"/>
                        <w:position w:val="0"/>
                        <w:sz w:val="8"/>
                        <w:szCs w:val="8"/>
                        <w:shd w:val="clear" w:color="auto" w:fill="auto"/>
                        <w:lang w:val="en-US" w:eastAsia="en-US" w:bidi="en-US"/>
                      </w:rPr>
                      <w:t xml:space="preserve"> </w:t>
                    </w:r>
                    <w:r>
                      <w:rPr>
                        <w:color w:val="000000"/>
                        <w:spacing w:val="0"/>
                        <w:w w:val="100"/>
                        <w:position w:val="0"/>
                        <w:shd w:val="clear" w:color="auto" w:fill="auto"/>
                        <w:lang w:val="en-US" w:eastAsia="en-US" w:bidi="en-US"/>
                      </w:rPr>
                      <w:t>Actul Inspectiei Financiare din 08.07.2016</w:t>
                    </w:r>
                  </w:p>
                </w:txbxContent>
              </v:textbox>
              <w10:wrap anchorx="page" anchory="page"/>
            </v:shape>
          </w:pict>
        </mc:Fallback>
      </mc:AlternateContent>
    </w:r>
    <w:r>
      <mc:AlternateContent>
        <mc:Choice Requires="wps">
          <w:drawing>
            <wp:anchor distT="0" distB="0" distL="0" distR="0" simplePos="0" relativeHeight="62914716" behindDoc="1" locked="0" layoutInCell="1" allowOverlap="1">
              <wp:simplePos x="0" y="0"/>
              <wp:positionH relativeFrom="page">
                <wp:posOffset>7060565</wp:posOffset>
              </wp:positionH>
              <wp:positionV relativeFrom="page">
                <wp:posOffset>10487660</wp:posOffset>
              </wp:positionV>
              <wp:extent cx="125095" cy="94615"/>
              <wp:wrapNone/>
              <wp:docPr id="72" name="Shape 72"/>
              <a:graphic xmlns:a="http://schemas.openxmlformats.org/drawingml/2006/main">
                <a:graphicData uri="http://schemas.microsoft.com/office/word/2010/wordprocessingShape">
                  <wps:wsp>
                    <wps:cNvSpPr txBox="1"/>
                    <wps:spPr>
                      <a:xfrm>
                        <a:ext cx="125095" cy="94615"/>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en-US" w:eastAsia="en-US" w:bidi="en-US"/>
                              </w:rPr>
                              <w:t>#</w:t>
                            </w:r>
                          </w:fldSimple>
                        </w:p>
                      </w:txbxContent>
                    </wps:txbx>
                    <wps:bodyPr wrap="none" lIns="0" tIns="0" rIns="0" bIns="0">
                      <a:spAutoFit/>
                    </wps:bodyPr>
                  </wps:wsp>
                </a:graphicData>
              </a:graphic>
            </wp:anchor>
          </w:drawing>
        </mc:Choice>
        <mc:Fallback>
          <w:pict>
            <v:shape id="_x0000_s1098" type="#_x0000_t202" style="position:absolute;margin-left:555.95000000000005pt;margin-top:825.79999999999995pt;width:9.8499999999999996pt;height:7.4500000000000002pt;z-index:-188744037;mso-wrap-style:none;mso-wrap-distance-left:0;mso-wrap-distance-right:0;mso-position-horizontal-relative:page;mso-position-vertical-relative:page" wrapcoords="0 0" filled="f" stroked="f">
              <v:textbox style="mso-fit-shape-to-text:t" inset="0,0,0,0">
                <w:txbxContent>
                  <w:p>
                    <w:pPr>
                      <w:pStyle w:val="Style23"/>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en-US" w:eastAsia="en-US" w:bidi="en-US"/>
                        </w:rPr>
                        <w:t>#</w:t>
                      </w:r>
                    </w:fldSimple>
                  </w:p>
                </w:txbxContent>
              </v:textbox>
              <w10:wrap anchorx="page" anchory="page"/>
            </v:shape>
          </w:pict>
        </mc:Fallback>
      </mc:AlternateContent>
    </w: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8" behindDoc="1" locked="0" layoutInCell="1" allowOverlap="1">
              <wp:simplePos x="0" y="0"/>
              <wp:positionH relativeFrom="page">
                <wp:posOffset>807720</wp:posOffset>
              </wp:positionH>
              <wp:positionV relativeFrom="page">
                <wp:posOffset>10234930</wp:posOffset>
              </wp:positionV>
              <wp:extent cx="2514600" cy="149225"/>
              <wp:wrapNone/>
              <wp:docPr id="74" name="Shape 74"/>
              <a:graphic xmlns:a="http://schemas.openxmlformats.org/drawingml/2006/main">
                <a:graphicData uri="http://schemas.microsoft.com/office/word/2010/wordprocessingShape">
                  <wps:wsp>
                    <wps:cNvSpPr txBox="1"/>
                    <wps:spPr>
                      <a:xfrm>
                        <a:ext cx="2514600" cy="149225"/>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color w:val="000000"/>
                              <w:spacing w:val="0"/>
                              <w:w w:val="100"/>
                              <w:position w:val="0"/>
                              <w:sz w:val="14"/>
                              <w:szCs w:val="14"/>
                              <w:shd w:val="clear" w:color="auto" w:fill="auto"/>
                              <w:vertAlign w:val="superscript"/>
                              <w:lang w:val="en-US" w:eastAsia="en-US" w:bidi="en-US"/>
                            </w:rPr>
                            <w:t>37</w:t>
                          </w:r>
                          <w:r>
                            <w:rPr>
                              <w:rFonts w:ascii="Calibri" w:eastAsia="Calibri" w:hAnsi="Calibri" w:cs="Calibri"/>
                              <w:color w:val="000000"/>
                              <w:spacing w:val="0"/>
                              <w:w w:val="100"/>
                              <w:position w:val="0"/>
                              <w:sz w:val="14"/>
                              <w:szCs w:val="14"/>
                              <w:shd w:val="clear" w:color="auto" w:fill="auto"/>
                              <w:lang w:val="en-US" w:eastAsia="en-US" w:bidi="en-US"/>
                            </w:rPr>
                            <w:t xml:space="preserve"> </w:t>
                          </w:r>
                          <w:r>
                            <w:rPr>
                              <w:color w:val="000000"/>
                              <w:spacing w:val="0"/>
                              <w:w w:val="100"/>
                              <w:position w:val="0"/>
                              <w:sz w:val="22"/>
                              <w:szCs w:val="22"/>
                              <w:shd w:val="clear" w:color="auto" w:fill="auto"/>
                              <w:lang w:val="en-US" w:eastAsia="en-US" w:bidi="en-US"/>
                            </w:rPr>
                            <w:t>Actul Inspectiei Financiare din 08.11.2019</w:t>
                          </w:r>
                        </w:p>
                      </w:txbxContent>
                    </wps:txbx>
                    <wps:bodyPr wrap="none" lIns="0" tIns="0" rIns="0" bIns="0">
                      <a:spAutoFit/>
                    </wps:bodyPr>
                  </wps:wsp>
                </a:graphicData>
              </a:graphic>
            </wp:anchor>
          </w:drawing>
        </mc:Choice>
        <mc:Fallback>
          <w:pict>
            <v:shape id="_x0000_s1100" type="#_x0000_t202" style="position:absolute;margin-left:63.600000000000001pt;margin-top:805.89999999999998pt;width:198.pt;height:11.75pt;z-index:-188744035;mso-wrap-style:none;mso-wrap-distance-left:0;mso-wrap-distance-right:0;mso-position-horizontal-relative:page;mso-position-vertical-relative:page" wrapcoords="0 0" filled="f" stroked="f">
              <v:textbox style="mso-fit-shape-to-text:t" inset="0,0,0,0">
                <w:txbxContent>
                  <w:p>
                    <w:pPr>
                      <w:pStyle w:val="Style23"/>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color w:val="000000"/>
                        <w:spacing w:val="0"/>
                        <w:w w:val="100"/>
                        <w:position w:val="0"/>
                        <w:sz w:val="14"/>
                        <w:szCs w:val="14"/>
                        <w:shd w:val="clear" w:color="auto" w:fill="auto"/>
                        <w:vertAlign w:val="superscript"/>
                        <w:lang w:val="en-US" w:eastAsia="en-US" w:bidi="en-US"/>
                      </w:rPr>
                      <w:t>37</w:t>
                    </w:r>
                    <w:r>
                      <w:rPr>
                        <w:rFonts w:ascii="Calibri" w:eastAsia="Calibri" w:hAnsi="Calibri" w:cs="Calibri"/>
                        <w:color w:val="000000"/>
                        <w:spacing w:val="0"/>
                        <w:w w:val="100"/>
                        <w:position w:val="0"/>
                        <w:sz w:val="14"/>
                        <w:szCs w:val="14"/>
                        <w:shd w:val="clear" w:color="auto" w:fill="auto"/>
                        <w:lang w:val="en-US" w:eastAsia="en-US" w:bidi="en-US"/>
                      </w:rPr>
                      <w:t xml:space="preserve"> </w:t>
                    </w:r>
                    <w:r>
                      <w:rPr>
                        <w:color w:val="000000"/>
                        <w:spacing w:val="0"/>
                        <w:w w:val="100"/>
                        <w:position w:val="0"/>
                        <w:sz w:val="22"/>
                        <w:szCs w:val="22"/>
                        <w:shd w:val="clear" w:color="auto" w:fill="auto"/>
                        <w:lang w:val="en-US" w:eastAsia="en-US" w:bidi="en-US"/>
                      </w:rPr>
                      <w:t>Actul Inspectiei Financiare din 08.11.2019</w:t>
                    </w:r>
                  </w:p>
                </w:txbxContent>
              </v:textbox>
              <w10:wrap anchorx="page" anchory="page"/>
            </v:shape>
          </w:pict>
        </mc:Fallback>
      </mc:AlternateContent>
    </w:r>
    <w:r>
      <mc:AlternateContent>
        <mc:Choice Requires="wps">
          <w:drawing>
            <wp:anchor distT="0" distB="0" distL="0" distR="0" simplePos="0" relativeHeight="62914720" behindDoc="1" locked="0" layoutInCell="1" allowOverlap="1">
              <wp:simplePos x="0" y="0"/>
              <wp:positionH relativeFrom="page">
                <wp:posOffset>7062470</wp:posOffset>
              </wp:positionH>
              <wp:positionV relativeFrom="page">
                <wp:posOffset>10499725</wp:posOffset>
              </wp:positionV>
              <wp:extent cx="121920" cy="97790"/>
              <wp:wrapNone/>
              <wp:docPr id="76" name="Shape 76"/>
              <a:graphic xmlns:a="http://schemas.openxmlformats.org/drawingml/2006/main">
                <a:graphicData uri="http://schemas.microsoft.com/office/word/2010/wordprocessingShape">
                  <wps:wsp>
                    <wps:cNvSpPr txBox="1"/>
                    <wps:spPr>
                      <a:xfrm>
                        <a:ext cx="121920" cy="9779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en-US" w:eastAsia="en-US" w:bidi="en-US"/>
                              </w:rPr>
                              <w:t>#</w:t>
                            </w:r>
                          </w:fldSimple>
                        </w:p>
                      </w:txbxContent>
                    </wps:txbx>
                    <wps:bodyPr wrap="none" lIns="0" tIns="0" rIns="0" bIns="0">
                      <a:spAutoFit/>
                    </wps:bodyPr>
                  </wps:wsp>
                </a:graphicData>
              </a:graphic>
            </wp:anchor>
          </w:drawing>
        </mc:Choice>
        <mc:Fallback>
          <w:pict>
            <v:shape id="_x0000_s1102" type="#_x0000_t202" style="position:absolute;margin-left:556.10000000000002pt;margin-top:826.75pt;width:9.5999999999999996pt;height:7.7000000000000002pt;z-index:-188744033;mso-wrap-style:none;mso-wrap-distance-left:0;mso-wrap-distance-right:0;mso-position-horizontal-relative:page;mso-position-vertical-relative:page" wrapcoords="0 0" filled="f" stroked="f">
              <v:textbox style="mso-fit-shape-to-text:t" inset="0,0,0,0">
                <w:txbxContent>
                  <w:p>
                    <w:pPr>
                      <w:pStyle w:val="Style23"/>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en-US" w:eastAsia="en-US" w:bidi="en-US"/>
                        </w:rPr>
                        <w:t>#</w:t>
                      </w:r>
                    </w:fldSimple>
                  </w:p>
                </w:txbxContent>
              </v:textbox>
              <w10:wrap anchorx="page" anchory="page"/>
            </v:shape>
          </w:pict>
        </mc:Fallback>
      </mc:AlternateContent>
    </w:r>
  </w:p>
</w:ftr>
</file>

<file path=word/footer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2" behindDoc="1" locked="0" layoutInCell="1" allowOverlap="1">
              <wp:simplePos x="0" y="0"/>
              <wp:positionH relativeFrom="page">
                <wp:posOffset>7040880</wp:posOffset>
              </wp:positionH>
              <wp:positionV relativeFrom="page">
                <wp:posOffset>10262870</wp:posOffset>
              </wp:positionV>
              <wp:extent cx="106680" cy="94615"/>
              <wp:wrapNone/>
              <wp:docPr id="78" name="Shape 78"/>
              <a:graphic xmlns:a="http://schemas.openxmlformats.org/drawingml/2006/main">
                <a:graphicData uri="http://schemas.microsoft.com/office/word/2010/wordprocessingShape">
                  <wps:wsp>
                    <wps:cNvSpPr txBox="1"/>
                    <wps:spPr>
                      <a:xfrm>
                        <a:ext cx="106680" cy="94615"/>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en-US" w:eastAsia="en-US" w:bidi="en-US"/>
                              </w:rPr>
                              <w:t>#</w:t>
                            </w:r>
                          </w:fldSimple>
                        </w:p>
                      </w:txbxContent>
                    </wps:txbx>
                    <wps:bodyPr wrap="none" lIns="0" tIns="0" rIns="0" bIns="0">
                      <a:spAutoFit/>
                    </wps:bodyPr>
                  </wps:wsp>
                </a:graphicData>
              </a:graphic>
            </wp:anchor>
          </w:drawing>
        </mc:Choice>
        <mc:Fallback>
          <w:pict>
            <v:shape id="_x0000_s1104" type="#_x0000_t202" style="position:absolute;margin-left:554.39999999999998pt;margin-top:808.10000000000002pt;width:8.4000000000000004pt;height:7.4500000000000002pt;z-index:-188744031;mso-wrap-style:none;mso-wrap-distance-left:0;mso-wrap-distance-right:0;mso-position-horizontal-relative:page;mso-position-vertical-relative:page" wrapcoords="0 0" filled="f" stroked="f">
              <v:textbox style="mso-fit-shape-to-text:t" inset="0,0,0,0">
                <w:txbxContent>
                  <w:p>
                    <w:pPr>
                      <w:pStyle w:val="Style23"/>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en-US" w:eastAsia="en-US" w:bidi="en-US"/>
                        </w:rPr>
                        <w:t>#</w:t>
                      </w:r>
                    </w:fldSimple>
                  </w:p>
                </w:txbxContent>
              </v:textbox>
              <w10:wrap anchorx="page" anchory="page"/>
            </v:shape>
          </w:pict>
        </mc:Fallback>
      </mc:AlternateContent>
    </w:r>
  </w:p>
</w:ftr>
</file>

<file path=word/footer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4" behindDoc="1" locked="0" layoutInCell="1" allowOverlap="1">
              <wp:simplePos x="0" y="0"/>
              <wp:positionH relativeFrom="page">
                <wp:posOffset>7040880</wp:posOffset>
              </wp:positionH>
              <wp:positionV relativeFrom="page">
                <wp:posOffset>10262870</wp:posOffset>
              </wp:positionV>
              <wp:extent cx="106680" cy="94615"/>
              <wp:wrapNone/>
              <wp:docPr id="82" name="Shape 82"/>
              <a:graphic xmlns:a="http://schemas.openxmlformats.org/drawingml/2006/main">
                <a:graphicData uri="http://schemas.microsoft.com/office/word/2010/wordprocessingShape">
                  <wps:wsp>
                    <wps:cNvSpPr txBox="1"/>
                    <wps:spPr>
                      <a:xfrm>
                        <a:ext cx="106680" cy="94615"/>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en-US" w:eastAsia="en-US" w:bidi="en-US"/>
                              </w:rPr>
                              <w:t>#</w:t>
                            </w:r>
                          </w:fldSimple>
                        </w:p>
                      </w:txbxContent>
                    </wps:txbx>
                    <wps:bodyPr wrap="none" lIns="0" tIns="0" rIns="0" bIns="0">
                      <a:spAutoFit/>
                    </wps:bodyPr>
                  </wps:wsp>
                </a:graphicData>
              </a:graphic>
            </wp:anchor>
          </w:drawing>
        </mc:Choice>
        <mc:Fallback>
          <w:pict>
            <v:shape id="_x0000_s1108" type="#_x0000_t202" style="position:absolute;margin-left:554.39999999999998pt;margin-top:808.10000000000002pt;width:8.4000000000000004pt;height:7.4500000000000002pt;z-index:-188744029;mso-wrap-style:none;mso-wrap-distance-left:0;mso-wrap-distance-right:0;mso-position-horizontal-relative:page;mso-position-vertical-relative:page" wrapcoords="0 0" filled="f" stroked="f">
              <v:textbox style="mso-fit-shape-to-text:t" inset="0,0,0,0">
                <w:txbxContent>
                  <w:p>
                    <w:pPr>
                      <w:pStyle w:val="Style23"/>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en-US" w:eastAsia="en-US" w:bidi="en-US"/>
                        </w:rPr>
                        <w:t>#</w:t>
                      </w:r>
                    </w:fldSimple>
                  </w:p>
                </w:txbxContent>
              </v:textbox>
              <w10:wrap anchorx="page" anchory="page"/>
            </v:shape>
          </w:pict>
        </mc:Fallback>
      </mc:AlternateContent>
    </w:r>
  </w:p>
</w:ftr>
</file>

<file path=word/footer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6" behindDoc="1" locked="0" layoutInCell="1" allowOverlap="1">
              <wp:simplePos x="0" y="0"/>
              <wp:positionH relativeFrom="page">
                <wp:posOffset>807720</wp:posOffset>
              </wp:positionH>
              <wp:positionV relativeFrom="page">
                <wp:posOffset>10234930</wp:posOffset>
              </wp:positionV>
              <wp:extent cx="85090" cy="79375"/>
              <wp:wrapNone/>
              <wp:docPr id="84" name="Shape 84"/>
              <a:graphic xmlns:a="http://schemas.openxmlformats.org/drawingml/2006/main">
                <a:graphicData uri="http://schemas.microsoft.com/office/word/2010/wordprocessingShape">
                  <wps:wsp>
                    <wps:cNvSpPr txBox="1"/>
                    <wps:spPr>
                      <a:xfrm>
                        <a:ext cx="85090" cy="79375"/>
                      </a:xfrm>
                      <a:prstGeom prst="rect"/>
                      <a:noFill/>
                    </wps:spPr>
                    <wps:txbx>
                      <w:txbxContent>
                        <w:p>
                          <w:pPr>
                            <w:pStyle w:val="Style71"/>
                            <w:keepNext w:val="0"/>
                            <w:keepLines w:val="0"/>
                            <w:widowControl w:val="0"/>
                            <w:shd w:val="clear" w:color="auto" w:fill="auto"/>
                            <w:bidi w:val="0"/>
                            <w:spacing w:before="0" w:after="0" w:line="240" w:lineRule="auto"/>
                            <w:ind w:left="0" w:right="0" w:firstLine="0"/>
                            <w:jc w:val="left"/>
                            <w:rPr>
                              <w:sz w:val="13"/>
                              <w:szCs w:val="13"/>
                            </w:rPr>
                          </w:pPr>
                          <w:r>
                            <w:rPr>
                              <w:rFonts w:ascii="Calibri" w:eastAsia="Calibri" w:hAnsi="Calibri" w:cs="Calibri"/>
                              <w:color w:val="000000"/>
                              <w:spacing w:val="0"/>
                              <w:w w:val="100"/>
                              <w:position w:val="0"/>
                              <w:sz w:val="13"/>
                              <w:szCs w:val="13"/>
                              <w:u w:val="none"/>
                              <w:shd w:val="clear" w:color="auto" w:fill="auto"/>
                              <w:lang w:val="en-US" w:eastAsia="en-US" w:bidi="en-US"/>
                            </w:rPr>
                            <w:t>51</w:t>
                          </w:r>
                        </w:p>
                      </w:txbxContent>
                    </wps:txbx>
                    <wps:bodyPr wrap="none" lIns="0" tIns="0" rIns="0" bIns="0">
                      <a:spAutoFit/>
                    </wps:bodyPr>
                  </wps:wsp>
                </a:graphicData>
              </a:graphic>
            </wp:anchor>
          </w:drawing>
        </mc:Choice>
        <mc:Fallback>
          <w:pict>
            <v:shape id="_x0000_s1110" type="#_x0000_t202" style="position:absolute;margin-left:63.600000000000001pt;margin-top:805.89999999999998pt;width:6.7000000000000002pt;height:6.25pt;z-index:-188744027;mso-wrap-style:none;mso-wrap-distance-left:0;mso-wrap-distance-right:0;mso-position-horizontal-relative:page;mso-position-vertical-relative:page" wrapcoords="0 0" filled="f" stroked="f">
              <v:textbox style="mso-fit-shape-to-text:t" inset="0,0,0,0">
                <w:txbxContent>
                  <w:p>
                    <w:pPr>
                      <w:pStyle w:val="Style71"/>
                      <w:keepNext w:val="0"/>
                      <w:keepLines w:val="0"/>
                      <w:widowControl w:val="0"/>
                      <w:shd w:val="clear" w:color="auto" w:fill="auto"/>
                      <w:bidi w:val="0"/>
                      <w:spacing w:before="0" w:after="0" w:line="240" w:lineRule="auto"/>
                      <w:ind w:left="0" w:right="0" w:firstLine="0"/>
                      <w:jc w:val="left"/>
                      <w:rPr>
                        <w:sz w:val="13"/>
                        <w:szCs w:val="13"/>
                      </w:rPr>
                    </w:pPr>
                    <w:r>
                      <w:rPr>
                        <w:rFonts w:ascii="Calibri" w:eastAsia="Calibri" w:hAnsi="Calibri" w:cs="Calibri"/>
                        <w:color w:val="000000"/>
                        <w:spacing w:val="0"/>
                        <w:w w:val="100"/>
                        <w:position w:val="0"/>
                        <w:sz w:val="13"/>
                        <w:szCs w:val="13"/>
                        <w:u w:val="none"/>
                        <w:shd w:val="clear" w:color="auto" w:fill="auto"/>
                        <w:lang w:val="en-US" w:eastAsia="en-US" w:bidi="en-US"/>
                      </w:rPr>
                      <w:t>51</w:t>
                    </w:r>
                  </w:p>
                </w:txbxContent>
              </v:textbox>
              <w10:wrap anchorx="page" anchory="page"/>
            </v:shape>
          </w:pict>
        </mc:Fallback>
      </mc:AlternateContent>
    </w:r>
    <w:r>
      <mc:AlternateContent>
        <mc:Choice Requires="wps">
          <w:drawing>
            <wp:anchor distT="0" distB="0" distL="0" distR="0" simplePos="0" relativeHeight="62914728" behindDoc="1" locked="0" layoutInCell="1" allowOverlap="1">
              <wp:simplePos x="0" y="0"/>
              <wp:positionH relativeFrom="page">
                <wp:posOffset>7062470</wp:posOffset>
              </wp:positionH>
              <wp:positionV relativeFrom="page">
                <wp:posOffset>10481310</wp:posOffset>
              </wp:positionV>
              <wp:extent cx="137160" cy="115570"/>
              <wp:wrapNone/>
              <wp:docPr id="86" name="Shape 86"/>
              <a:graphic xmlns:a="http://schemas.openxmlformats.org/drawingml/2006/main">
                <a:graphicData uri="http://schemas.microsoft.com/office/word/2010/wordprocessingShape">
                  <wps:wsp>
                    <wps:cNvSpPr txBox="1"/>
                    <wps:spPr>
                      <a:xfrm>
                        <a:ext cx="137160" cy="115570"/>
                      </a:xfrm>
                      <a:prstGeom prst="rect"/>
                      <a:noFill/>
                    </wps:spPr>
                    <wps:txbx>
                      <w:txbxContent>
                        <w:p>
                          <w:pPr>
                            <w:pStyle w:val="Style71"/>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u w:val="none"/>
                                <w:shd w:val="clear" w:color="auto" w:fill="auto"/>
                                <w:lang w:val="en-US" w:eastAsia="en-US" w:bidi="en-US"/>
                              </w:rPr>
                              <w:t>#</w:t>
                            </w:r>
                          </w:fldSimple>
                        </w:p>
                      </w:txbxContent>
                    </wps:txbx>
                    <wps:bodyPr wrap="none" lIns="0" tIns="0" rIns="0" bIns="0">
                      <a:spAutoFit/>
                    </wps:bodyPr>
                  </wps:wsp>
                </a:graphicData>
              </a:graphic>
            </wp:anchor>
          </w:drawing>
        </mc:Choice>
        <mc:Fallback>
          <w:pict>
            <v:shape id="_x0000_s1112" type="#_x0000_t202" style="position:absolute;margin-left:556.10000000000002pt;margin-top:825.29999999999995pt;width:10.800000000000001pt;height:9.0999999999999996pt;z-index:-188744025;mso-wrap-style:none;mso-wrap-distance-left:0;mso-wrap-distance-right:0;mso-position-horizontal-relative:page;mso-position-vertical-relative:page" wrapcoords="0 0" filled="f" stroked="f">
              <v:textbox style="mso-fit-shape-to-text:t" inset="0,0,0,0">
                <w:txbxContent>
                  <w:p>
                    <w:pPr>
                      <w:pStyle w:val="Style71"/>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u w:val="none"/>
                          <w:shd w:val="clear" w:color="auto" w:fill="auto"/>
                          <w:lang w:val="en-US" w:eastAsia="en-US" w:bidi="en-US"/>
                        </w:rPr>
                        <w:t>#</w:t>
                      </w:r>
                    </w:fldSimple>
                  </w:p>
                </w:txbxContent>
              </v:textbox>
              <w10:wrap anchorx="page" anchory="page"/>
            </v:shape>
          </w:pict>
        </mc:Fallback>
      </mc:AlternateContent>
    </w:r>
  </w:p>
</w:ftr>
</file>

<file path=word/footer1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0" behindDoc="1" locked="0" layoutInCell="1" allowOverlap="1">
              <wp:simplePos x="0" y="0"/>
              <wp:positionH relativeFrom="page">
                <wp:posOffset>9705340</wp:posOffset>
              </wp:positionH>
              <wp:positionV relativeFrom="page">
                <wp:posOffset>6972300</wp:posOffset>
              </wp:positionV>
              <wp:extent cx="76200" cy="125095"/>
              <wp:wrapNone/>
              <wp:docPr id="88" name="Shape 88"/>
              <a:graphic xmlns:a="http://schemas.openxmlformats.org/drawingml/2006/main">
                <a:graphicData uri="http://schemas.microsoft.com/office/word/2010/wordprocessingShape">
                  <wps:wsp>
                    <wps:cNvSpPr txBox="1"/>
                    <wps:spPr>
                      <a:xfrm>
                        <a:ext cx="76200" cy="125095"/>
                      </a:xfrm>
                      <a:prstGeom prst="rect"/>
                      <a:noFill/>
                    </wps:spPr>
                    <wps:txbx>
                      <w:txbxContent>
                        <w:p>
                          <w:pPr>
                            <w:pStyle w:val="Style7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u w:val="none"/>
                                <w:shd w:val="clear" w:color="auto" w:fill="auto"/>
                                <w:lang w:val="en-US" w:eastAsia="en-US" w:bidi="en-US"/>
                              </w:rPr>
                              <w:t>#</w:t>
                            </w:r>
                          </w:fldSimple>
                        </w:p>
                      </w:txbxContent>
                    </wps:txbx>
                    <wps:bodyPr wrap="none" lIns="0" tIns="0" rIns="0" bIns="0">
                      <a:spAutoFit/>
                    </wps:bodyPr>
                  </wps:wsp>
                </a:graphicData>
              </a:graphic>
            </wp:anchor>
          </w:drawing>
        </mc:Choice>
        <mc:Fallback>
          <w:pict>
            <v:shape id="_x0000_s1114" type="#_x0000_t202" style="position:absolute;margin-left:764.20000000000005pt;margin-top:549.pt;width:6.pt;height:9.8499999999999996pt;z-index:-188744023;mso-wrap-style:none;mso-wrap-distance-left:0;mso-wrap-distance-right:0;mso-position-horizontal-relative:page;mso-position-vertical-relative:page" wrapcoords="0 0" filled="f" stroked="f">
              <v:textbox style="mso-fit-shape-to-text:t" inset="0,0,0,0">
                <w:txbxContent>
                  <w:p>
                    <w:pPr>
                      <w:pStyle w:val="Style7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u w:val="none"/>
                          <w:shd w:val="clear" w:color="auto" w:fill="auto"/>
                          <w:lang w:val="en-US" w:eastAsia="en-US" w:bidi="en-US"/>
                        </w:rPr>
                        <w:t>#</w:t>
                      </w:r>
                    </w:fldSimple>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separator/>
      </w:r>
    </w:p>
  </w:footnote>
  <w:footnote w:id="1" w:type="continuationSeparator">
    <w:p>
      <w:r>
        <w:continuationSeparator/>
      </w:r>
    </w:p>
  </w:footnote>
  <w:footnote w:id="2">
    <w:p>
      <w:pPr>
        <w:pStyle w:val="Style2"/>
        <w:keepNext w:val="0"/>
        <w:keepLines w:val="0"/>
        <w:widowControl w:val="0"/>
        <w:shd w:val="clear" w:color="auto" w:fill="auto"/>
        <w:tabs>
          <w:tab w:pos="110" w:val="left"/>
        </w:tabs>
        <w:bidi w:val="0"/>
        <w:spacing w:before="0" w:after="0" w:line="240" w:lineRule="auto"/>
        <w:ind w:left="0" w:right="0" w:firstLine="0"/>
        <w:jc w:val="left"/>
      </w:pPr>
      <w:r>
        <w:rPr>
          <w:rFonts w:ascii="Calibri" w:eastAsia="Calibri" w:hAnsi="Calibri" w:cs="Calibri"/>
          <w:color w:val="000000"/>
          <w:spacing w:val="0"/>
          <w:w w:val="100"/>
          <w:position w:val="0"/>
          <w:sz w:val="8"/>
          <w:szCs w:val="8"/>
          <w:shd w:val="clear" w:color="auto" w:fill="auto"/>
          <w:vertAlign w:val="superscript"/>
          <w:lang w:val="en-US" w:eastAsia="en-US" w:bidi="en-US"/>
        </w:rPr>
        <w:footnoteRef/>
      </w:r>
      <w:r>
        <w:rPr>
          <w:rFonts w:ascii="Calibri" w:eastAsia="Calibri" w:hAnsi="Calibri" w:cs="Calibri"/>
          <w:color w:val="000000"/>
          <w:spacing w:val="0"/>
          <w:w w:val="100"/>
          <w:position w:val="0"/>
          <w:sz w:val="8"/>
          <w:szCs w:val="8"/>
          <w:shd w:val="clear" w:color="auto" w:fill="auto"/>
          <w:lang w:val="en-US" w:eastAsia="en-US" w:bidi="en-US"/>
        </w:rPr>
        <w:tab/>
      </w:r>
      <w:r>
        <w:rPr>
          <w:color w:val="000000"/>
          <w:spacing w:val="0"/>
          <w:w w:val="100"/>
          <w:position w:val="0"/>
          <w:shd w:val="clear" w:color="auto" w:fill="auto"/>
          <w:lang w:val="en-US" w:eastAsia="en-US" w:bidi="en-US"/>
        </w:rPr>
        <w:t>Programul de Dezvoltare al I.S. „CFM” pentru perioada 2018 - 2031</w:t>
      </w:r>
    </w:p>
  </w:footnote>
  <w:footnote w:id="3">
    <w:p>
      <w:pPr>
        <w:pStyle w:val="Style2"/>
        <w:keepNext w:val="0"/>
        <w:keepLines w:val="0"/>
        <w:widowControl w:val="0"/>
        <w:shd w:val="clear" w:color="auto" w:fill="auto"/>
        <w:tabs>
          <w:tab w:pos="120" w:val="left"/>
        </w:tabs>
        <w:bidi w:val="0"/>
        <w:spacing w:before="0" w:after="0" w:line="240" w:lineRule="auto"/>
        <w:ind w:left="0" w:right="0" w:firstLine="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ab/>
        <w:t>Raportul anual al Serviciului Siguranta circulatiei Feroviare din cadrul I.S. „CFM”</w:t>
      </w:r>
    </w:p>
  </w:footnote>
  <w:footnote w:id="4">
    <w:p>
      <w:pPr>
        <w:pStyle w:val="Style2"/>
        <w:keepNext w:val="0"/>
        <w:keepLines w:val="0"/>
        <w:widowControl w:val="0"/>
        <w:shd w:val="clear" w:color="auto" w:fill="auto"/>
        <w:tabs>
          <w:tab w:pos="115" w:val="left"/>
        </w:tabs>
        <w:bidi w:val="0"/>
        <w:spacing w:before="0" w:after="0" w:line="240" w:lineRule="auto"/>
        <w:ind w:left="0" w:right="0" w:firstLine="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ab/>
        <w:t>Raportul privind realizarea in perioada anilor 2018-2020 a Programului de dezvoltare al „I.S. Calea Ferata din Moldova pe anii 2018-2031.</w:t>
      </w:r>
    </w:p>
  </w:footnote>
  <w:footnote w:id="5">
    <w:p>
      <w:pPr>
        <w:pStyle w:val="Style2"/>
        <w:keepNext w:val="0"/>
        <w:keepLines w:val="0"/>
        <w:widowControl w:val="0"/>
        <w:shd w:val="clear" w:color="auto" w:fill="auto"/>
        <w:tabs>
          <w:tab w:pos="130" w:val="left"/>
        </w:tabs>
        <w:bidi w:val="0"/>
        <w:spacing w:before="0" w:after="0" w:line="343" w:lineRule="auto"/>
        <w:ind w:left="0" w:right="0" w:firstLine="0"/>
        <w:jc w:val="left"/>
      </w:pPr>
      <w:r>
        <w:rPr>
          <w:rFonts w:ascii="Calibri" w:eastAsia="Calibri" w:hAnsi="Calibri" w:cs="Calibri"/>
          <w:color w:val="000000"/>
          <w:spacing w:val="0"/>
          <w:w w:val="100"/>
          <w:position w:val="0"/>
          <w:sz w:val="8"/>
          <w:szCs w:val="8"/>
          <w:shd w:val="clear" w:color="auto" w:fill="auto"/>
          <w:vertAlign w:val="superscript"/>
          <w:lang w:val="en-US" w:eastAsia="en-US" w:bidi="en-US"/>
        </w:rPr>
        <w:footnoteRef/>
      </w:r>
      <w:r>
        <w:rPr>
          <w:rFonts w:ascii="Calibri" w:eastAsia="Calibri" w:hAnsi="Calibri" w:cs="Calibri"/>
          <w:color w:val="000000"/>
          <w:spacing w:val="0"/>
          <w:w w:val="100"/>
          <w:position w:val="0"/>
          <w:sz w:val="8"/>
          <w:szCs w:val="8"/>
          <w:shd w:val="clear" w:color="auto" w:fill="auto"/>
          <w:lang w:val="en-US" w:eastAsia="en-US" w:bidi="en-US"/>
        </w:rPr>
        <w:tab/>
      </w:r>
      <w:r>
        <w:rPr>
          <w:color w:val="000000"/>
          <w:spacing w:val="0"/>
          <w:w w:val="100"/>
          <w:position w:val="0"/>
          <w:shd w:val="clear" w:color="auto" w:fill="auto"/>
          <w:lang w:val="en-US" w:eastAsia="en-US" w:bidi="en-US"/>
        </w:rPr>
        <w:t>Conform Notei Informative din 10.03.2021 prezintata de Vicedirectorul responsabil de Infrastructura tractiune si material rulant.</w:t>
      </w:r>
    </w:p>
  </w:footnote>
  <w:footnote w:id="6">
    <w:p>
      <w:pPr>
        <w:pStyle w:val="Style2"/>
        <w:keepNext w:val="0"/>
        <w:keepLines w:val="0"/>
        <w:widowControl w:val="0"/>
        <w:shd w:val="clear" w:color="auto" w:fill="auto"/>
        <w:tabs>
          <w:tab w:pos="120" w:val="left"/>
        </w:tabs>
        <w:bidi w:val="0"/>
        <w:spacing w:before="0" w:after="0" w:line="571" w:lineRule="auto"/>
        <w:ind w:left="0" w:right="0" w:firstLine="0"/>
        <w:jc w:val="left"/>
      </w:pPr>
      <w:r>
        <w:rPr>
          <w:rFonts w:ascii="Calibri" w:eastAsia="Calibri" w:hAnsi="Calibri" w:cs="Calibri"/>
          <w:color w:val="000000"/>
          <w:spacing w:val="0"/>
          <w:w w:val="100"/>
          <w:position w:val="0"/>
          <w:sz w:val="8"/>
          <w:szCs w:val="8"/>
          <w:shd w:val="clear" w:color="auto" w:fill="auto"/>
          <w:vertAlign w:val="superscript"/>
          <w:lang w:val="en-US" w:eastAsia="en-US" w:bidi="en-US"/>
        </w:rPr>
        <w:footnoteRef/>
      </w:r>
      <w:r>
        <w:rPr>
          <w:rFonts w:ascii="Calibri" w:eastAsia="Calibri" w:hAnsi="Calibri" w:cs="Calibri"/>
          <w:color w:val="000000"/>
          <w:spacing w:val="0"/>
          <w:w w:val="100"/>
          <w:position w:val="0"/>
          <w:sz w:val="8"/>
          <w:szCs w:val="8"/>
          <w:shd w:val="clear" w:color="auto" w:fill="auto"/>
          <w:lang w:val="en-US" w:eastAsia="en-US" w:bidi="en-US"/>
        </w:rPr>
        <w:tab/>
      </w:r>
      <w:r>
        <w:rPr>
          <w:color w:val="000000"/>
          <w:spacing w:val="0"/>
          <w:w w:val="100"/>
          <w:position w:val="0"/>
          <w:shd w:val="clear" w:color="auto" w:fill="auto"/>
          <w:lang w:val="en-US" w:eastAsia="en-US" w:bidi="en-US"/>
        </w:rPr>
        <w:t>Programul de Dezvoltare al I.S. „CFM” pentru perioada 2018 - 2031</w:t>
      </w:r>
    </w:p>
  </w:footnote>
  <w:footnote w:id="7">
    <w:p>
      <w:pPr>
        <w:pStyle w:val="Style2"/>
        <w:keepNext w:val="0"/>
        <w:keepLines w:val="0"/>
        <w:widowControl w:val="0"/>
        <w:shd w:val="clear" w:color="auto" w:fill="auto"/>
        <w:tabs>
          <w:tab w:pos="120" w:val="left"/>
        </w:tabs>
        <w:bidi w:val="0"/>
        <w:spacing w:before="0" w:after="0" w:line="240" w:lineRule="auto"/>
        <w:ind w:left="0" w:right="0" w:firstLine="0"/>
        <w:jc w:val="both"/>
      </w:pPr>
      <w:r>
        <w:rPr>
          <w:rFonts w:ascii="Calibri" w:eastAsia="Calibri" w:hAnsi="Calibri" w:cs="Calibri"/>
          <w:color w:val="000000"/>
          <w:spacing w:val="0"/>
          <w:w w:val="100"/>
          <w:position w:val="0"/>
          <w:sz w:val="8"/>
          <w:szCs w:val="8"/>
          <w:shd w:val="clear" w:color="auto" w:fill="auto"/>
          <w:vertAlign w:val="superscript"/>
          <w:lang w:val="en-US" w:eastAsia="en-US" w:bidi="en-US"/>
        </w:rPr>
        <w:footnoteRef/>
      </w:r>
      <w:r>
        <w:rPr>
          <w:rFonts w:ascii="Calibri" w:eastAsia="Calibri" w:hAnsi="Calibri" w:cs="Calibri"/>
          <w:color w:val="000000"/>
          <w:spacing w:val="0"/>
          <w:w w:val="100"/>
          <w:position w:val="0"/>
          <w:sz w:val="8"/>
          <w:szCs w:val="8"/>
          <w:shd w:val="clear" w:color="auto" w:fill="auto"/>
          <w:lang w:val="en-US" w:eastAsia="en-US" w:bidi="en-US"/>
        </w:rPr>
        <w:tab/>
      </w:r>
      <w:r>
        <w:rPr>
          <w:color w:val="000000"/>
          <w:spacing w:val="0"/>
          <w:w w:val="100"/>
          <w:position w:val="0"/>
          <w:shd w:val="clear" w:color="auto" w:fill="auto"/>
          <w:lang w:val="en-US" w:eastAsia="en-US" w:bidi="en-US"/>
        </w:rPr>
        <w:t>Raportul privind realizarea in perioada anilor 2018-2020 a Programului de dezvoltare al „I.S. Calea Ferata din Moldova pe anii 2018-2031.</w:t>
      </w:r>
    </w:p>
  </w:footnote>
  <w:footnote w:id="8">
    <w:p>
      <w:pPr>
        <w:pStyle w:val="Style2"/>
        <w:keepNext w:val="0"/>
        <w:keepLines w:val="0"/>
        <w:widowControl w:val="0"/>
        <w:shd w:val="clear" w:color="auto" w:fill="auto"/>
        <w:tabs>
          <w:tab w:pos="115" w:val="left"/>
        </w:tabs>
        <w:bidi w:val="0"/>
        <w:spacing w:before="0" w:after="0" w:line="240" w:lineRule="auto"/>
        <w:ind w:left="0" w:right="0" w:firstLine="0"/>
        <w:jc w:val="left"/>
      </w:pPr>
      <w:r>
        <w:rPr>
          <w:rFonts w:ascii="Calibri" w:eastAsia="Calibri" w:hAnsi="Calibri" w:cs="Calibri"/>
          <w:color w:val="000000"/>
          <w:spacing w:val="0"/>
          <w:w w:val="100"/>
          <w:position w:val="0"/>
          <w:sz w:val="8"/>
          <w:szCs w:val="8"/>
          <w:shd w:val="clear" w:color="auto" w:fill="auto"/>
          <w:vertAlign w:val="superscript"/>
          <w:lang w:val="en-US" w:eastAsia="en-US" w:bidi="en-US"/>
        </w:rPr>
        <w:footnoteRef/>
      </w:r>
      <w:r>
        <w:rPr>
          <w:rFonts w:ascii="Calibri" w:eastAsia="Calibri" w:hAnsi="Calibri" w:cs="Calibri"/>
          <w:color w:val="000000"/>
          <w:spacing w:val="0"/>
          <w:w w:val="100"/>
          <w:position w:val="0"/>
          <w:sz w:val="8"/>
          <w:szCs w:val="8"/>
          <w:shd w:val="clear" w:color="auto" w:fill="auto"/>
          <w:lang w:val="en-US" w:eastAsia="en-US" w:bidi="en-US"/>
        </w:rPr>
        <w:tab/>
      </w:r>
      <w:r>
        <w:rPr>
          <w:color w:val="000000"/>
          <w:spacing w:val="0"/>
          <w:w w:val="100"/>
          <w:position w:val="0"/>
          <w:shd w:val="clear" w:color="auto" w:fill="auto"/>
          <w:lang w:val="en-US" w:eastAsia="en-US" w:bidi="en-US"/>
        </w:rPr>
        <w:t>Programul de Dezvoltare al I.S. „CFM” pentru perioada 2018 - 2031</w:t>
      </w:r>
    </w:p>
  </w:footnote>
  <w:footnote w:id="9">
    <w:p>
      <w:pPr>
        <w:pStyle w:val="Style2"/>
        <w:keepNext w:val="0"/>
        <w:keepLines w:val="0"/>
        <w:widowControl w:val="0"/>
        <w:shd w:val="clear" w:color="auto" w:fill="auto"/>
        <w:tabs>
          <w:tab w:pos="115" w:val="left"/>
        </w:tabs>
        <w:bidi w:val="0"/>
        <w:spacing w:before="0" w:after="0" w:line="240" w:lineRule="auto"/>
        <w:ind w:left="0" w:right="0" w:firstLine="0"/>
        <w:jc w:val="left"/>
      </w:pPr>
      <w:r>
        <w:rPr>
          <w:rFonts w:ascii="Calibri" w:eastAsia="Calibri" w:hAnsi="Calibri" w:cs="Calibri"/>
          <w:color w:val="000000"/>
          <w:spacing w:val="0"/>
          <w:w w:val="100"/>
          <w:position w:val="0"/>
          <w:sz w:val="8"/>
          <w:szCs w:val="8"/>
          <w:shd w:val="clear" w:color="auto" w:fill="auto"/>
          <w:vertAlign w:val="superscript"/>
          <w:lang w:val="en-US" w:eastAsia="en-US" w:bidi="en-US"/>
        </w:rPr>
        <w:footnoteRef/>
      </w:r>
      <w:r>
        <w:rPr>
          <w:rFonts w:ascii="Calibri" w:eastAsia="Calibri" w:hAnsi="Calibri" w:cs="Calibri"/>
          <w:color w:val="000000"/>
          <w:spacing w:val="0"/>
          <w:w w:val="100"/>
          <w:position w:val="0"/>
          <w:sz w:val="8"/>
          <w:szCs w:val="8"/>
          <w:shd w:val="clear" w:color="auto" w:fill="auto"/>
          <w:lang w:val="en-US" w:eastAsia="en-US" w:bidi="en-US"/>
        </w:rPr>
        <w:tab/>
      </w:r>
      <w:r>
        <w:rPr>
          <w:color w:val="000000"/>
          <w:spacing w:val="0"/>
          <w:w w:val="100"/>
          <w:position w:val="0"/>
          <w:shd w:val="clear" w:color="auto" w:fill="auto"/>
          <w:lang w:val="en-US" w:eastAsia="en-US" w:bidi="en-US"/>
        </w:rPr>
        <w:t>Programul de Dezvoltare al I.S. „CFM” pentru perioada 2018 - 2031</w:t>
      </w:r>
    </w:p>
  </w:footnote>
  <w:footnote w:id="10">
    <w:p>
      <w:pPr>
        <w:pStyle w:val="Style2"/>
        <w:keepNext w:val="0"/>
        <w:keepLines w:val="0"/>
        <w:widowControl w:val="0"/>
        <w:shd w:val="clear" w:color="auto" w:fill="auto"/>
        <w:tabs>
          <w:tab w:pos="187" w:val="left"/>
        </w:tabs>
        <w:bidi w:val="0"/>
        <w:spacing w:before="0" w:after="0" w:line="240" w:lineRule="auto"/>
        <w:ind w:left="0" w:right="0" w:firstLine="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ab/>
        <w:t>Hotararea Curtii de Conturi nr. 68 din 17 decembrie 2020</w:t>
      </w:r>
    </w:p>
  </w:footnote>
  <w:footnote w:id="11">
    <w:p>
      <w:pPr>
        <w:pStyle w:val="Style2"/>
        <w:keepNext w:val="0"/>
        <w:keepLines w:val="0"/>
        <w:widowControl w:val="0"/>
        <w:shd w:val="clear" w:color="auto" w:fill="auto"/>
        <w:tabs>
          <w:tab w:pos="187" w:val="left"/>
        </w:tabs>
        <w:bidi w:val="0"/>
        <w:spacing w:before="0" w:after="0" w:line="240" w:lineRule="auto"/>
        <w:ind w:left="0" w:right="0" w:firstLine="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ab/>
        <w:t>Hotararea Curtii de Conturi nr. 68 din 17 decembrie 2020</w:t>
      </w:r>
    </w:p>
  </w:footnote>
  <w:footnote w:id="12">
    <w:p>
      <w:pPr>
        <w:pStyle w:val="Style2"/>
        <w:keepNext w:val="0"/>
        <w:keepLines w:val="0"/>
        <w:widowControl w:val="0"/>
        <w:shd w:val="clear" w:color="auto" w:fill="auto"/>
        <w:tabs>
          <w:tab w:pos="187" w:val="left"/>
        </w:tabs>
        <w:bidi w:val="0"/>
        <w:spacing w:before="0" w:after="0" w:line="240" w:lineRule="auto"/>
        <w:ind w:left="0" w:right="0" w:firstLine="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ab/>
        <w:t>Hotararea Curtii de Conturi nr. 68 din 2020</w:t>
      </w:r>
    </w:p>
  </w:footnote>
  <w:footnote w:id="13">
    <w:p>
      <w:pPr>
        <w:pStyle w:val="Style2"/>
        <w:keepNext w:val="0"/>
        <w:keepLines w:val="0"/>
        <w:widowControl w:val="0"/>
        <w:shd w:val="clear" w:color="auto" w:fill="auto"/>
        <w:tabs>
          <w:tab w:pos="187" w:val="left"/>
        </w:tabs>
        <w:bidi w:val="0"/>
        <w:spacing w:before="0" w:after="0" w:line="240" w:lineRule="auto"/>
        <w:ind w:left="0" w:right="0" w:firstLine="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ab/>
        <w:t>Scrisoarea SIS nr. 24/660r din 18 februarie 2021</w:t>
      </w:r>
    </w:p>
  </w:footnote>
  <w:footnote w:id="14">
    <w:p>
      <w:pPr>
        <w:pStyle w:val="Style2"/>
        <w:keepNext w:val="0"/>
        <w:keepLines w:val="0"/>
        <w:widowControl w:val="0"/>
        <w:shd w:val="clear" w:color="auto" w:fill="auto"/>
        <w:tabs>
          <w:tab w:pos="202" w:val="left"/>
        </w:tabs>
        <w:bidi w:val="0"/>
        <w:spacing w:before="0" w:after="0" w:line="240" w:lineRule="auto"/>
        <w:ind w:left="0" w:right="0" w:firstLine="0"/>
        <w:jc w:val="left"/>
      </w:pPr>
      <w:r>
        <w:rPr>
          <w:rFonts w:ascii="Calibri" w:eastAsia="Calibri" w:hAnsi="Calibri" w:cs="Calibri"/>
          <w:color w:val="000000"/>
          <w:spacing w:val="0"/>
          <w:w w:val="100"/>
          <w:position w:val="0"/>
          <w:sz w:val="14"/>
          <w:szCs w:val="14"/>
          <w:shd w:val="clear" w:color="auto" w:fill="auto"/>
          <w:vertAlign w:val="superscript"/>
          <w:lang w:val="en-US" w:eastAsia="en-US" w:bidi="en-US"/>
        </w:rPr>
        <w:footnoteRef/>
      </w:r>
      <w:r>
        <w:rPr>
          <w:rFonts w:ascii="Calibri" w:eastAsia="Calibri" w:hAnsi="Calibri" w:cs="Calibri"/>
          <w:color w:val="000000"/>
          <w:spacing w:val="0"/>
          <w:w w:val="100"/>
          <w:position w:val="0"/>
          <w:sz w:val="14"/>
          <w:szCs w:val="14"/>
          <w:shd w:val="clear" w:color="auto" w:fill="auto"/>
          <w:lang w:val="en-US" w:eastAsia="en-US" w:bidi="en-US"/>
        </w:rPr>
        <w:tab/>
      </w:r>
      <w:r>
        <w:rPr>
          <w:color w:val="000000"/>
          <w:spacing w:val="0"/>
          <w:w w:val="100"/>
          <w:position w:val="0"/>
          <w:shd w:val="clear" w:color="auto" w:fill="auto"/>
          <w:lang w:val="en-US" w:eastAsia="en-US" w:bidi="en-US"/>
        </w:rPr>
        <w:t>Actul Inspectiei Financiare din 08.11.2019</w:t>
      </w:r>
    </w:p>
  </w:footnote>
  <w:footnote w:id="15">
    <w:p>
      <w:pPr>
        <w:pStyle w:val="Style2"/>
        <w:keepNext w:val="0"/>
        <w:keepLines w:val="0"/>
        <w:widowControl w:val="0"/>
        <w:shd w:val="clear" w:color="auto" w:fill="auto"/>
        <w:tabs>
          <w:tab w:pos="187" w:val="left"/>
        </w:tabs>
        <w:bidi w:val="0"/>
        <w:spacing w:before="0" w:after="0" w:line="240" w:lineRule="auto"/>
        <w:ind w:left="0" w:right="0" w:firstLine="0"/>
        <w:jc w:val="left"/>
      </w:pPr>
      <w:r>
        <w:rPr>
          <w:rFonts w:ascii="Calibri" w:eastAsia="Calibri" w:hAnsi="Calibri" w:cs="Calibri"/>
          <w:color w:val="000000"/>
          <w:spacing w:val="0"/>
          <w:w w:val="100"/>
          <w:position w:val="0"/>
          <w:sz w:val="8"/>
          <w:szCs w:val="8"/>
          <w:shd w:val="clear" w:color="auto" w:fill="auto"/>
          <w:vertAlign w:val="superscript"/>
          <w:lang w:val="en-US" w:eastAsia="en-US" w:bidi="en-US"/>
        </w:rPr>
        <w:footnoteRef/>
      </w:r>
      <w:r>
        <w:rPr>
          <w:rFonts w:ascii="Calibri" w:eastAsia="Calibri" w:hAnsi="Calibri" w:cs="Calibri"/>
          <w:color w:val="000000"/>
          <w:spacing w:val="0"/>
          <w:w w:val="100"/>
          <w:position w:val="0"/>
          <w:sz w:val="8"/>
          <w:szCs w:val="8"/>
          <w:shd w:val="clear" w:color="auto" w:fill="auto"/>
          <w:lang w:val="en-US" w:eastAsia="en-US" w:bidi="en-US"/>
        </w:rPr>
        <w:tab/>
      </w:r>
      <w:r>
        <w:rPr>
          <w:color w:val="000000"/>
          <w:spacing w:val="0"/>
          <w:w w:val="100"/>
          <w:position w:val="0"/>
          <w:shd w:val="clear" w:color="auto" w:fill="auto"/>
          <w:lang w:val="en-US" w:eastAsia="en-US" w:bidi="en-US"/>
        </w:rPr>
        <w:t>Actul Inspectiei Financiare din 08.11.2019</w:t>
      </w:r>
    </w:p>
  </w:footnote>
  <w:footnote w:id="16">
    <w:p>
      <w:pPr>
        <w:pStyle w:val="Style2"/>
        <w:keepNext w:val="0"/>
        <w:keepLines w:val="0"/>
        <w:widowControl w:val="0"/>
        <w:shd w:val="clear" w:color="auto" w:fill="auto"/>
        <w:tabs>
          <w:tab w:pos="187" w:val="left"/>
        </w:tabs>
        <w:bidi w:val="0"/>
        <w:spacing w:before="0" w:after="0" w:line="240" w:lineRule="auto"/>
        <w:ind w:left="0" w:right="0" w:firstLine="0"/>
        <w:jc w:val="left"/>
      </w:pPr>
      <w:r>
        <w:rPr>
          <w:rFonts w:ascii="Calibri" w:eastAsia="Calibri" w:hAnsi="Calibri" w:cs="Calibri"/>
          <w:color w:val="000000"/>
          <w:spacing w:val="0"/>
          <w:w w:val="100"/>
          <w:position w:val="0"/>
          <w:sz w:val="8"/>
          <w:szCs w:val="8"/>
          <w:shd w:val="clear" w:color="auto" w:fill="auto"/>
          <w:vertAlign w:val="superscript"/>
          <w:lang w:val="en-US" w:eastAsia="en-US" w:bidi="en-US"/>
        </w:rPr>
        <w:footnoteRef/>
      </w:r>
      <w:r>
        <w:rPr>
          <w:rFonts w:ascii="Calibri" w:eastAsia="Calibri" w:hAnsi="Calibri" w:cs="Calibri"/>
          <w:color w:val="000000"/>
          <w:spacing w:val="0"/>
          <w:w w:val="100"/>
          <w:position w:val="0"/>
          <w:sz w:val="8"/>
          <w:szCs w:val="8"/>
          <w:shd w:val="clear" w:color="auto" w:fill="auto"/>
          <w:lang w:val="en-US" w:eastAsia="en-US" w:bidi="en-US"/>
        </w:rPr>
        <w:tab/>
      </w:r>
      <w:r>
        <w:rPr>
          <w:color w:val="000000"/>
          <w:spacing w:val="0"/>
          <w:w w:val="100"/>
          <w:position w:val="0"/>
          <w:shd w:val="clear" w:color="auto" w:fill="auto"/>
          <w:lang w:val="en-US" w:eastAsia="en-US" w:bidi="en-US"/>
        </w:rPr>
        <w:t>Actul Inspectiei financiare din 08.07.2016</w:t>
      </w:r>
    </w:p>
  </w:footnote>
  <w:footnote w:id="17">
    <w:p>
      <w:pPr>
        <w:pStyle w:val="Style2"/>
        <w:keepNext w:val="0"/>
        <w:keepLines w:val="0"/>
        <w:widowControl w:val="0"/>
        <w:shd w:val="clear" w:color="auto" w:fill="auto"/>
        <w:tabs>
          <w:tab w:pos="187" w:val="left"/>
        </w:tabs>
        <w:bidi w:val="0"/>
        <w:spacing w:before="0" w:after="0" w:line="240" w:lineRule="auto"/>
        <w:ind w:left="0" w:right="0" w:firstLine="0"/>
        <w:jc w:val="left"/>
      </w:pPr>
      <w:r>
        <w:rPr>
          <w:rFonts w:ascii="Calibri" w:eastAsia="Calibri" w:hAnsi="Calibri" w:cs="Calibri"/>
          <w:color w:val="000000"/>
          <w:spacing w:val="0"/>
          <w:w w:val="100"/>
          <w:position w:val="0"/>
          <w:sz w:val="8"/>
          <w:szCs w:val="8"/>
          <w:shd w:val="clear" w:color="auto" w:fill="auto"/>
          <w:vertAlign w:val="superscript"/>
          <w:lang w:val="en-US" w:eastAsia="en-US" w:bidi="en-US"/>
        </w:rPr>
        <w:footnoteRef/>
      </w:r>
      <w:r>
        <w:rPr>
          <w:rFonts w:ascii="Calibri" w:eastAsia="Calibri" w:hAnsi="Calibri" w:cs="Calibri"/>
          <w:color w:val="000000"/>
          <w:spacing w:val="0"/>
          <w:w w:val="100"/>
          <w:position w:val="0"/>
          <w:sz w:val="8"/>
          <w:szCs w:val="8"/>
          <w:shd w:val="clear" w:color="auto" w:fill="auto"/>
          <w:lang w:val="en-US" w:eastAsia="en-US" w:bidi="en-US"/>
        </w:rPr>
        <w:tab/>
      </w:r>
      <w:r>
        <w:rPr>
          <w:color w:val="000000"/>
          <w:spacing w:val="0"/>
          <w:w w:val="100"/>
          <w:position w:val="0"/>
          <w:shd w:val="clear" w:color="auto" w:fill="auto"/>
          <w:lang w:val="en-US" w:eastAsia="en-US" w:bidi="en-US"/>
        </w:rPr>
        <w:t>Hotararea Curtii de Conturi nr. 8 din 26 martie 2018</w:t>
      </w:r>
    </w:p>
  </w:footnote>
  <w:footnote w:id="18">
    <w:p>
      <w:pPr>
        <w:pStyle w:val="Style2"/>
        <w:keepNext w:val="0"/>
        <w:keepLines w:val="0"/>
        <w:widowControl w:val="0"/>
        <w:shd w:val="clear" w:color="auto" w:fill="auto"/>
        <w:tabs>
          <w:tab w:pos="187" w:val="left"/>
        </w:tabs>
        <w:bidi w:val="0"/>
        <w:spacing w:before="0" w:after="0" w:line="240" w:lineRule="auto"/>
        <w:ind w:left="0" w:right="0" w:firstLine="0"/>
        <w:jc w:val="left"/>
      </w:pPr>
      <w:r>
        <w:rPr>
          <w:rFonts w:ascii="Calibri" w:eastAsia="Calibri" w:hAnsi="Calibri" w:cs="Calibri"/>
          <w:color w:val="000000"/>
          <w:spacing w:val="0"/>
          <w:w w:val="100"/>
          <w:position w:val="0"/>
          <w:sz w:val="8"/>
          <w:szCs w:val="8"/>
          <w:shd w:val="clear" w:color="auto" w:fill="auto"/>
          <w:vertAlign w:val="superscript"/>
          <w:lang w:val="en-US" w:eastAsia="en-US" w:bidi="en-US"/>
        </w:rPr>
        <w:footnoteRef/>
      </w:r>
      <w:r>
        <w:rPr>
          <w:rFonts w:ascii="Calibri" w:eastAsia="Calibri" w:hAnsi="Calibri" w:cs="Calibri"/>
          <w:color w:val="000000"/>
          <w:spacing w:val="0"/>
          <w:w w:val="100"/>
          <w:position w:val="0"/>
          <w:sz w:val="8"/>
          <w:szCs w:val="8"/>
          <w:shd w:val="clear" w:color="auto" w:fill="auto"/>
          <w:lang w:val="en-US" w:eastAsia="en-US" w:bidi="en-US"/>
        </w:rPr>
        <w:tab/>
      </w:r>
      <w:r>
        <w:rPr>
          <w:color w:val="000000"/>
          <w:spacing w:val="0"/>
          <w:w w:val="100"/>
          <w:position w:val="0"/>
          <w:shd w:val="clear" w:color="auto" w:fill="auto"/>
          <w:lang w:val="en-US" w:eastAsia="en-US" w:bidi="en-US"/>
        </w:rPr>
        <w:t>Hotararea Curtii de Conturi nr. 68 din 17 decembrie 2020</w:t>
      </w:r>
    </w:p>
  </w:footnote>
  <w:footnote w:id="19">
    <w:p>
      <w:pPr>
        <w:pStyle w:val="Style2"/>
        <w:keepNext w:val="0"/>
        <w:keepLines w:val="0"/>
        <w:widowControl w:val="0"/>
        <w:shd w:val="clear" w:color="auto" w:fill="auto"/>
        <w:tabs>
          <w:tab w:pos="187" w:val="left"/>
        </w:tabs>
        <w:bidi w:val="0"/>
        <w:spacing w:before="0" w:after="0" w:line="240" w:lineRule="auto"/>
        <w:ind w:left="0" w:right="0" w:firstLine="0"/>
        <w:jc w:val="left"/>
      </w:pPr>
      <w:r>
        <w:rPr>
          <w:rFonts w:ascii="Calibri" w:eastAsia="Calibri" w:hAnsi="Calibri" w:cs="Calibri"/>
          <w:color w:val="000000"/>
          <w:spacing w:val="0"/>
          <w:w w:val="100"/>
          <w:position w:val="0"/>
          <w:sz w:val="8"/>
          <w:szCs w:val="8"/>
          <w:shd w:val="clear" w:color="auto" w:fill="auto"/>
          <w:vertAlign w:val="superscript"/>
          <w:lang w:val="en-US" w:eastAsia="en-US" w:bidi="en-US"/>
        </w:rPr>
        <w:footnoteRef/>
      </w:r>
      <w:r>
        <w:rPr>
          <w:rFonts w:ascii="Calibri" w:eastAsia="Calibri" w:hAnsi="Calibri" w:cs="Calibri"/>
          <w:color w:val="000000"/>
          <w:spacing w:val="0"/>
          <w:w w:val="100"/>
          <w:position w:val="0"/>
          <w:sz w:val="8"/>
          <w:szCs w:val="8"/>
          <w:shd w:val="clear" w:color="auto" w:fill="auto"/>
          <w:lang w:val="en-US" w:eastAsia="en-US" w:bidi="en-US"/>
        </w:rPr>
        <w:tab/>
      </w:r>
      <w:r>
        <w:rPr>
          <w:color w:val="000000"/>
          <w:spacing w:val="0"/>
          <w:w w:val="100"/>
          <w:position w:val="0"/>
          <w:shd w:val="clear" w:color="auto" w:fill="auto"/>
          <w:lang w:val="en-US" w:eastAsia="en-US" w:bidi="en-US"/>
        </w:rPr>
        <w:t>Hotararea Curtii de Conturi nr. 68 din 17 decembrie 2020</w:t>
      </w:r>
    </w:p>
  </w:footnote>
  <w:footnote w:id="20">
    <w:p>
      <w:pPr>
        <w:pStyle w:val="Style2"/>
        <w:keepNext w:val="0"/>
        <w:keepLines w:val="0"/>
        <w:widowControl w:val="0"/>
        <w:shd w:val="clear" w:color="auto" w:fill="auto"/>
        <w:tabs>
          <w:tab w:pos="187" w:val="left"/>
        </w:tabs>
        <w:bidi w:val="0"/>
        <w:spacing w:before="0" w:after="0" w:line="240" w:lineRule="auto"/>
        <w:ind w:left="0" w:right="0" w:firstLine="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ab/>
        <w:t>Demersul Inspectiei Financiare nr. 27-06-01/1021 din 22.07.2016</w:t>
      </w:r>
    </w:p>
  </w:footnote>
  <w:footnote w:id="21">
    <w:p>
      <w:pPr>
        <w:pStyle w:val="Style2"/>
        <w:keepNext w:val="0"/>
        <w:keepLines w:val="0"/>
        <w:widowControl w:val="0"/>
        <w:shd w:val="clear" w:color="auto" w:fill="auto"/>
        <w:tabs>
          <w:tab w:pos="187" w:val="left"/>
        </w:tabs>
        <w:bidi w:val="0"/>
        <w:spacing w:before="0" w:after="0" w:line="240" w:lineRule="auto"/>
        <w:ind w:left="0" w:right="0" w:firstLine="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ab/>
        <w:t>Actul Inspectiei Financiare din 14.01.2014</w:t>
      </w:r>
    </w:p>
  </w:footnote>
  <w:footnote w:id="22">
    <w:p>
      <w:pPr>
        <w:pStyle w:val="Style2"/>
        <w:keepNext w:val="0"/>
        <w:keepLines w:val="0"/>
        <w:widowControl w:val="0"/>
        <w:shd w:val="clear" w:color="auto" w:fill="auto"/>
        <w:tabs>
          <w:tab w:pos="187" w:val="left"/>
        </w:tabs>
        <w:bidi w:val="0"/>
        <w:spacing w:before="0" w:after="0" w:line="240" w:lineRule="auto"/>
        <w:ind w:left="0" w:right="0" w:firstLine="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ab/>
        <w:t>Actul Inspectiei Financiare din 08.07.2016</w:t>
      </w:r>
    </w:p>
  </w:footnote>
  <w:footnote w:id="23">
    <w:p>
      <w:pPr>
        <w:pStyle w:val="Style2"/>
        <w:keepNext w:val="0"/>
        <w:keepLines w:val="0"/>
        <w:widowControl w:val="0"/>
        <w:shd w:val="clear" w:color="auto" w:fill="auto"/>
        <w:tabs>
          <w:tab w:pos="187" w:val="left"/>
        </w:tabs>
        <w:bidi w:val="0"/>
        <w:spacing w:before="0" w:after="0" w:line="240" w:lineRule="auto"/>
        <w:ind w:left="0" w:right="0" w:firstLine="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ab/>
        <w:t>Actul Inspectiei Financiare din 08.11.2019</w:t>
      </w:r>
    </w:p>
  </w:footnote>
  <w:footnote w:id="24">
    <w:p>
      <w:pPr>
        <w:pStyle w:val="Style2"/>
        <w:keepNext w:val="0"/>
        <w:keepLines w:val="0"/>
        <w:widowControl w:val="0"/>
        <w:shd w:val="clear" w:color="auto" w:fill="auto"/>
        <w:tabs>
          <w:tab w:pos="187" w:val="left"/>
        </w:tabs>
        <w:bidi w:val="0"/>
        <w:spacing w:before="0" w:after="0" w:line="240" w:lineRule="auto"/>
        <w:ind w:left="0" w:right="0" w:firstLine="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ab/>
        <w:t>Actul Inspectiei Financiare din 08.07.2016</w:t>
      </w:r>
    </w:p>
  </w:footnote>
  <w:footnote w:id="25">
    <w:p>
      <w:pPr>
        <w:pStyle w:val="Style2"/>
        <w:keepNext w:val="0"/>
        <w:keepLines w:val="0"/>
        <w:widowControl w:val="0"/>
        <w:shd w:val="clear" w:color="auto" w:fill="auto"/>
        <w:tabs>
          <w:tab w:pos="187" w:val="left"/>
        </w:tabs>
        <w:bidi w:val="0"/>
        <w:spacing w:before="0" w:after="0" w:line="240" w:lineRule="auto"/>
        <w:ind w:left="0" w:right="0" w:firstLine="0"/>
        <w:jc w:val="left"/>
      </w:pPr>
      <w:r>
        <w:rPr>
          <w:rFonts w:ascii="Calibri" w:eastAsia="Calibri" w:hAnsi="Calibri" w:cs="Calibri"/>
          <w:color w:val="000000"/>
          <w:spacing w:val="0"/>
          <w:w w:val="100"/>
          <w:position w:val="0"/>
          <w:sz w:val="8"/>
          <w:szCs w:val="8"/>
          <w:shd w:val="clear" w:color="auto" w:fill="auto"/>
          <w:vertAlign w:val="superscript"/>
          <w:lang w:val="en-US" w:eastAsia="en-US" w:bidi="en-US"/>
        </w:rPr>
        <w:footnoteRef/>
      </w:r>
      <w:r>
        <w:rPr>
          <w:rFonts w:ascii="Calibri" w:eastAsia="Calibri" w:hAnsi="Calibri" w:cs="Calibri"/>
          <w:color w:val="000000"/>
          <w:spacing w:val="0"/>
          <w:w w:val="100"/>
          <w:position w:val="0"/>
          <w:sz w:val="8"/>
          <w:szCs w:val="8"/>
          <w:shd w:val="clear" w:color="auto" w:fill="auto"/>
          <w:lang w:val="en-US" w:eastAsia="en-US" w:bidi="en-US"/>
        </w:rPr>
        <w:tab/>
      </w:r>
      <w:r>
        <w:rPr>
          <w:color w:val="000000"/>
          <w:spacing w:val="0"/>
          <w:w w:val="100"/>
          <w:position w:val="0"/>
          <w:shd w:val="clear" w:color="auto" w:fill="auto"/>
          <w:lang w:val="en-US" w:eastAsia="en-US" w:bidi="en-US"/>
        </w:rPr>
        <w:t>Actul Inspectiei Financiare din 08.11.2019</w:t>
      </w:r>
    </w:p>
  </w:footnote>
  <w:footnote w:id="26">
    <w:p>
      <w:pPr>
        <w:pStyle w:val="Style2"/>
        <w:keepNext w:val="0"/>
        <w:keepLines w:val="0"/>
        <w:widowControl w:val="0"/>
        <w:shd w:val="clear" w:color="auto" w:fill="auto"/>
        <w:tabs>
          <w:tab w:pos="182" w:val="left"/>
        </w:tabs>
        <w:bidi w:val="0"/>
        <w:spacing w:before="0" w:after="0" w:line="240" w:lineRule="auto"/>
        <w:ind w:left="0" w:right="0" w:firstLine="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ab/>
        <w:t>Demersul Inspectiei Financiare nr. 27-06-04/1239 din 16.10.2013 adresat CNA</w:t>
      </w:r>
    </w:p>
  </w:footnote>
  <w:footnote w:id="27">
    <w:p>
      <w:pPr>
        <w:pStyle w:val="Style2"/>
        <w:keepNext w:val="0"/>
        <w:keepLines w:val="0"/>
        <w:widowControl w:val="0"/>
        <w:shd w:val="clear" w:color="auto" w:fill="auto"/>
        <w:tabs>
          <w:tab w:pos="182" w:val="left"/>
        </w:tabs>
        <w:bidi w:val="0"/>
        <w:spacing w:before="0" w:after="0" w:line="240" w:lineRule="auto"/>
        <w:ind w:left="0" w:right="0" w:firstLine="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ab/>
        <w:t>Actul Inspectiei Financiare din 08.07.2016</w:t>
      </w:r>
    </w:p>
  </w:footnote>
  <w:footnote w:id="28">
    <w:p>
      <w:pPr>
        <w:pStyle w:val="Style2"/>
        <w:keepNext w:val="0"/>
        <w:keepLines w:val="0"/>
        <w:widowControl w:val="0"/>
        <w:shd w:val="clear" w:color="auto" w:fill="auto"/>
        <w:tabs>
          <w:tab w:pos="182" w:val="left"/>
        </w:tabs>
        <w:bidi w:val="0"/>
        <w:spacing w:before="0" w:after="0" w:line="240" w:lineRule="auto"/>
        <w:ind w:left="0" w:right="0" w:firstLine="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ab/>
        <w:t>Scrisoarea SIS nr. 24/664r din 19 februarie 2021</w:t>
      </w:r>
    </w:p>
  </w:footnote>
  <w:footnote w:id="29">
    <w:p>
      <w:pPr>
        <w:pStyle w:val="Style2"/>
        <w:keepNext w:val="0"/>
        <w:keepLines w:val="0"/>
        <w:widowControl w:val="0"/>
        <w:shd w:val="clear" w:color="auto" w:fill="auto"/>
        <w:tabs>
          <w:tab w:pos="187" w:val="left"/>
        </w:tabs>
        <w:bidi w:val="0"/>
        <w:spacing w:before="0" w:after="0" w:line="240" w:lineRule="auto"/>
        <w:ind w:left="0" w:right="0" w:firstLine="0"/>
        <w:jc w:val="left"/>
      </w:pPr>
      <w:r>
        <w:rPr>
          <w:rFonts w:ascii="Calibri" w:eastAsia="Calibri" w:hAnsi="Calibri" w:cs="Calibri"/>
          <w:color w:val="000000"/>
          <w:spacing w:val="0"/>
          <w:w w:val="100"/>
          <w:position w:val="0"/>
          <w:sz w:val="8"/>
          <w:szCs w:val="8"/>
          <w:shd w:val="clear" w:color="auto" w:fill="auto"/>
          <w:vertAlign w:val="superscript"/>
          <w:lang w:val="en-US" w:eastAsia="en-US" w:bidi="en-US"/>
        </w:rPr>
        <w:footnoteRef/>
      </w:r>
      <w:r>
        <w:rPr>
          <w:rFonts w:ascii="Calibri" w:eastAsia="Calibri" w:hAnsi="Calibri" w:cs="Calibri"/>
          <w:color w:val="000000"/>
          <w:spacing w:val="0"/>
          <w:w w:val="100"/>
          <w:position w:val="0"/>
          <w:sz w:val="8"/>
          <w:szCs w:val="8"/>
          <w:shd w:val="clear" w:color="auto" w:fill="auto"/>
          <w:lang w:val="en-US" w:eastAsia="en-US" w:bidi="en-US"/>
        </w:rPr>
        <w:tab/>
      </w:r>
      <w:r>
        <w:rPr>
          <w:color w:val="000000"/>
          <w:spacing w:val="0"/>
          <w:w w:val="100"/>
          <w:position w:val="0"/>
          <w:shd w:val="clear" w:color="auto" w:fill="auto"/>
          <w:lang w:val="en-US" w:eastAsia="en-US" w:bidi="en-US"/>
        </w:rPr>
        <w:t>Demersul I.S. „CFM” nr. H4/546 din 19.03.2021</w:t>
      </w:r>
    </w:p>
  </w:footnote>
  <w:footnote w:id="30">
    <w:p>
      <w:pPr>
        <w:pStyle w:val="Style2"/>
        <w:keepNext w:val="0"/>
        <w:keepLines w:val="0"/>
        <w:widowControl w:val="0"/>
        <w:shd w:val="clear" w:color="auto" w:fill="auto"/>
        <w:tabs>
          <w:tab w:pos="187" w:val="left"/>
        </w:tabs>
        <w:bidi w:val="0"/>
        <w:spacing w:before="0" w:after="0" w:line="240" w:lineRule="auto"/>
        <w:ind w:left="0" w:right="0" w:firstLine="0"/>
        <w:jc w:val="left"/>
      </w:pPr>
      <w:r>
        <w:rPr>
          <w:rFonts w:ascii="Calibri" w:eastAsia="Calibri" w:hAnsi="Calibri" w:cs="Calibri"/>
          <w:color w:val="000000"/>
          <w:spacing w:val="0"/>
          <w:w w:val="100"/>
          <w:position w:val="0"/>
          <w:sz w:val="8"/>
          <w:szCs w:val="8"/>
          <w:shd w:val="clear" w:color="auto" w:fill="auto"/>
          <w:vertAlign w:val="superscript"/>
          <w:lang w:val="en-US" w:eastAsia="en-US" w:bidi="en-US"/>
        </w:rPr>
        <w:footnoteRef/>
      </w:r>
      <w:r>
        <w:rPr>
          <w:rFonts w:ascii="Calibri" w:eastAsia="Calibri" w:hAnsi="Calibri" w:cs="Calibri"/>
          <w:color w:val="000000"/>
          <w:spacing w:val="0"/>
          <w:w w:val="100"/>
          <w:position w:val="0"/>
          <w:sz w:val="8"/>
          <w:szCs w:val="8"/>
          <w:shd w:val="clear" w:color="auto" w:fill="auto"/>
          <w:lang w:val="en-US" w:eastAsia="en-US" w:bidi="en-US"/>
        </w:rPr>
        <w:tab/>
      </w:r>
      <w:r>
        <w:rPr>
          <w:color w:val="000000"/>
          <w:spacing w:val="0"/>
          <w:w w:val="100"/>
          <w:position w:val="0"/>
          <w:shd w:val="clear" w:color="auto" w:fill="auto"/>
          <w:lang w:val="en-US" w:eastAsia="en-US" w:bidi="en-US"/>
        </w:rPr>
        <w:t>Hotararea Curtii de Conturi nr. 68 din 17 decembrie 2020</w:t>
      </w:r>
    </w:p>
  </w:footnote>
  <w:footnote w:id="31">
    <w:p>
      <w:pPr>
        <w:pStyle w:val="Style2"/>
        <w:keepNext w:val="0"/>
        <w:keepLines w:val="0"/>
        <w:widowControl w:val="0"/>
        <w:shd w:val="clear" w:color="auto" w:fill="auto"/>
        <w:tabs>
          <w:tab w:pos="182" w:val="left"/>
        </w:tabs>
        <w:bidi w:val="0"/>
        <w:spacing w:before="0" w:after="0" w:line="240" w:lineRule="auto"/>
        <w:ind w:left="0" w:right="0" w:firstLine="0"/>
        <w:jc w:val="left"/>
      </w:pPr>
      <w:r>
        <w:rPr>
          <w:rFonts w:ascii="Calibri" w:eastAsia="Calibri" w:hAnsi="Calibri" w:cs="Calibri"/>
          <w:color w:val="000000"/>
          <w:spacing w:val="0"/>
          <w:w w:val="100"/>
          <w:position w:val="0"/>
          <w:sz w:val="8"/>
          <w:szCs w:val="8"/>
          <w:shd w:val="clear" w:color="auto" w:fill="auto"/>
          <w:vertAlign w:val="superscript"/>
          <w:lang w:val="en-US" w:eastAsia="en-US" w:bidi="en-US"/>
        </w:rPr>
        <w:footnoteRef/>
      </w:r>
      <w:r>
        <w:rPr>
          <w:rFonts w:ascii="Calibri" w:eastAsia="Calibri" w:hAnsi="Calibri" w:cs="Calibri"/>
          <w:color w:val="000000"/>
          <w:spacing w:val="0"/>
          <w:w w:val="100"/>
          <w:position w:val="0"/>
          <w:sz w:val="8"/>
          <w:szCs w:val="8"/>
          <w:shd w:val="clear" w:color="auto" w:fill="auto"/>
          <w:lang w:val="en-US" w:eastAsia="en-US" w:bidi="en-US"/>
        </w:rPr>
        <w:tab/>
      </w:r>
      <w:r>
        <w:rPr>
          <w:color w:val="000000"/>
          <w:spacing w:val="0"/>
          <w:w w:val="100"/>
          <w:position w:val="0"/>
          <w:shd w:val="clear" w:color="auto" w:fill="auto"/>
          <w:lang w:val="en-US" w:eastAsia="en-US" w:bidi="en-US"/>
        </w:rPr>
        <w:t>Actul Inspectiei Financiare din 07.11.2014</w:t>
      </w:r>
    </w:p>
  </w:footnote>
  <w:footnote w:id="32">
    <w:p>
      <w:pPr>
        <w:pStyle w:val="Style2"/>
        <w:keepNext w:val="0"/>
        <w:keepLines w:val="0"/>
        <w:widowControl w:val="0"/>
        <w:shd w:val="clear" w:color="auto" w:fill="auto"/>
        <w:tabs>
          <w:tab w:pos="187" w:val="left"/>
        </w:tabs>
        <w:bidi w:val="0"/>
        <w:spacing w:before="0" w:after="0" w:line="240" w:lineRule="auto"/>
        <w:ind w:left="0" w:right="0" w:firstLine="0"/>
        <w:jc w:val="left"/>
      </w:pPr>
      <w:r>
        <w:rPr>
          <w:rFonts w:ascii="Calibri" w:eastAsia="Calibri" w:hAnsi="Calibri" w:cs="Calibri"/>
          <w:color w:val="000000"/>
          <w:spacing w:val="0"/>
          <w:w w:val="100"/>
          <w:position w:val="0"/>
          <w:sz w:val="8"/>
          <w:szCs w:val="8"/>
          <w:shd w:val="clear" w:color="auto" w:fill="auto"/>
          <w:vertAlign w:val="superscript"/>
          <w:lang w:val="en-US" w:eastAsia="en-US" w:bidi="en-US"/>
        </w:rPr>
        <w:footnoteRef/>
      </w:r>
      <w:r>
        <w:rPr>
          <w:rFonts w:ascii="Calibri" w:eastAsia="Calibri" w:hAnsi="Calibri" w:cs="Calibri"/>
          <w:color w:val="000000"/>
          <w:spacing w:val="0"/>
          <w:w w:val="100"/>
          <w:position w:val="0"/>
          <w:sz w:val="8"/>
          <w:szCs w:val="8"/>
          <w:shd w:val="clear" w:color="auto" w:fill="auto"/>
          <w:lang w:val="en-US" w:eastAsia="en-US" w:bidi="en-US"/>
        </w:rPr>
        <w:tab/>
      </w:r>
      <w:r>
        <w:rPr>
          <w:color w:val="000000"/>
          <w:spacing w:val="0"/>
          <w:w w:val="100"/>
          <w:position w:val="0"/>
          <w:shd w:val="clear" w:color="auto" w:fill="auto"/>
          <w:lang w:val="en-US" w:eastAsia="en-US" w:bidi="en-US"/>
        </w:rPr>
        <w:t>Actul Inspectiei Financiare din 07.11.2014</w:t>
      </w:r>
    </w:p>
  </w:footnote>
  <w:footnote w:id="33">
    <w:p>
      <w:pPr>
        <w:pStyle w:val="Style2"/>
        <w:keepNext w:val="0"/>
        <w:keepLines w:val="0"/>
        <w:widowControl w:val="0"/>
        <w:shd w:val="clear" w:color="auto" w:fill="auto"/>
        <w:tabs>
          <w:tab w:pos="187" w:val="left"/>
        </w:tabs>
        <w:bidi w:val="0"/>
        <w:spacing w:before="0" w:after="0" w:line="240" w:lineRule="auto"/>
        <w:ind w:left="0" w:right="0" w:firstLine="0"/>
        <w:jc w:val="left"/>
      </w:pPr>
      <w:r>
        <w:rPr>
          <w:rFonts w:ascii="Calibri" w:eastAsia="Calibri" w:hAnsi="Calibri" w:cs="Calibri"/>
          <w:color w:val="000000"/>
          <w:spacing w:val="0"/>
          <w:w w:val="100"/>
          <w:position w:val="0"/>
          <w:sz w:val="8"/>
          <w:szCs w:val="8"/>
          <w:shd w:val="clear" w:color="auto" w:fill="auto"/>
          <w:vertAlign w:val="superscript"/>
          <w:lang w:val="en-US" w:eastAsia="en-US" w:bidi="en-US"/>
        </w:rPr>
        <w:footnoteRef/>
      </w:r>
      <w:r>
        <w:rPr>
          <w:rFonts w:ascii="Calibri" w:eastAsia="Calibri" w:hAnsi="Calibri" w:cs="Calibri"/>
          <w:color w:val="000000"/>
          <w:spacing w:val="0"/>
          <w:w w:val="100"/>
          <w:position w:val="0"/>
          <w:sz w:val="8"/>
          <w:szCs w:val="8"/>
          <w:shd w:val="clear" w:color="auto" w:fill="auto"/>
          <w:lang w:val="en-US" w:eastAsia="en-US" w:bidi="en-US"/>
        </w:rPr>
        <w:tab/>
      </w:r>
      <w:r>
        <w:rPr>
          <w:color w:val="000000"/>
          <w:spacing w:val="0"/>
          <w:w w:val="100"/>
          <w:position w:val="0"/>
          <w:shd w:val="clear" w:color="auto" w:fill="auto"/>
          <w:lang w:val="en-US" w:eastAsia="en-US" w:bidi="en-US"/>
        </w:rPr>
        <w:t>Demersul Inspectiei Financiare din 08.07.2016 catre Prim ministru</w:t>
      </w:r>
    </w:p>
  </w:footnote>
  <w:footnote w:id="34">
    <w:p>
      <w:pPr>
        <w:pStyle w:val="Style2"/>
        <w:keepNext w:val="0"/>
        <w:keepLines w:val="0"/>
        <w:widowControl w:val="0"/>
        <w:shd w:val="clear" w:color="auto" w:fill="auto"/>
        <w:tabs>
          <w:tab w:pos="187" w:val="left"/>
        </w:tabs>
        <w:bidi w:val="0"/>
        <w:spacing w:before="0" w:after="0" w:line="240" w:lineRule="auto"/>
        <w:ind w:left="0" w:right="0" w:firstLine="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ab/>
        <w:t>Scrisoarea SIS nr. 5/1903 din 10.12.2019</w:t>
      </w:r>
    </w:p>
  </w:footnote>
  <w:footnote w:id="35">
    <w:p>
      <w:pPr>
        <w:pStyle w:val="Style2"/>
        <w:keepNext w:val="0"/>
        <w:keepLines w:val="0"/>
        <w:widowControl w:val="0"/>
        <w:shd w:val="clear" w:color="auto" w:fill="auto"/>
        <w:tabs>
          <w:tab w:pos="187" w:val="left"/>
        </w:tabs>
        <w:bidi w:val="0"/>
        <w:spacing w:before="0" w:after="0" w:line="240" w:lineRule="auto"/>
        <w:ind w:left="0" w:right="0" w:firstLine="0"/>
        <w:jc w:val="left"/>
      </w:pPr>
      <w:r>
        <w:rPr>
          <w:rFonts w:ascii="Calibri" w:eastAsia="Calibri" w:hAnsi="Calibri" w:cs="Calibri"/>
          <w:color w:val="000000"/>
          <w:spacing w:val="0"/>
          <w:w w:val="100"/>
          <w:position w:val="0"/>
          <w:sz w:val="8"/>
          <w:szCs w:val="8"/>
          <w:shd w:val="clear" w:color="auto" w:fill="auto"/>
          <w:vertAlign w:val="superscript"/>
          <w:lang w:val="en-US" w:eastAsia="en-US" w:bidi="en-US"/>
        </w:rPr>
        <w:footnoteRef/>
      </w:r>
      <w:r>
        <w:rPr>
          <w:rFonts w:ascii="Calibri" w:eastAsia="Calibri" w:hAnsi="Calibri" w:cs="Calibri"/>
          <w:color w:val="000000"/>
          <w:spacing w:val="0"/>
          <w:w w:val="100"/>
          <w:position w:val="0"/>
          <w:sz w:val="8"/>
          <w:szCs w:val="8"/>
          <w:shd w:val="clear" w:color="auto" w:fill="auto"/>
          <w:lang w:val="en-US" w:eastAsia="en-US" w:bidi="en-US"/>
        </w:rPr>
        <w:tab/>
      </w:r>
      <w:r>
        <w:rPr>
          <w:color w:val="000000"/>
          <w:spacing w:val="0"/>
          <w:w w:val="100"/>
          <w:position w:val="0"/>
          <w:shd w:val="clear" w:color="auto" w:fill="auto"/>
          <w:lang w:val="en-US" w:eastAsia="en-US" w:bidi="en-US"/>
        </w:rPr>
        <w:t>Scrisoarea SIS nr. 5/1903 din 10.12.2019</w:t>
      </w:r>
    </w:p>
  </w:footnote>
  <w:footnote w:id="36">
    <w:p>
      <w:pPr>
        <w:pStyle w:val="Style2"/>
        <w:keepNext w:val="0"/>
        <w:keepLines w:val="0"/>
        <w:widowControl w:val="0"/>
        <w:shd w:val="clear" w:color="auto" w:fill="auto"/>
        <w:tabs>
          <w:tab w:pos="187" w:val="left"/>
        </w:tabs>
        <w:bidi w:val="0"/>
        <w:spacing w:before="0" w:after="0" w:line="240" w:lineRule="auto"/>
        <w:ind w:left="0" w:right="0" w:firstLine="0"/>
        <w:jc w:val="left"/>
      </w:pPr>
      <w:r>
        <w:rPr>
          <w:rFonts w:ascii="Calibri" w:eastAsia="Calibri" w:hAnsi="Calibri" w:cs="Calibri"/>
          <w:color w:val="000000"/>
          <w:spacing w:val="0"/>
          <w:w w:val="100"/>
          <w:position w:val="0"/>
          <w:sz w:val="8"/>
          <w:szCs w:val="8"/>
          <w:shd w:val="clear" w:color="auto" w:fill="auto"/>
          <w:vertAlign w:val="superscript"/>
          <w:lang w:val="en-US" w:eastAsia="en-US" w:bidi="en-US"/>
        </w:rPr>
        <w:footnoteRef/>
      </w:r>
      <w:r>
        <w:rPr>
          <w:rFonts w:ascii="Calibri" w:eastAsia="Calibri" w:hAnsi="Calibri" w:cs="Calibri"/>
          <w:color w:val="000000"/>
          <w:spacing w:val="0"/>
          <w:w w:val="100"/>
          <w:position w:val="0"/>
          <w:sz w:val="8"/>
          <w:szCs w:val="8"/>
          <w:shd w:val="clear" w:color="auto" w:fill="auto"/>
          <w:lang w:val="en-US" w:eastAsia="en-US" w:bidi="en-US"/>
        </w:rPr>
        <w:tab/>
      </w:r>
      <w:r>
        <w:rPr>
          <w:color w:val="000000"/>
          <w:spacing w:val="0"/>
          <w:w w:val="100"/>
          <w:position w:val="0"/>
          <w:shd w:val="clear" w:color="auto" w:fill="auto"/>
          <w:lang w:val="en-US" w:eastAsia="en-US" w:bidi="en-US"/>
        </w:rPr>
        <w:t>Scrisoarea SIS nr. 5/1903 din 10.12.2019</w:t>
      </w:r>
    </w:p>
  </w:footnote>
  <w:footnote w:id="37">
    <w:p>
      <w:pPr>
        <w:pStyle w:val="Style2"/>
        <w:keepNext w:val="0"/>
        <w:keepLines w:val="0"/>
        <w:widowControl w:val="0"/>
        <w:shd w:val="clear" w:color="auto" w:fill="auto"/>
        <w:tabs>
          <w:tab w:pos="187" w:val="left"/>
        </w:tabs>
        <w:bidi w:val="0"/>
        <w:spacing w:before="0" w:after="0" w:line="240" w:lineRule="auto"/>
        <w:ind w:left="0" w:right="0" w:firstLine="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ab/>
        <w:t>Scrisoarea SIS nr. 24/660r din 18 februarie 2021</w:t>
      </w:r>
    </w:p>
  </w:footnote>
  <w:footnote w:id="38">
    <w:p>
      <w:pPr>
        <w:pStyle w:val="Style2"/>
        <w:keepNext w:val="0"/>
        <w:keepLines w:val="0"/>
        <w:widowControl w:val="0"/>
        <w:shd w:val="clear" w:color="auto" w:fill="auto"/>
        <w:tabs>
          <w:tab w:pos="187" w:val="left"/>
        </w:tabs>
        <w:bidi w:val="0"/>
        <w:spacing w:before="0" w:after="0" w:line="240" w:lineRule="auto"/>
        <w:ind w:left="0" w:right="0" w:firstLine="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ab/>
        <w:t>Actul Inspectiei Financiare din 14.02.2013</w:t>
      </w:r>
    </w:p>
  </w:footnote>
  <w:footnote w:id="39">
    <w:p>
      <w:pPr>
        <w:pStyle w:val="Style2"/>
        <w:keepNext w:val="0"/>
        <w:keepLines w:val="0"/>
        <w:widowControl w:val="0"/>
        <w:shd w:val="clear" w:color="auto" w:fill="auto"/>
        <w:tabs>
          <w:tab w:pos="187" w:val="left"/>
        </w:tabs>
        <w:bidi w:val="0"/>
        <w:spacing w:before="0" w:after="0" w:line="240" w:lineRule="auto"/>
        <w:ind w:left="0" w:right="0" w:firstLine="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ab/>
        <w:t>Scrisoarea SIS nr. 24/660r din 18 februarie 2021</w:t>
      </w:r>
    </w:p>
  </w:footnote>
  <w:footnote w:id="40">
    <w:p>
      <w:pPr>
        <w:pStyle w:val="Style2"/>
        <w:keepNext w:val="0"/>
        <w:keepLines w:val="0"/>
        <w:widowControl w:val="0"/>
        <w:shd w:val="clear" w:color="auto" w:fill="auto"/>
        <w:tabs>
          <w:tab w:pos="187" w:val="left"/>
        </w:tabs>
        <w:bidi w:val="0"/>
        <w:spacing w:before="0" w:after="0" w:line="240" w:lineRule="auto"/>
        <w:ind w:left="0" w:right="0" w:firstLine="0"/>
        <w:jc w:val="left"/>
      </w:pPr>
      <w:r>
        <w:rPr>
          <w:rFonts w:ascii="Calibri" w:eastAsia="Calibri" w:hAnsi="Calibri" w:cs="Calibri"/>
          <w:color w:val="000000"/>
          <w:spacing w:val="0"/>
          <w:w w:val="100"/>
          <w:position w:val="0"/>
          <w:sz w:val="8"/>
          <w:szCs w:val="8"/>
          <w:shd w:val="clear" w:color="auto" w:fill="auto"/>
          <w:vertAlign w:val="superscript"/>
          <w:lang w:val="en-US" w:eastAsia="en-US" w:bidi="en-US"/>
        </w:rPr>
        <w:footnoteRef/>
      </w:r>
      <w:r>
        <w:rPr>
          <w:rFonts w:ascii="Calibri" w:eastAsia="Calibri" w:hAnsi="Calibri" w:cs="Calibri"/>
          <w:color w:val="000000"/>
          <w:spacing w:val="0"/>
          <w:w w:val="100"/>
          <w:position w:val="0"/>
          <w:sz w:val="8"/>
          <w:szCs w:val="8"/>
          <w:shd w:val="clear" w:color="auto" w:fill="auto"/>
          <w:lang w:val="en-US" w:eastAsia="en-US" w:bidi="en-US"/>
        </w:rPr>
        <w:tab/>
      </w:r>
      <w:r>
        <w:rPr>
          <w:color w:val="000000"/>
          <w:spacing w:val="0"/>
          <w:w w:val="100"/>
          <w:position w:val="0"/>
          <w:shd w:val="clear" w:color="auto" w:fill="auto"/>
          <w:lang w:val="en-US" w:eastAsia="en-US" w:bidi="en-US"/>
        </w:rPr>
        <w:t>Scrisoarea SIS nr. 5/1903 din 10.12.2019</w:t>
      </w:r>
    </w:p>
  </w:footnote>
  <w:footnote w:id="41">
    <w:p>
      <w:pPr>
        <w:pStyle w:val="Style2"/>
        <w:keepNext w:val="0"/>
        <w:keepLines w:val="0"/>
        <w:widowControl w:val="0"/>
        <w:shd w:val="clear" w:color="auto" w:fill="auto"/>
        <w:tabs>
          <w:tab w:pos="187" w:val="left"/>
        </w:tabs>
        <w:bidi w:val="0"/>
        <w:spacing w:before="0" w:after="0" w:line="240" w:lineRule="auto"/>
        <w:ind w:left="0" w:right="0" w:firstLine="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ab/>
        <w:t>Scrisoarea SIS nr. 24/660r din 18 februarie 2021</w:t>
      </w:r>
    </w:p>
  </w:footnote>
  <w:footnote w:id="42">
    <w:p>
      <w:pPr>
        <w:pStyle w:val="Style2"/>
        <w:keepNext w:val="0"/>
        <w:keepLines w:val="0"/>
        <w:widowControl w:val="0"/>
        <w:shd w:val="clear" w:color="auto" w:fill="auto"/>
        <w:tabs>
          <w:tab w:pos="187" w:val="left"/>
        </w:tabs>
        <w:bidi w:val="0"/>
        <w:spacing w:before="0" w:after="0" w:line="240" w:lineRule="auto"/>
        <w:ind w:left="0" w:right="0" w:firstLine="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ab/>
        <w:t>Pe teritoriul carora a fost constatata ilegalitatea.</w:t>
      </w:r>
    </w:p>
  </w:footnote>
  <w:footnote w:id="43">
    <w:p>
      <w:pPr>
        <w:pStyle w:val="Style2"/>
        <w:keepNext w:val="0"/>
        <w:keepLines w:val="0"/>
        <w:widowControl w:val="0"/>
        <w:shd w:val="clear" w:color="auto" w:fill="auto"/>
        <w:tabs>
          <w:tab w:pos="187" w:val="left"/>
        </w:tabs>
        <w:bidi w:val="0"/>
        <w:spacing w:before="0" w:after="0" w:line="240" w:lineRule="auto"/>
        <w:ind w:left="0" w:right="0" w:firstLine="0"/>
        <w:jc w:val="left"/>
      </w:pPr>
      <w:r>
        <w:rPr>
          <w:color w:val="000000"/>
          <w:spacing w:val="0"/>
          <w:w w:val="100"/>
          <w:position w:val="0"/>
          <w:shd w:val="clear" w:color="auto" w:fill="auto"/>
          <w:vertAlign w:val="superscript"/>
          <w:lang w:val="en-US" w:eastAsia="en-US" w:bidi="en-US"/>
        </w:rPr>
        <w:footnoteRef/>
      </w:r>
      <w:r>
        <w:rPr>
          <w:color w:val="000000"/>
          <w:spacing w:val="0"/>
          <w:w w:val="100"/>
          <w:position w:val="0"/>
          <w:shd w:val="clear" w:color="auto" w:fill="auto"/>
          <w:lang w:val="en-US" w:eastAsia="en-US" w:bidi="en-US"/>
        </w:rPr>
        <w:tab/>
        <w:t>Scrisoarea SIS nr. 24/660r din 18 februarie 2021</w:t>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6069965</wp:posOffset>
              </wp:positionH>
              <wp:positionV relativeFrom="page">
                <wp:posOffset>671195</wp:posOffset>
              </wp:positionV>
              <wp:extent cx="588010" cy="149225"/>
              <wp:wrapNone/>
              <wp:docPr id="11" name="Shape 11"/>
              <a:graphic xmlns:a="http://schemas.openxmlformats.org/drawingml/2006/main">
                <a:graphicData uri="http://schemas.microsoft.com/office/word/2010/wordprocessingShape">
                  <wps:wsp>
                    <wps:cNvSpPr txBox="1"/>
                    <wps:spPr>
                      <a:xfrm>
                        <a:ext cx="588010" cy="149225"/>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24"/>
                              <w:szCs w:val="24"/>
                            </w:rPr>
                          </w:pPr>
                          <w:r>
                            <w:rPr>
                              <w:rFonts w:ascii="Georgia" w:eastAsia="Georgia" w:hAnsi="Georgia" w:cs="Georgia"/>
                              <w:color w:val="303741"/>
                              <w:spacing w:val="0"/>
                              <w:w w:val="100"/>
                              <w:position w:val="0"/>
                              <w:sz w:val="24"/>
                              <w:szCs w:val="24"/>
                              <w:shd w:val="clear" w:color="auto" w:fill="auto"/>
                              <w:lang w:val="en-US" w:eastAsia="en-US" w:bidi="en-US"/>
                            </w:rPr>
                            <w:t>CA/6 nr.</w:t>
                          </w:r>
                        </w:p>
                      </w:txbxContent>
                    </wps:txbx>
                    <wps:bodyPr wrap="none" lIns="0" tIns="0" rIns="0" bIns="0">
                      <a:spAutoFit/>
                    </wps:bodyPr>
                  </wps:wsp>
                </a:graphicData>
              </a:graphic>
            </wp:anchor>
          </w:drawing>
        </mc:Choice>
        <mc:Fallback>
          <w:pict>
            <v:shape id="_x0000_s1037" type="#_x0000_t202" style="position:absolute;margin-left:477.94999999999999pt;margin-top:52.850000000000001pt;width:46.299999999999997pt;height:11.75pt;z-index:-188744061;mso-wrap-style:none;mso-wrap-distance-left:0;mso-wrap-distance-right:0;mso-position-horizontal-relative:page;mso-position-vertical-relative:page" wrapcoords="0 0" filled="f" stroked="f">
              <v:textbox style="mso-fit-shape-to-text:t" inset="0,0,0,0">
                <w:txbxContent>
                  <w:p>
                    <w:pPr>
                      <w:pStyle w:val="Style23"/>
                      <w:keepNext w:val="0"/>
                      <w:keepLines w:val="0"/>
                      <w:widowControl w:val="0"/>
                      <w:shd w:val="clear" w:color="auto" w:fill="auto"/>
                      <w:bidi w:val="0"/>
                      <w:spacing w:before="0" w:after="0" w:line="240" w:lineRule="auto"/>
                      <w:ind w:left="0" w:right="0" w:firstLine="0"/>
                      <w:jc w:val="left"/>
                      <w:rPr>
                        <w:sz w:val="24"/>
                        <w:szCs w:val="24"/>
                      </w:rPr>
                    </w:pPr>
                    <w:r>
                      <w:rPr>
                        <w:rFonts w:ascii="Georgia" w:eastAsia="Georgia" w:hAnsi="Georgia" w:cs="Georgia"/>
                        <w:color w:val="303741"/>
                        <w:spacing w:val="0"/>
                        <w:w w:val="100"/>
                        <w:position w:val="0"/>
                        <w:sz w:val="24"/>
                        <w:szCs w:val="24"/>
                        <w:shd w:val="clear" w:color="auto" w:fill="auto"/>
                        <w:lang w:val="en-US" w:eastAsia="en-US" w:bidi="en-US"/>
                      </w:rPr>
                      <w:t>CA/6 nr.</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4">
    <w:multiLevelType w:val="multilevel"/>
    <w:lvl w:ilvl="0">
      <w:start w:val="1"/>
      <w:numFmt w:val="upperRoman"/>
      <w:lvlText w:val="%1."/>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bidi="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8">
    <w:multiLevelType w:val="multilevel"/>
    <w:lvl w:ilvl="0">
      <w:start w:val="1"/>
      <w:numFmt w:val="upperLetter"/>
      <w:lvlText w:val="%1."/>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bidi="en-US"/>
      </w:rPr>
    </w:lvl>
  </w:abstractNum>
  <w:abstractNum w:abstractNumId="10">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bidi="en-US"/>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4">
    <w:multiLevelType w:val="multilevel"/>
    <w:lvl w:ilvl="0">
      <w:start w:val="9"/>
      <w:numFmt w:val="decimal"/>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vertAlign w:val="superscript"/>
        <w:lang w:val="en-US" w:eastAsia="en-US" w:bidi="en-US"/>
      </w:rPr>
    </w:lvl>
  </w:abstractNum>
  <w:abstractNum w:abstractNumId="16">
    <w:multiLevelType w:val="multilevel"/>
    <w:lvl w:ilvl="0">
      <w:start w:val="1"/>
      <w:numFmt w:val="upp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8">
    <w:multiLevelType w:val="multilevel"/>
    <w:lvl w:ilvl="0">
      <w:start w:val="1"/>
      <w:numFmt w:val="upperLetter"/>
      <w:lvlText w:val="%1."/>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bidi="en-US"/>
      </w:rPr>
    </w:lvl>
  </w:abstractNum>
  <w:abstractNum w:abstractNumId="20">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bidi="en-US"/>
      </w:rPr>
    </w:lvl>
  </w:abstractNum>
  <w:abstractNum w:abstractNumId="2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24">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bidi="en-US"/>
      </w:rPr>
    </w:lvl>
    <w:lvl w:ilvl="1">
      <w:start w:val="1"/>
      <w:numFmt w:val="decimal"/>
      <w:lvlText w:val="%1.%2."/>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bidi="en-US"/>
      </w:rPr>
    </w:lvl>
  </w:abstractNum>
  <w:abstractNum w:abstractNumId="26">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2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30">
    <w:multiLevelType w:val="multilevel"/>
    <w:lvl w:ilvl="0">
      <w:start w:val="3"/>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32">
    <w:multiLevelType w:val="multilevel"/>
    <w:lvl w:ilvl="0">
      <w:start w:val="100"/>
      <w:numFmt w:val="lowerRoman"/>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3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3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3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40">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42">
    <w:multiLevelType w:val="multilevel"/>
    <w:lvl w:ilvl="0">
      <w:start w:val="4"/>
      <w:numFmt w:val="upperLetter"/>
      <w:lvlText w:val="%1."/>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bidi="en-US"/>
      </w:rPr>
    </w:lvl>
  </w:abstractNum>
  <w:abstractNum w:abstractNumId="44">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bidi="en-US"/>
      </w:rPr>
    </w:lvl>
  </w:abstractNum>
  <w:abstractNum w:abstractNumId="46">
    <w:multiLevelType w:val="multilevel"/>
    <w:lvl w:ilvl="0">
      <w:start w:val="5"/>
      <w:numFmt w:val="upperRoman"/>
      <w:lvlText w:val="%1."/>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bidi="en-US"/>
      </w:rPr>
    </w:lvl>
  </w:abstractNum>
  <w:abstractNum w:abstractNumId="48">
    <w:multiLevelType w:val="multilevel"/>
    <w:lvl w:ilvl="0">
      <w:start w:val="5"/>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5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52">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5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en-US" w:bidi="en-US"/>
      </w:rPr>
    </w:lvl>
  </w:abstractNum>
  <w:abstractNum w:abstractNumId="5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en-US" w:bidi="en-US"/>
      </w:rPr>
    </w:lvl>
  </w:abstractNum>
  <w:abstractNum w:abstractNumId="5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en-US" w:bidi="en-US"/>
      </w:rPr>
    </w:lvl>
  </w:abstractNum>
  <w:abstractNum w:abstractNumId="6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en-US" w:bidi="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 w:numId="41">
    <w:abstractNumId w:val="40"/>
  </w:num>
  <w:num w:numId="43">
    <w:abstractNumId w:val="42"/>
  </w:num>
  <w:num w:numId="45">
    <w:abstractNumId w:val="44"/>
  </w:num>
  <w:num w:numId="47">
    <w:abstractNumId w:val="46"/>
  </w:num>
  <w:num w:numId="49">
    <w:abstractNumId w:val="48"/>
  </w:num>
  <w:num w:numId="51">
    <w:abstractNumId w:val="50"/>
  </w:num>
  <w:num w:numId="53">
    <w:abstractNumId w:val="52"/>
  </w:num>
  <w:num w:numId="55">
    <w:abstractNumId w:val="54"/>
  </w:num>
  <w:num w:numId="57">
    <w:abstractNumId w:val="56"/>
  </w:num>
  <w:num w:numId="59">
    <w:abstractNumId w:val="58"/>
  </w:num>
  <w:num w:numId="61">
    <w:abstractNumId w:val="6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en-US" w:eastAsia="en-US" w:bidi="en-US"/>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en-US" w:eastAsia="en-US" w:bidi="en-US"/>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en-US" w:eastAsia="en-US" w:bidi="en-US"/>
    </w:rPr>
  </w:style>
  <w:style w:type="character" w:customStyle="1" w:styleId="CharStyle3">
    <w:name w:val="Footnote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7">
    <w:name w:val="Picture caption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Other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Heading #1_"/>
    <w:basedOn w:val="DefaultParagraphFont"/>
    <w:link w:val="Style13"/>
    <w:rPr>
      <w:rFonts w:ascii="Georgia" w:eastAsia="Georgia" w:hAnsi="Georgia" w:cs="Georgia"/>
      <w:b/>
      <w:bCs/>
      <w:i w:val="0"/>
      <w:iCs w:val="0"/>
      <w:smallCaps w:val="0"/>
      <w:strike w:val="0"/>
      <w:color w:val="303741"/>
      <w:sz w:val="30"/>
      <w:szCs w:val="30"/>
      <w:u w:val="none"/>
    </w:rPr>
  </w:style>
  <w:style w:type="character" w:customStyle="1" w:styleId="CharStyle16">
    <w:name w:val="Heading #2_"/>
    <w:basedOn w:val="DefaultParagraphFont"/>
    <w:link w:val="Style15"/>
    <w:rPr>
      <w:rFonts w:ascii="Times New Roman" w:eastAsia="Times New Roman" w:hAnsi="Times New Roman" w:cs="Times New Roman"/>
      <w:b/>
      <w:bCs/>
      <w:i w:val="0"/>
      <w:iCs w:val="0"/>
      <w:smallCaps w:val="0"/>
      <w:strike w:val="0"/>
      <w:sz w:val="28"/>
      <w:szCs w:val="28"/>
      <w:u w:val="none"/>
    </w:rPr>
  </w:style>
  <w:style w:type="character" w:customStyle="1" w:styleId="CharStyle18">
    <w:name w:val="Body text_"/>
    <w:basedOn w:val="DefaultParagraphFont"/>
    <w:link w:val="Style17"/>
    <w:rPr>
      <w:rFonts w:ascii="Times New Roman" w:eastAsia="Times New Roman" w:hAnsi="Times New Roman" w:cs="Times New Roman"/>
      <w:b w:val="0"/>
      <w:bCs w:val="0"/>
      <w:i w:val="0"/>
      <w:iCs w:val="0"/>
      <w:smallCaps w:val="0"/>
      <w:strike w:val="0"/>
      <w:sz w:val="28"/>
      <w:szCs w:val="28"/>
      <w:u w:val="none"/>
    </w:rPr>
  </w:style>
  <w:style w:type="character" w:customStyle="1" w:styleId="CharStyle24">
    <w:name w:val="Header or footer (2)_"/>
    <w:basedOn w:val="DefaultParagraphFont"/>
    <w:link w:val="Style23"/>
    <w:rPr>
      <w:rFonts w:ascii="Times New Roman" w:eastAsia="Times New Roman" w:hAnsi="Times New Roman" w:cs="Times New Roman"/>
      <w:b w:val="0"/>
      <w:bCs w:val="0"/>
      <w:i w:val="0"/>
      <w:iCs w:val="0"/>
      <w:smallCaps w:val="0"/>
      <w:strike w:val="0"/>
      <w:sz w:val="20"/>
      <w:szCs w:val="20"/>
      <w:u w:val="none"/>
    </w:rPr>
  </w:style>
  <w:style w:type="character" w:customStyle="1" w:styleId="CharStyle33">
    <w:name w:val="Table caption_"/>
    <w:basedOn w:val="DefaultParagraphFont"/>
    <w:link w:val="Style32"/>
    <w:rPr>
      <w:rFonts w:ascii="Times New Roman" w:eastAsia="Times New Roman" w:hAnsi="Times New Roman" w:cs="Times New Roman"/>
      <w:b w:val="0"/>
      <w:bCs w:val="0"/>
      <w:i w:val="0"/>
      <w:iCs w:val="0"/>
      <w:smallCaps w:val="0"/>
      <w:strike w:val="0"/>
      <w:color w:val="0563C1"/>
      <w:sz w:val="20"/>
      <w:szCs w:val="20"/>
      <w:u w:val="single"/>
    </w:rPr>
  </w:style>
  <w:style w:type="character" w:customStyle="1" w:styleId="CharStyle72">
    <w:name w:val="Header or footer_"/>
    <w:basedOn w:val="DefaultParagraphFont"/>
    <w:link w:val="Style71"/>
    <w:rPr>
      <w:rFonts w:ascii="Times New Roman" w:eastAsia="Times New Roman" w:hAnsi="Times New Roman" w:cs="Times New Roman"/>
      <w:b w:val="0"/>
      <w:bCs w:val="0"/>
      <w:i w:val="0"/>
      <w:iCs w:val="0"/>
      <w:smallCaps w:val="0"/>
      <w:strike w:val="0"/>
      <w:color w:val="0563C1"/>
      <w:sz w:val="20"/>
      <w:szCs w:val="20"/>
      <w:u w:val="single"/>
    </w:rPr>
  </w:style>
  <w:style w:type="character" w:customStyle="1" w:styleId="CharStyle76">
    <w:name w:val="Table of contents_"/>
    <w:basedOn w:val="DefaultParagraphFont"/>
    <w:link w:val="Style75"/>
    <w:rPr>
      <w:rFonts w:ascii="Times New Roman" w:eastAsia="Times New Roman" w:hAnsi="Times New Roman" w:cs="Times New Roman"/>
      <w:b w:val="0"/>
      <w:bCs w:val="0"/>
      <w:i w:val="0"/>
      <w:iCs w:val="0"/>
      <w:smallCaps w:val="0"/>
      <w:strike w:val="0"/>
      <w:sz w:val="28"/>
      <w:szCs w:val="28"/>
      <w:u w:val="none"/>
    </w:rPr>
  </w:style>
  <w:style w:type="character" w:customStyle="1" w:styleId="CharStyle78">
    <w:name w:val="Body text (4)_"/>
    <w:basedOn w:val="DefaultParagraphFont"/>
    <w:link w:val="Style77"/>
    <w:rPr>
      <w:rFonts w:ascii="Times New Roman" w:eastAsia="Times New Roman" w:hAnsi="Times New Roman" w:cs="Times New Roman"/>
      <w:b w:val="0"/>
      <w:bCs w:val="0"/>
      <w:i w:val="0"/>
      <w:iCs w:val="0"/>
      <w:smallCaps w:val="0"/>
      <w:strike w:val="0"/>
      <w:sz w:val="20"/>
      <w:szCs w:val="20"/>
      <w:u w:val="none"/>
    </w:rPr>
  </w:style>
  <w:style w:type="character" w:customStyle="1" w:styleId="CharStyle81">
    <w:name w:val="Body text (5)_"/>
    <w:basedOn w:val="DefaultParagraphFont"/>
    <w:link w:val="Style80"/>
    <w:rPr>
      <w:rFonts w:ascii="Times New Roman" w:eastAsia="Times New Roman" w:hAnsi="Times New Roman" w:cs="Times New Roman"/>
      <w:b w:val="0"/>
      <w:bCs w:val="0"/>
      <w:i w:val="0"/>
      <w:iCs w:val="0"/>
      <w:smallCaps w:val="0"/>
      <w:strike w:val="0"/>
      <w:u w:val="none"/>
    </w:rPr>
  </w:style>
  <w:style w:type="paragraph" w:customStyle="1" w:styleId="Style2">
    <w:name w:val="Footnote"/>
    <w:basedOn w:val="Normal"/>
    <w:link w:val="CharStyle3"/>
    <w:pPr>
      <w:widowControl w:val="0"/>
      <w:shd w:val="clear" w:color="auto" w:fill="FFFFFF"/>
    </w:pPr>
    <w:rPr>
      <w:rFonts w:ascii="Times New Roman" w:eastAsia="Times New Roman" w:hAnsi="Times New Roman" w:cs="Times New Roman"/>
      <w:b w:val="0"/>
      <w:bCs w:val="0"/>
      <w:i w:val="0"/>
      <w:iCs w:val="0"/>
      <w:smallCaps w:val="0"/>
      <w:strike w:val="0"/>
      <w:sz w:val="20"/>
      <w:szCs w:val="20"/>
      <w:u w:val="none"/>
    </w:rPr>
  </w:style>
  <w:style w:type="paragraph" w:customStyle="1" w:styleId="Style6">
    <w:name w:val="Picture caption"/>
    <w:basedOn w:val="Normal"/>
    <w:link w:val="CharStyle7"/>
    <w:pPr>
      <w:widowControl w:val="0"/>
      <w:shd w:val="clear" w:color="auto" w:fill="FFFFFF"/>
      <w:ind w:firstLine="33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Other"/>
    <w:basedOn w:val="Normal"/>
    <w:link w:val="CharStyle10"/>
    <w:pPr>
      <w:widowControl w:val="0"/>
      <w:shd w:val="clear" w:color="auto" w:fill="FFFFFF"/>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Heading #1"/>
    <w:basedOn w:val="Normal"/>
    <w:link w:val="CharStyle14"/>
    <w:pPr>
      <w:widowControl w:val="0"/>
      <w:shd w:val="clear" w:color="auto" w:fill="FFFFFF"/>
      <w:spacing w:after="720"/>
      <w:ind w:firstLine="160"/>
      <w:outlineLvl w:val="0"/>
    </w:pPr>
    <w:rPr>
      <w:rFonts w:ascii="Georgia" w:eastAsia="Georgia" w:hAnsi="Georgia" w:cs="Georgia"/>
      <w:b/>
      <w:bCs/>
      <w:i w:val="0"/>
      <w:iCs w:val="0"/>
      <w:smallCaps w:val="0"/>
      <w:strike w:val="0"/>
      <w:color w:val="303741"/>
      <w:sz w:val="30"/>
      <w:szCs w:val="30"/>
      <w:u w:val="none"/>
    </w:rPr>
  </w:style>
  <w:style w:type="paragraph" w:customStyle="1" w:styleId="Style15">
    <w:name w:val="Heading #2"/>
    <w:basedOn w:val="Normal"/>
    <w:link w:val="CharStyle16"/>
    <w:pPr>
      <w:widowControl w:val="0"/>
      <w:shd w:val="clear" w:color="auto" w:fill="FFFFFF"/>
      <w:ind w:firstLine="660"/>
      <w:outlineLvl w:val="1"/>
    </w:pPr>
    <w:rPr>
      <w:rFonts w:ascii="Times New Roman" w:eastAsia="Times New Roman" w:hAnsi="Times New Roman" w:cs="Times New Roman"/>
      <w:b/>
      <w:bCs/>
      <w:i w:val="0"/>
      <w:iCs w:val="0"/>
      <w:smallCaps w:val="0"/>
      <w:strike w:val="0"/>
      <w:sz w:val="28"/>
      <w:szCs w:val="28"/>
      <w:u w:val="none"/>
    </w:rPr>
  </w:style>
  <w:style w:type="paragraph" w:styleId="Style17">
    <w:name w:val="Body text"/>
    <w:basedOn w:val="Normal"/>
    <w:link w:val="CharStyle18"/>
    <w:qFormat/>
    <w:pPr>
      <w:widowControl w:val="0"/>
      <w:shd w:val="clear" w:color="auto" w:fill="FFFFFF"/>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3">
    <w:name w:val="Header or footer (2)"/>
    <w:basedOn w:val="Normal"/>
    <w:link w:val="CharStyle24"/>
    <w:pPr>
      <w:widowControl w:val="0"/>
      <w:shd w:val="clear" w:color="auto" w:fill="FFFFFF"/>
    </w:pPr>
    <w:rPr>
      <w:rFonts w:ascii="Times New Roman" w:eastAsia="Times New Roman" w:hAnsi="Times New Roman" w:cs="Times New Roman"/>
      <w:b w:val="0"/>
      <w:bCs w:val="0"/>
      <w:i w:val="0"/>
      <w:iCs w:val="0"/>
      <w:smallCaps w:val="0"/>
      <w:strike w:val="0"/>
      <w:sz w:val="20"/>
      <w:szCs w:val="20"/>
      <w:u w:val="none"/>
    </w:rPr>
  </w:style>
  <w:style w:type="paragraph" w:customStyle="1" w:styleId="Style32">
    <w:name w:val="Table caption"/>
    <w:basedOn w:val="Normal"/>
    <w:link w:val="CharStyle33"/>
    <w:pPr>
      <w:widowControl w:val="0"/>
      <w:shd w:val="clear" w:color="auto" w:fill="FFFFFF"/>
    </w:pPr>
    <w:rPr>
      <w:rFonts w:ascii="Times New Roman" w:eastAsia="Times New Roman" w:hAnsi="Times New Roman" w:cs="Times New Roman"/>
      <w:b w:val="0"/>
      <w:bCs w:val="0"/>
      <w:i w:val="0"/>
      <w:iCs w:val="0"/>
      <w:smallCaps w:val="0"/>
      <w:strike w:val="0"/>
      <w:color w:val="0563C1"/>
      <w:sz w:val="20"/>
      <w:szCs w:val="20"/>
      <w:u w:val="single"/>
    </w:rPr>
  </w:style>
  <w:style w:type="paragraph" w:customStyle="1" w:styleId="Style71">
    <w:name w:val="Header or footer"/>
    <w:basedOn w:val="Normal"/>
    <w:link w:val="CharStyle72"/>
    <w:pPr>
      <w:widowControl w:val="0"/>
      <w:shd w:val="clear" w:color="auto" w:fill="FFFFFF"/>
    </w:pPr>
    <w:rPr>
      <w:rFonts w:ascii="Times New Roman" w:eastAsia="Times New Roman" w:hAnsi="Times New Roman" w:cs="Times New Roman"/>
      <w:b w:val="0"/>
      <w:bCs w:val="0"/>
      <w:i w:val="0"/>
      <w:iCs w:val="0"/>
      <w:smallCaps w:val="0"/>
      <w:strike w:val="0"/>
      <w:color w:val="0563C1"/>
      <w:sz w:val="20"/>
      <w:szCs w:val="20"/>
      <w:u w:val="single"/>
    </w:rPr>
  </w:style>
  <w:style w:type="paragraph" w:customStyle="1" w:styleId="Style75">
    <w:name w:val="Table of contents"/>
    <w:basedOn w:val="Normal"/>
    <w:link w:val="CharStyle76"/>
    <w:pPr>
      <w:widowControl w:val="0"/>
      <w:shd w:val="clear" w:color="auto" w:fill="FFFFFF"/>
    </w:pPr>
    <w:rPr>
      <w:rFonts w:ascii="Times New Roman" w:eastAsia="Times New Roman" w:hAnsi="Times New Roman" w:cs="Times New Roman"/>
      <w:b w:val="0"/>
      <w:bCs w:val="0"/>
      <w:i w:val="0"/>
      <w:iCs w:val="0"/>
      <w:smallCaps w:val="0"/>
      <w:strike w:val="0"/>
      <w:sz w:val="28"/>
      <w:szCs w:val="28"/>
      <w:u w:val="none"/>
    </w:rPr>
  </w:style>
  <w:style w:type="paragraph" w:customStyle="1" w:styleId="Style77">
    <w:name w:val="Body text (4)"/>
    <w:basedOn w:val="Normal"/>
    <w:link w:val="CharStyle78"/>
    <w:pPr>
      <w:widowControl w:val="0"/>
      <w:shd w:val="clear" w:color="auto" w:fill="FFFFFF"/>
      <w:spacing w:after="240"/>
      <w:ind w:left="8240" w:right="680"/>
      <w:jc w:val="right"/>
    </w:pPr>
    <w:rPr>
      <w:rFonts w:ascii="Times New Roman" w:eastAsia="Times New Roman" w:hAnsi="Times New Roman" w:cs="Times New Roman"/>
      <w:b w:val="0"/>
      <w:bCs w:val="0"/>
      <w:i w:val="0"/>
      <w:iCs w:val="0"/>
      <w:smallCaps w:val="0"/>
      <w:strike w:val="0"/>
      <w:sz w:val="20"/>
      <w:szCs w:val="20"/>
      <w:u w:val="none"/>
    </w:rPr>
  </w:style>
  <w:style w:type="paragraph" w:customStyle="1" w:styleId="Style80">
    <w:name w:val="Body text (5)"/>
    <w:basedOn w:val="Normal"/>
    <w:link w:val="CharStyle81"/>
    <w:pPr>
      <w:widowControl w:val="0"/>
      <w:shd w:val="clear" w:color="auto" w:fill="FFFFFF"/>
      <w:spacing w:after="240"/>
      <w:ind w:firstLine="640"/>
    </w:pPr>
    <w:rPr>
      <w:rFonts w:ascii="Times New Roman" w:eastAsia="Times New Roman" w:hAnsi="Times New Roman" w:cs="Times New Roman"/>
      <w:b w:val="0"/>
      <w:bCs w:val="0"/>
      <w:i w:val="0"/>
      <w:iCs w:val="0"/>
      <w:smallCaps w:val="0"/>
      <w:strike w:val="0"/>
      <w:u w:val="none"/>
    </w:rPr>
  </w:style>
</w:style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4.jpeg"/><Relationship Id="rId26" Type="http://schemas.openxmlformats.org/officeDocument/2006/relationships/header" Target="header7.xml"/><Relationship Id="rId39" Type="http://schemas.openxmlformats.org/officeDocument/2006/relationships/footer" Target="footer12.xml"/><Relationship Id="rId21" Type="http://schemas.openxmlformats.org/officeDocument/2006/relationships/image" Target="media/image5.jpeg" TargetMode="External"/><Relationship Id="rId34" Type="http://schemas.openxmlformats.org/officeDocument/2006/relationships/header" Target="header11.xml"/><Relationship Id="rId42" Type="http://schemas.openxmlformats.org/officeDocument/2006/relationships/customXml" Target="../customXml/item1.xml"/><Relationship Id="rId7"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image" Target="media/image5.jpeg"/><Relationship Id="rId29" Type="http://schemas.openxmlformats.org/officeDocument/2006/relationships/footer" Target="footer7.xml"/><Relationship Id="rId41" Type="http://schemas.openxmlformats.org/officeDocument/2006/relationships/footer" Target="footer13.xml"/><Relationship Id="rId1" Type="http://schemas.openxmlformats.org/officeDocument/2006/relationships/footnotes" Target="footnotes.xml"/><Relationship Id="rId6" Type="http://schemas.openxmlformats.org/officeDocument/2006/relationships/image" Target="media/image1.jpeg" TargetMode="External"/><Relationship Id="rId11" Type="http://schemas.openxmlformats.org/officeDocument/2006/relationships/header" Target="header1.xml"/><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1.xml"/><Relationship Id="rId40" Type="http://schemas.openxmlformats.org/officeDocument/2006/relationships/header" Target="header14.xml"/><Relationship Id="rId5" Type="http://schemas.openxmlformats.org/officeDocument/2006/relationships/image" Target="media/image1.jpeg"/><Relationship Id="rId15" Type="http://schemas.openxmlformats.org/officeDocument/2006/relationships/footer" Target="footer2.xml"/><Relationship Id="rId23" Type="http://schemas.openxmlformats.org/officeDocument/2006/relationships/footer" Target="footer4.xml"/><Relationship Id="rId28" Type="http://schemas.openxmlformats.org/officeDocument/2006/relationships/header" Target="header8.xml"/><Relationship Id="rId36" Type="http://schemas.openxmlformats.org/officeDocument/2006/relationships/header" Target="header12.xml"/><Relationship Id="rId10" Type="http://schemas.openxmlformats.org/officeDocument/2006/relationships/image" Target="media/image3.jpeg" TargetMode="External"/><Relationship Id="rId19" Type="http://schemas.openxmlformats.org/officeDocument/2006/relationships/image" Target="media/image4.jpeg" TargetMode="External"/><Relationship Id="rId31" Type="http://schemas.openxmlformats.org/officeDocument/2006/relationships/footer" Target="footer8.xml"/><Relationship Id="rId44"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eader" Target="header3.xml"/><Relationship Id="rId22" Type="http://schemas.openxmlformats.org/officeDocument/2006/relationships/header" Target="header5.xml"/><Relationship Id="rId27" Type="http://schemas.openxmlformats.org/officeDocument/2006/relationships/footer" Target="footer6.xml"/><Relationship Id="rId30" Type="http://schemas.openxmlformats.org/officeDocument/2006/relationships/header" Target="header9.xml"/><Relationship Id="rId35" Type="http://schemas.openxmlformats.org/officeDocument/2006/relationships/footer" Target="footer10.xml"/><Relationship Id="rId43" Type="http://schemas.openxmlformats.org/officeDocument/2006/relationships/customXml" Target="../customXml/item2.xml"/><Relationship Id="rId8" Type="http://schemas.openxmlformats.org/officeDocument/2006/relationships/image" Target="media/image2.jpeg" TargetMode="External"/><Relationship Id="rId3" Type="http://schemas.openxmlformats.org/officeDocument/2006/relationships/numbering" Target="numbering.xml"/><Relationship Id="rId12" Type="http://schemas.openxmlformats.org/officeDocument/2006/relationships/header" Target="header2.xml"/><Relationship Id="rId17" Type="http://schemas.openxmlformats.org/officeDocument/2006/relationships/footer" Target="footer3.xml"/><Relationship Id="rId25" Type="http://schemas.openxmlformats.org/officeDocument/2006/relationships/footer" Target="footer5.xml"/><Relationship Id="rId33" Type="http://schemas.openxmlformats.org/officeDocument/2006/relationships/footer" Target="footer9.xml"/><Relationship Id="rId38" Type="http://schemas.openxmlformats.org/officeDocument/2006/relationships/header" Target="header13.xml"/></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222ECEE-E155-4242-B52A-1DFD23461963}"/>
</file>

<file path=customXml/itemProps2.xml><?xml version="1.0" encoding="utf-8"?>
<ds:datastoreItem xmlns:ds="http://schemas.openxmlformats.org/officeDocument/2006/customXml" ds:itemID="{66E67868-65A5-43F5-8CC5-A7B96875609B}"/>
</file>

<file path=customXml/itemProps3.xml><?xml version="1.0" encoding="utf-8"?>
<ds:datastoreItem xmlns:ds="http://schemas.openxmlformats.org/officeDocument/2006/customXml" ds:itemID="{86045240-EDD0-4906-A4FE-8956D428A8A5}"/>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128.2021.ro</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