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5625" w:rsidRDefault="00D95625" w:rsidP="00D95625">
      <w:pPr>
        <w:jc w:val="center"/>
        <w:rPr>
          <w:b/>
          <w:sz w:val="26"/>
          <w:szCs w:val="28"/>
        </w:rPr>
      </w:pPr>
      <w:r>
        <w:rPr>
          <w:b/>
          <w:sz w:val="26"/>
          <w:szCs w:val="28"/>
        </w:rPr>
        <w:t>Пояснительная записка</w:t>
      </w:r>
    </w:p>
    <w:p w:rsidR="00D95625" w:rsidRDefault="00D95625" w:rsidP="00D95625">
      <w:pPr>
        <w:pStyle w:val="tt"/>
        <w:rPr>
          <w:sz w:val="26"/>
          <w:szCs w:val="28"/>
        </w:rPr>
      </w:pPr>
      <w:r>
        <w:rPr>
          <w:sz w:val="26"/>
          <w:szCs w:val="28"/>
        </w:rPr>
        <w:t xml:space="preserve">К проекту постановления Правительства об утверждении проекта закона </w:t>
      </w:r>
    </w:p>
    <w:p w:rsidR="00D95625" w:rsidRDefault="00D95625" w:rsidP="00D95625">
      <w:pPr>
        <w:pStyle w:val="tt"/>
        <w:rPr>
          <w:sz w:val="26"/>
          <w:szCs w:val="28"/>
        </w:rPr>
      </w:pPr>
      <w:r>
        <w:rPr>
          <w:sz w:val="26"/>
          <w:szCs w:val="28"/>
        </w:rPr>
        <w:t>об утверждении  проекта закона  о внесении изменений и дополнений в Закон о стандартизации № 590-XIII от 22 сентября 1995 года</w:t>
      </w:r>
      <w:r>
        <w:rPr>
          <w:sz w:val="26"/>
          <w:szCs w:val="28"/>
          <w:lang w:val="ro-RO"/>
        </w:rPr>
        <w:t xml:space="preserve"> </w:t>
      </w:r>
    </w:p>
    <w:p w:rsidR="00D95625" w:rsidRDefault="00D95625" w:rsidP="00D95625">
      <w:pPr>
        <w:rPr>
          <w:sz w:val="22"/>
          <w:szCs w:val="22"/>
          <w:lang w:val="ro-RO"/>
        </w:rPr>
      </w:pPr>
    </w:p>
    <w:p w:rsidR="00D95625" w:rsidRDefault="00D95625" w:rsidP="00D95625">
      <w:pPr>
        <w:ind w:firstLine="708"/>
        <w:jc w:val="both"/>
        <w:rPr>
          <w:sz w:val="22"/>
          <w:szCs w:val="22"/>
        </w:rPr>
      </w:pPr>
      <w:proofErr w:type="gramStart"/>
      <w:r>
        <w:rPr>
          <w:sz w:val="22"/>
          <w:szCs w:val="22"/>
        </w:rPr>
        <w:t xml:space="preserve">Представленный проект закона о внесении изменений и дополнений в Закон о стандартизации № </w:t>
      </w:r>
      <w:r>
        <w:rPr>
          <w:sz w:val="22"/>
          <w:szCs w:val="22"/>
          <w:lang w:val="ro-RO"/>
        </w:rPr>
        <w:t xml:space="preserve">590-XIII </w:t>
      </w:r>
      <w:r>
        <w:rPr>
          <w:sz w:val="22"/>
          <w:szCs w:val="22"/>
        </w:rPr>
        <w:t>от</w:t>
      </w:r>
      <w:r>
        <w:rPr>
          <w:sz w:val="22"/>
          <w:szCs w:val="22"/>
          <w:lang w:val="ro-RO"/>
        </w:rPr>
        <w:t xml:space="preserve"> 22 </w:t>
      </w:r>
      <w:r>
        <w:rPr>
          <w:sz w:val="22"/>
          <w:szCs w:val="22"/>
        </w:rPr>
        <w:t>сентября</w:t>
      </w:r>
      <w:r>
        <w:rPr>
          <w:sz w:val="22"/>
          <w:szCs w:val="22"/>
          <w:lang w:val="ro-RO"/>
        </w:rPr>
        <w:t xml:space="preserve"> 1995</w:t>
      </w:r>
      <w:r>
        <w:rPr>
          <w:sz w:val="22"/>
          <w:szCs w:val="22"/>
        </w:rPr>
        <w:t xml:space="preserve"> разработан в соответствии с Планом действий Правительства на 2011-2014 годы, утвержденного Постановлением Правительства № </w:t>
      </w:r>
      <w:r>
        <w:rPr>
          <w:sz w:val="22"/>
          <w:szCs w:val="22"/>
          <w:lang w:val="ro-RO"/>
        </w:rPr>
        <w:t>179</w:t>
      </w:r>
      <w:r>
        <w:rPr>
          <w:sz w:val="22"/>
          <w:szCs w:val="22"/>
        </w:rPr>
        <w:t xml:space="preserve"> от</w:t>
      </w:r>
      <w:r>
        <w:rPr>
          <w:sz w:val="22"/>
          <w:szCs w:val="22"/>
          <w:lang w:val="ro-RO"/>
        </w:rPr>
        <w:t xml:space="preserve"> 23.03.2011</w:t>
      </w:r>
      <w:r>
        <w:rPr>
          <w:sz w:val="22"/>
          <w:szCs w:val="22"/>
        </w:rPr>
        <w:t>, а также с целью  выполнения рекомендаций Европейской комиссии по созданию Углубленной и Всеобъемлющей Зоны Свободной Торговли между Республикой Молдова и ЕС в части приведения законодательства, применяемого в</w:t>
      </w:r>
      <w:proofErr w:type="gramEnd"/>
      <w:r>
        <w:rPr>
          <w:sz w:val="22"/>
          <w:szCs w:val="22"/>
        </w:rPr>
        <w:t xml:space="preserve"> деятельности по стандартизации, в соответствие с европейской практикой.</w:t>
      </w:r>
    </w:p>
    <w:p w:rsidR="00D95625" w:rsidRDefault="00D95625" w:rsidP="00D95625">
      <w:pPr>
        <w:pStyle w:val="tt"/>
        <w:ind w:firstLine="708"/>
        <w:jc w:val="both"/>
        <w:rPr>
          <w:b w:val="0"/>
          <w:sz w:val="22"/>
          <w:szCs w:val="22"/>
        </w:rPr>
      </w:pPr>
    </w:p>
    <w:p w:rsidR="00D95625" w:rsidRDefault="00D95625" w:rsidP="00D95625">
      <w:pPr>
        <w:pStyle w:val="cn"/>
        <w:ind w:firstLine="708"/>
        <w:jc w:val="both"/>
        <w:rPr>
          <w:sz w:val="22"/>
          <w:szCs w:val="22"/>
        </w:rPr>
      </w:pPr>
      <w:proofErr w:type="gramStart"/>
      <w:r>
        <w:rPr>
          <w:sz w:val="22"/>
          <w:szCs w:val="22"/>
        </w:rPr>
        <w:t xml:space="preserve">Закон о стандартизации № </w:t>
      </w:r>
      <w:r>
        <w:rPr>
          <w:sz w:val="22"/>
          <w:szCs w:val="22"/>
          <w:lang w:val="ro-RO"/>
        </w:rPr>
        <w:t xml:space="preserve">590-XIII </w:t>
      </w:r>
      <w:r>
        <w:rPr>
          <w:sz w:val="22"/>
          <w:szCs w:val="22"/>
        </w:rPr>
        <w:t>от</w:t>
      </w:r>
      <w:r>
        <w:rPr>
          <w:sz w:val="22"/>
          <w:szCs w:val="22"/>
          <w:lang w:val="ro-RO"/>
        </w:rPr>
        <w:t xml:space="preserve"> 22 </w:t>
      </w:r>
      <w:r>
        <w:rPr>
          <w:sz w:val="22"/>
          <w:szCs w:val="22"/>
        </w:rPr>
        <w:t>сентября</w:t>
      </w:r>
      <w:r>
        <w:rPr>
          <w:sz w:val="22"/>
          <w:szCs w:val="22"/>
          <w:lang w:val="ro-RO"/>
        </w:rPr>
        <w:t xml:space="preserve"> 1995</w:t>
      </w:r>
      <w:r>
        <w:rPr>
          <w:sz w:val="22"/>
          <w:szCs w:val="22"/>
        </w:rPr>
        <w:t xml:space="preserve"> был частично гармонизирован с международными и европейскими требованиями, принятием Закона № 421-XVI от 22.12.2006 о внесении изменений и дополнений в Закон о стандартизации № 590-XIII от 22 сентября 1995 года с учетом реальной политической и экономической ситуации в Республике Молдова на конец 2006 года, в том числе:</w:t>
      </w:r>
      <w:proofErr w:type="gramEnd"/>
    </w:p>
    <w:p w:rsidR="00D95625" w:rsidRDefault="00D95625" w:rsidP="00D95625">
      <w:pPr>
        <w:ind w:firstLine="709"/>
        <w:jc w:val="both"/>
        <w:rPr>
          <w:sz w:val="22"/>
          <w:szCs w:val="22"/>
        </w:rPr>
      </w:pPr>
      <w:r>
        <w:rPr>
          <w:sz w:val="22"/>
          <w:szCs w:val="22"/>
        </w:rPr>
        <w:t xml:space="preserve">- Руководство </w:t>
      </w:r>
      <w:r>
        <w:rPr>
          <w:sz w:val="22"/>
          <w:szCs w:val="22"/>
          <w:lang w:val="ro-RO"/>
        </w:rPr>
        <w:t>ISO</w:t>
      </w:r>
      <w:r>
        <w:rPr>
          <w:sz w:val="22"/>
          <w:szCs w:val="22"/>
        </w:rPr>
        <w:t>/</w:t>
      </w:r>
      <w:r>
        <w:rPr>
          <w:sz w:val="22"/>
          <w:szCs w:val="22"/>
          <w:lang w:val="en-US"/>
        </w:rPr>
        <w:t>IEC</w:t>
      </w:r>
      <w:r>
        <w:rPr>
          <w:sz w:val="22"/>
          <w:szCs w:val="22"/>
        </w:rPr>
        <w:t xml:space="preserve"> 2:2004 “Стандартизация и смежные виды деятельности. Общий словарь“ и европейский стандарт </w:t>
      </w:r>
      <w:r>
        <w:rPr>
          <w:color w:val="000000"/>
          <w:sz w:val="22"/>
          <w:szCs w:val="22"/>
          <w:lang w:val="en-US"/>
        </w:rPr>
        <w:t>EN</w:t>
      </w:r>
      <w:r>
        <w:rPr>
          <w:color w:val="000000"/>
          <w:sz w:val="22"/>
          <w:szCs w:val="22"/>
        </w:rPr>
        <w:t xml:space="preserve"> 45020:2007 </w:t>
      </w:r>
      <w:r>
        <w:rPr>
          <w:sz w:val="22"/>
          <w:szCs w:val="22"/>
        </w:rPr>
        <w:t>“Стандартизация и смежные виды деятельности. Общий словарь</w:t>
      </w:r>
      <w:r w:rsidRPr="00D95625">
        <w:rPr>
          <w:sz w:val="22"/>
          <w:szCs w:val="22"/>
        </w:rPr>
        <w:t>“</w:t>
      </w:r>
      <w:r w:rsidRPr="00D95625">
        <w:rPr>
          <w:color w:val="000000"/>
          <w:sz w:val="22"/>
          <w:szCs w:val="22"/>
        </w:rPr>
        <w:t xml:space="preserve"> </w:t>
      </w:r>
      <w:r>
        <w:rPr>
          <w:sz w:val="22"/>
          <w:szCs w:val="22"/>
        </w:rPr>
        <w:t>(статья 1);</w:t>
      </w:r>
    </w:p>
    <w:p w:rsidR="00D95625" w:rsidRDefault="00D95625" w:rsidP="00D95625">
      <w:pPr>
        <w:ind w:firstLine="709"/>
        <w:jc w:val="both"/>
        <w:rPr>
          <w:sz w:val="22"/>
          <w:szCs w:val="22"/>
        </w:rPr>
      </w:pPr>
      <w:r>
        <w:rPr>
          <w:sz w:val="22"/>
          <w:szCs w:val="22"/>
        </w:rPr>
        <w:t>- Кодекс установившейся практики применительно к разработке, утверждению и применению стандартов из Соглашения по техническим барьерам в торговле (статья 3);</w:t>
      </w:r>
    </w:p>
    <w:p w:rsidR="00D95625" w:rsidRDefault="00D95625" w:rsidP="00D95625">
      <w:pPr>
        <w:ind w:firstLine="709"/>
        <w:jc w:val="both"/>
        <w:rPr>
          <w:sz w:val="22"/>
          <w:szCs w:val="22"/>
        </w:rPr>
      </w:pPr>
      <w:r>
        <w:rPr>
          <w:sz w:val="22"/>
          <w:szCs w:val="22"/>
        </w:rPr>
        <w:t xml:space="preserve">- Решение Совета Европы от 7 мая </w:t>
      </w:r>
      <w:smartTag w:uri="urn:schemas-microsoft-com:office:smarttags" w:element="metricconverter">
        <w:smartTagPr>
          <w:attr w:name="ProductID" w:val="1985 г"/>
        </w:smartTagPr>
        <w:r>
          <w:rPr>
            <w:sz w:val="22"/>
            <w:szCs w:val="22"/>
          </w:rPr>
          <w:t>1985 г</w:t>
        </w:r>
      </w:smartTag>
      <w:r>
        <w:rPr>
          <w:sz w:val="22"/>
          <w:szCs w:val="22"/>
        </w:rPr>
        <w:t>. по новому подходу к технической гармонизации и стандартам (85</w:t>
      </w:r>
      <w:proofErr w:type="gramStart"/>
      <w:r>
        <w:rPr>
          <w:sz w:val="22"/>
          <w:szCs w:val="22"/>
        </w:rPr>
        <w:t>/С</w:t>
      </w:r>
      <w:proofErr w:type="gramEnd"/>
      <w:r>
        <w:rPr>
          <w:sz w:val="22"/>
          <w:szCs w:val="22"/>
        </w:rPr>
        <w:t xml:space="preserve"> 136/01) (статья 13, статья 14);</w:t>
      </w:r>
    </w:p>
    <w:p w:rsidR="00D95625" w:rsidRDefault="00D95625" w:rsidP="00D95625">
      <w:pPr>
        <w:ind w:firstLine="709"/>
        <w:jc w:val="both"/>
        <w:rPr>
          <w:rFonts w:cs="Tahoma"/>
          <w:sz w:val="22"/>
          <w:szCs w:val="22"/>
        </w:rPr>
      </w:pPr>
      <w:r>
        <w:rPr>
          <w:sz w:val="22"/>
          <w:szCs w:val="22"/>
        </w:rPr>
        <w:t xml:space="preserve">- Руководство </w:t>
      </w:r>
      <w:r>
        <w:rPr>
          <w:rFonts w:cs="Tahoma"/>
          <w:sz w:val="22"/>
          <w:szCs w:val="22"/>
          <w:lang w:val="en-US"/>
        </w:rPr>
        <w:t>CEN</w:t>
      </w:r>
      <w:r>
        <w:rPr>
          <w:rFonts w:cs="Tahoma"/>
          <w:sz w:val="22"/>
          <w:szCs w:val="22"/>
        </w:rPr>
        <w:t>/</w:t>
      </w:r>
      <w:r>
        <w:rPr>
          <w:rFonts w:cs="Tahoma"/>
          <w:sz w:val="22"/>
          <w:szCs w:val="22"/>
          <w:lang w:val="en-US"/>
        </w:rPr>
        <w:t>CENELEC</w:t>
      </w:r>
      <w:r>
        <w:rPr>
          <w:rFonts w:cs="Tahoma"/>
          <w:sz w:val="22"/>
          <w:szCs w:val="22"/>
        </w:rPr>
        <w:t xml:space="preserve"> 10 “Рекомендации по распределению и продаже </w:t>
      </w:r>
      <w:r>
        <w:rPr>
          <w:rFonts w:cs="Tahoma"/>
          <w:sz w:val="22"/>
          <w:szCs w:val="22"/>
          <w:lang w:val="en-US"/>
        </w:rPr>
        <w:t>CEN</w:t>
      </w:r>
      <w:r>
        <w:rPr>
          <w:rFonts w:cs="Tahoma"/>
          <w:sz w:val="22"/>
          <w:szCs w:val="22"/>
        </w:rPr>
        <w:t>/</w:t>
      </w:r>
      <w:r>
        <w:rPr>
          <w:rFonts w:cs="Tahoma"/>
          <w:sz w:val="22"/>
          <w:szCs w:val="22"/>
          <w:lang w:val="en-US"/>
        </w:rPr>
        <w:t>CENELEC</w:t>
      </w:r>
      <w:r>
        <w:rPr>
          <w:rFonts w:cs="Tahoma"/>
          <w:sz w:val="22"/>
          <w:szCs w:val="22"/>
        </w:rPr>
        <w:t xml:space="preserve"> публикаций” (статья 11);</w:t>
      </w:r>
    </w:p>
    <w:p w:rsidR="00D95625" w:rsidRDefault="00D95625" w:rsidP="00D95625">
      <w:pPr>
        <w:pStyle w:val="a4"/>
        <w:spacing w:before="0" w:after="0"/>
        <w:ind w:left="0" w:right="0" w:firstLine="708"/>
        <w:jc w:val="both"/>
        <w:rPr>
          <w:rFonts w:cs="Tahoma"/>
          <w:sz w:val="22"/>
          <w:szCs w:val="22"/>
        </w:rPr>
      </w:pPr>
      <w:r>
        <w:rPr>
          <w:sz w:val="22"/>
          <w:szCs w:val="22"/>
        </w:rPr>
        <w:t xml:space="preserve">- </w:t>
      </w:r>
      <w:r>
        <w:rPr>
          <w:sz w:val="22"/>
          <w:szCs w:val="22"/>
          <w:lang w:val="en-US"/>
        </w:rPr>
        <w:t>ISO</w:t>
      </w:r>
      <w:r>
        <w:rPr>
          <w:sz w:val="22"/>
          <w:szCs w:val="22"/>
        </w:rPr>
        <w:t>/</w:t>
      </w:r>
      <w:r>
        <w:rPr>
          <w:sz w:val="22"/>
          <w:szCs w:val="22"/>
          <w:lang w:val="en-US"/>
        </w:rPr>
        <w:t>IEC</w:t>
      </w:r>
      <w:r>
        <w:rPr>
          <w:sz w:val="22"/>
          <w:szCs w:val="22"/>
        </w:rPr>
        <w:t xml:space="preserve"> Код принципов, касающихся “ссылок на стандарты” и Руководство для предпринимателя </w:t>
      </w:r>
      <w:r>
        <w:rPr>
          <w:rFonts w:cs="Tahoma"/>
          <w:sz w:val="22"/>
          <w:szCs w:val="22"/>
        </w:rPr>
        <w:t>“</w:t>
      </w:r>
      <w:hyperlink r:id="rId4" w:history="1">
        <w:r>
          <w:rPr>
            <w:rStyle w:val="a3"/>
            <w:color w:val="auto"/>
            <w:sz w:val="22"/>
            <w:szCs w:val="22"/>
            <w:u w:val="none"/>
          </w:rPr>
          <w:t>Методы использования ссылочных стандартов в законодательствах с акцентом на европейское законодательство</w:t>
        </w:r>
      </w:hyperlink>
      <w:r>
        <w:rPr>
          <w:rFonts w:cs="Tahoma"/>
          <w:sz w:val="22"/>
          <w:szCs w:val="22"/>
        </w:rPr>
        <w:t xml:space="preserve">“ </w:t>
      </w:r>
      <w:r>
        <w:rPr>
          <w:rFonts w:cs="Tahoma"/>
          <w:sz w:val="22"/>
          <w:szCs w:val="22"/>
          <w:lang w:val="ro-RO"/>
        </w:rPr>
        <w:t>(</w:t>
      </w:r>
      <w:r>
        <w:rPr>
          <w:rFonts w:cs="Tahoma"/>
          <w:sz w:val="22"/>
          <w:szCs w:val="22"/>
        </w:rPr>
        <w:t>статья 1б статья 13б статья 14</w:t>
      </w:r>
      <w:r>
        <w:rPr>
          <w:rFonts w:cs="Tahoma"/>
          <w:sz w:val="22"/>
          <w:szCs w:val="22"/>
          <w:lang w:val="ro-RO"/>
        </w:rPr>
        <w:t>);</w:t>
      </w:r>
    </w:p>
    <w:p w:rsidR="00D95625" w:rsidRDefault="00D95625" w:rsidP="00D95625">
      <w:pPr>
        <w:pStyle w:val="a4"/>
        <w:spacing w:before="0" w:after="0"/>
        <w:ind w:left="0" w:right="0" w:firstLine="708"/>
        <w:jc w:val="both"/>
        <w:rPr>
          <w:rFonts w:cs="Tahoma"/>
          <w:sz w:val="22"/>
          <w:szCs w:val="22"/>
        </w:rPr>
      </w:pPr>
      <w:r>
        <w:rPr>
          <w:rFonts w:cs="Tahoma"/>
          <w:sz w:val="22"/>
          <w:szCs w:val="22"/>
        </w:rPr>
        <w:t>- Директива 98/34/ЕС Европейского Парламента и Совета, устанавливающая процедуру предоставления информации в области технических стандартов и регламентов и правилам информационного общества (статья 1, статья 10, статья 12</w:t>
      </w:r>
      <w:r>
        <w:rPr>
          <w:rFonts w:cs="Tahoma"/>
          <w:sz w:val="22"/>
          <w:szCs w:val="22"/>
          <w:vertAlign w:val="superscript"/>
        </w:rPr>
        <w:t>1</w:t>
      </w:r>
      <w:r>
        <w:rPr>
          <w:rFonts w:cs="Tahoma"/>
          <w:sz w:val="22"/>
          <w:szCs w:val="22"/>
        </w:rPr>
        <w:t>);</w:t>
      </w:r>
    </w:p>
    <w:p w:rsidR="00D95625" w:rsidRDefault="00D95625" w:rsidP="00D95625">
      <w:pPr>
        <w:pStyle w:val="a4"/>
        <w:spacing w:before="0" w:after="0"/>
        <w:ind w:left="0" w:right="0" w:firstLine="708"/>
        <w:jc w:val="both"/>
        <w:rPr>
          <w:rFonts w:cs="Tahoma"/>
          <w:sz w:val="22"/>
          <w:szCs w:val="22"/>
        </w:rPr>
      </w:pPr>
      <w:r>
        <w:rPr>
          <w:rFonts w:cs="Tahoma"/>
          <w:sz w:val="22"/>
          <w:szCs w:val="22"/>
        </w:rPr>
        <w:t xml:space="preserve">Директива 98/34/ЕС распространяется на организацию и осуществление обмена информацией в области стандартов и технических регламентов между европейскими организациями по стандартизации </w:t>
      </w:r>
      <w:r>
        <w:rPr>
          <w:color w:val="000000"/>
          <w:sz w:val="22"/>
          <w:szCs w:val="22"/>
          <w:lang w:val="ro-RO"/>
        </w:rPr>
        <w:t>CEN, CENELEC, ETSI</w:t>
      </w:r>
      <w:r>
        <w:rPr>
          <w:color w:val="000000"/>
          <w:sz w:val="22"/>
          <w:szCs w:val="22"/>
        </w:rPr>
        <w:t>, европейскими органами по стандартизации стран, членов ЕС (</w:t>
      </w:r>
      <w:r>
        <w:rPr>
          <w:i/>
          <w:color w:val="000000"/>
          <w:sz w:val="22"/>
          <w:szCs w:val="22"/>
        </w:rPr>
        <w:t>перечисленные в приложении № 2 Директивы</w:t>
      </w:r>
      <w:r>
        <w:rPr>
          <w:color w:val="000000"/>
          <w:sz w:val="22"/>
          <w:szCs w:val="22"/>
        </w:rPr>
        <w:t>) и Европейской комиссией, а также на нормы по услугам информационного общества.</w:t>
      </w:r>
    </w:p>
    <w:p w:rsidR="00D95625" w:rsidRDefault="00D95625" w:rsidP="00D95625">
      <w:pPr>
        <w:ind w:right="-1" w:firstLine="720"/>
        <w:jc w:val="both"/>
        <w:rPr>
          <w:rFonts w:cs="Tahoma"/>
          <w:sz w:val="22"/>
          <w:szCs w:val="22"/>
        </w:rPr>
      </w:pPr>
      <w:r>
        <w:rPr>
          <w:color w:val="000000"/>
          <w:sz w:val="22"/>
          <w:szCs w:val="22"/>
        </w:rPr>
        <w:t xml:space="preserve">Не будучи членом </w:t>
      </w:r>
      <w:r>
        <w:rPr>
          <w:color w:val="000000"/>
          <w:sz w:val="22"/>
          <w:szCs w:val="22"/>
          <w:lang w:val="ro-RO"/>
        </w:rPr>
        <w:t>ETSI şi CENELEC</w:t>
      </w:r>
      <w:r>
        <w:rPr>
          <w:color w:val="000000"/>
          <w:sz w:val="22"/>
          <w:szCs w:val="22"/>
        </w:rPr>
        <w:t xml:space="preserve">, а </w:t>
      </w:r>
      <w:proofErr w:type="gramStart"/>
      <w:r>
        <w:rPr>
          <w:color w:val="000000"/>
          <w:sz w:val="22"/>
          <w:szCs w:val="22"/>
        </w:rPr>
        <w:t>также</w:t>
      </w:r>
      <w:proofErr w:type="gramEnd"/>
      <w:r>
        <w:rPr>
          <w:color w:val="000000"/>
          <w:sz w:val="22"/>
          <w:szCs w:val="22"/>
        </w:rPr>
        <w:t xml:space="preserve"> не будучи полноправным членом </w:t>
      </w:r>
      <w:r>
        <w:rPr>
          <w:color w:val="000000"/>
          <w:sz w:val="22"/>
          <w:szCs w:val="22"/>
          <w:lang w:val="ro-RO"/>
        </w:rPr>
        <w:t>CEN</w:t>
      </w:r>
      <w:r>
        <w:rPr>
          <w:color w:val="000000"/>
          <w:sz w:val="22"/>
          <w:szCs w:val="22"/>
        </w:rPr>
        <w:t xml:space="preserve"> (</w:t>
      </w:r>
      <w:r>
        <w:rPr>
          <w:i/>
          <w:color w:val="000000"/>
          <w:sz w:val="22"/>
          <w:szCs w:val="22"/>
        </w:rPr>
        <w:t xml:space="preserve">Республика Молдова является аффилированным членом </w:t>
      </w:r>
      <w:r>
        <w:rPr>
          <w:i/>
          <w:color w:val="000000"/>
          <w:sz w:val="22"/>
          <w:szCs w:val="22"/>
          <w:lang w:val="ro-RO"/>
        </w:rPr>
        <w:t>CEN</w:t>
      </w:r>
      <w:r>
        <w:rPr>
          <w:color w:val="000000"/>
          <w:sz w:val="22"/>
          <w:szCs w:val="22"/>
        </w:rPr>
        <w:t>), в условиях политической и экономической ситуации (</w:t>
      </w:r>
      <w:r>
        <w:rPr>
          <w:i/>
          <w:color w:val="000000"/>
          <w:sz w:val="22"/>
          <w:szCs w:val="22"/>
        </w:rPr>
        <w:t>Республика Молдова не является членом ЕС</w:t>
      </w:r>
      <w:r>
        <w:rPr>
          <w:color w:val="000000"/>
          <w:sz w:val="22"/>
          <w:szCs w:val="22"/>
        </w:rPr>
        <w:t xml:space="preserve">), Республика Молдова не имеет законодательной базы для участия в обмене информацией в области технических стандартов и регламентов в полной мере, требуемой Директивой </w:t>
      </w:r>
      <w:r>
        <w:rPr>
          <w:rFonts w:cs="Tahoma"/>
          <w:sz w:val="22"/>
          <w:szCs w:val="22"/>
        </w:rPr>
        <w:t>98/34/ЕС.</w:t>
      </w:r>
    </w:p>
    <w:p w:rsidR="00D95625" w:rsidRDefault="00D95625" w:rsidP="00D95625">
      <w:pPr>
        <w:ind w:right="-1" w:firstLine="720"/>
        <w:jc w:val="both"/>
        <w:rPr>
          <w:rFonts w:cs="Tahoma"/>
          <w:sz w:val="22"/>
          <w:szCs w:val="22"/>
        </w:rPr>
      </w:pPr>
      <w:r>
        <w:rPr>
          <w:color w:val="000000"/>
          <w:sz w:val="22"/>
          <w:szCs w:val="22"/>
        </w:rPr>
        <w:t xml:space="preserve">В рамках разработки настоящего проекта закона были изучена практика стран, членов ЕС, по внедрению Директивы </w:t>
      </w:r>
      <w:r>
        <w:rPr>
          <w:rFonts w:cs="Tahoma"/>
          <w:sz w:val="22"/>
          <w:szCs w:val="22"/>
        </w:rPr>
        <w:t xml:space="preserve">98/34/ЕС. С этой целью был рассмотрен европейский документ </w:t>
      </w:r>
      <w:r>
        <w:rPr>
          <w:rFonts w:cs="Tahoma"/>
          <w:bCs/>
          <w:sz w:val="22"/>
          <w:szCs w:val="22"/>
          <w:lang w:val="ro-RO"/>
        </w:rPr>
        <w:t>„</w:t>
      </w:r>
      <w:r>
        <w:rPr>
          <w:rFonts w:cs="Tahoma"/>
          <w:bCs/>
          <w:sz w:val="22"/>
          <w:szCs w:val="22"/>
        </w:rPr>
        <w:t xml:space="preserve">Национальные положения, представленные странами членами о Директиве </w:t>
      </w:r>
      <w:r>
        <w:rPr>
          <w:rFonts w:cs="Tahoma"/>
          <w:sz w:val="22"/>
          <w:szCs w:val="22"/>
        </w:rPr>
        <w:t xml:space="preserve">98/34/ЕС Европейского Парламента и Совета, </w:t>
      </w:r>
      <w:proofErr w:type="gramStart"/>
      <w:r>
        <w:rPr>
          <w:rFonts w:cs="Tahoma"/>
          <w:sz w:val="22"/>
          <w:szCs w:val="22"/>
        </w:rPr>
        <w:t>устанавливающая</w:t>
      </w:r>
      <w:proofErr w:type="gramEnd"/>
      <w:r>
        <w:rPr>
          <w:rFonts w:cs="Tahoma"/>
          <w:sz w:val="22"/>
          <w:szCs w:val="22"/>
        </w:rPr>
        <w:t xml:space="preserve"> процедуру предоставления информации в области технических стандартов и регламентов и правилам информационного общества”. В качестве примера были изучены соответствующие национальные положения Румынии.</w:t>
      </w:r>
    </w:p>
    <w:p w:rsidR="00D95625" w:rsidRDefault="00D95625" w:rsidP="00D95625">
      <w:pPr>
        <w:ind w:right="-1" w:firstLine="720"/>
        <w:jc w:val="both"/>
        <w:rPr>
          <w:sz w:val="22"/>
          <w:szCs w:val="22"/>
          <w:lang w:val="ro-RO"/>
        </w:rPr>
      </w:pPr>
      <w:r>
        <w:rPr>
          <w:rFonts w:cs="Tahoma"/>
          <w:sz w:val="22"/>
          <w:szCs w:val="22"/>
        </w:rPr>
        <w:t xml:space="preserve">Соглашение об ассоциированном членстве Румынии с ЕС был подписан в </w:t>
      </w:r>
      <w:smartTag w:uri="urn:schemas-microsoft-com:office:smarttags" w:element="metricconverter">
        <w:smartTagPr>
          <w:attr w:name="ProductID" w:val="1993 г"/>
        </w:smartTagPr>
        <w:r>
          <w:rPr>
            <w:rFonts w:cs="Tahoma"/>
            <w:sz w:val="22"/>
            <w:szCs w:val="22"/>
          </w:rPr>
          <w:t>1993 г</w:t>
        </w:r>
      </w:smartTag>
      <w:r>
        <w:rPr>
          <w:rFonts w:cs="Tahoma"/>
          <w:sz w:val="22"/>
          <w:szCs w:val="22"/>
        </w:rPr>
        <w:t>.</w:t>
      </w:r>
    </w:p>
    <w:p w:rsidR="00D95625" w:rsidRDefault="00D95625" w:rsidP="00D95625">
      <w:pPr>
        <w:pStyle w:val="a4"/>
        <w:shd w:val="clear" w:color="auto" w:fill="FFFFFF"/>
        <w:spacing w:before="0" w:after="0"/>
        <w:ind w:left="0" w:right="0" w:firstLine="675"/>
        <w:jc w:val="both"/>
        <w:rPr>
          <w:rFonts w:cs="Tahoma"/>
          <w:bCs/>
          <w:sz w:val="22"/>
          <w:szCs w:val="22"/>
        </w:rPr>
      </w:pPr>
      <w:bookmarkStart w:id="0" w:name="content"/>
      <w:r>
        <w:rPr>
          <w:rFonts w:cs="Tahoma"/>
          <w:bCs/>
          <w:sz w:val="22"/>
          <w:szCs w:val="22"/>
        </w:rPr>
        <w:t>Румыния подала  заявление о вступлении в ЕС 22 июня 1995.</w:t>
      </w:r>
    </w:p>
    <w:p w:rsidR="00D95625" w:rsidRDefault="00D95625" w:rsidP="00D95625">
      <w:pPr>
        <w:pStyle w:val="a4"/>
        <w:shd w:val="clear" w:color="auto" w:fill="FFFFFF"/>
        <w:spacing w:before="0" w:after="0"/>
        <w:ind w:left="0" w:right="0" w:firstLine="675"/>
        <w:jc w:val="both"/>
        <w:rPr>
          <w:rFonts w:cs="Tahoma"/>
          <w:sz w:val="22"/>
          <w:szCs w:val="22"/>
        </w:rPr>
      </w:pPr>
      <w:r>
        <w:rPr>
          <w:rFonts w:cs="Tahoma"/>
          <w:bCs/>
          <w:sz w:val="22"/>
          <w:szCs w:val="22"/>
        </w:rPr>
        <w:t xml:space="preserve">В Румынии Директива </w:t>
      </w:r>
      <w:r>
        <w:rPr>
          <w:rFonts w:cs="Tahoma"/>
          <w:sz w:val="22"/>
          <w:szCs w:val="22"/>
        </w:rPr>
        <w:t>98/34/ЕС была введена через Постановление Правительства № 1016 от 25 июня 2004.</w:t>
      </w:r>
    </w:p>
    <w:p w:rsidR="00D95625" w:rsidRDefault="00D95625" w:rsidP="00D95625">
      <w:pPr>
        <w:pStyle w:val="a4"/>
        <w:shd w:val="clear" w:color="auto" w:fill="FFFFFF"/>
        <w:spacing w:before="0" w:after="0"/>
        <w:ind w:left="0" w:right="0" w:firstLine="675"/>
        <w:jc w:val="both"/>
        <w:rPr>
          <w:rFonts w:cs="Tahoma"/>
          <w:bCs/>
          <w:sz w:val="22"/>
          <w:szCs w:val="22"/>
        </w:rPr>
      </w:pPr>
      <w:r>
        <w:rPr>
          <w:rFonts w:cs="Tahoma"/>
          <w:sz w:val="22"/>
          <w:szCs w:val="22"/>
        </w:rPr>
        <w:t>Румынии вошла в состав ЕС с 01.01.2007.</w:t>
      </w:r>
    </w:p>
    <w:p w:rsidR="00D95625" w:rsidRDefault="00D95625" w:rsidP="00D95625">
      <w:pPr>
        <w:pStyle w:val="a4"/>
        <w:shd w:val="clear" w:color="auto" w:fill="FFFFFF"/>
        <w:spacing w:before="0" w:after="0"/>
        <w:ind w:left="0" w:right="0" w:firstLine="675"/>
        <w:jc w:val="both"/>
        <w:rPr>
          <w:rFonts w:cs="Tahoma"/>
          <w:sz w:val="22"/>
          <w:szCs w:val="22"/>
        </w:rPr>
      </w:pPr>
      <w:r>
        <w:rPr>
          <w:sz w:val="22"/>
          <w:szCs w:val="22"/>
        </w:rPr>
        <w:t xml:space="preserve">Т.е. </w:t>
      </w:r>
      <w:r>
        <w:rPr>
          <w:rFonts w:cs="Tahoma"/>
          <w:bCs/>
          <w:sz w:val="22"/>
          <w:szCs w:val="22"/>
        </w:rPr>
        <w:t xml:space="preserve">Директива </w:t>
      </w:r>
      <w:r>
        <w:rPr>
          <w:rFonts w:cs="Tahoma"/>
          <w:sz w:val="22"/>
          <w:szCs w:val="22"/>
        </w:rPr>
        <w:t xml:space="preserve">98/34/ЕС в полной мере была введена через Постановление Правительства  в </w:t>
      </w:r>
      <w:smartTag w:uri="urn:schemas-microsoft-com:office:smarttags" w:element="metricconverter">
        <w:smartTagPr>
          <w:attr w:name="ProductID" w:val="2004 г"/>
        </w:smartTagPr>
        <w:r>
          <w:rPr>
            <w:rFonts w:cs="Tahoma"/>
            <w:sz w:val="22"/>
            <w:szCs w:val="22"/>
          </w:rPr>
          <w:t>2004 г</w:t>
        </w:r>
      </w:smartTag>
      <w:r>
        <w:rPr>
          <w:rFonts w:cs="Tahoma"/>
          <w:sz w:val="22"/>
          <w:szCs w:val="22"/>
        </w:rPr>
        <w:t>., через 11 лет после подписания Соглашения об ассоциированном членстве, и 3 годами раньше вхождения в ЕС.</w:t>
      </w:r>
    </w:p>
    <w:p w:rsidR="00D95625" w:rsidRDefault="00D95625" w:rsidP="00D95625">
      <w:pPr>
        <w:pStyle w:val="a4"/>
        <w:shd w:val="clear" w:color="auto" w:fill="FFFFFF"/>
        <w:spacing w:before="0" w:after="0"/>
        <w:ind w:left="0" w:right="0" w:firstLine="675"/>
        <w:jc w:val="both"/>
        <w:rPr>
          <w:color w:val="000000"/>
          <w:sz w:val="22"/>
          <w:szCs w:val="22"/>
        </w:rPr>
      </w:pPr>
      <w:proofErr w:type="gramStart"/>
      <w:r>
        <w:rPr>
          <w:rFonts w:cs="Tahoma"/>
          <w:sz w:val="22"/>
          <w:szCs w:val="22"/>
        </w:rPr>
        <w:t>Учитывая вышесказанное, полное введение в национальное законодательство Директивы 98/34/ЕС (</w:t>
      </w:r>
      <w:r>
        <w:rPr>
          <w:rFonts w:cs="Tahoma"/>
          <w:i/>
          <w:sz w:val="22"/>
          <w:szCs w:val="22"/>
        </w:rPr>
        <w:t>распространяющаяся на взаимный обмен информацией в области стандартов и технических регламентов между европейскими организациями по стандартизации</w:t>
      </w:r>
      <w:r>
        <w:rPr>
          <w:rFonts w:cs="Tahoma"/>
          <w:sz w:val="22"/>
          <w:szCs w:val="22"/>
        </w:rPr>
        <w:t xml:space="preserve"> </w:t>
      </w:r>
      <w:r>
        <w:rPr>
          <w:i/>
          <w:color w:val="000000"/>
          <w:sz w:val="22"/>
          <w:szCs w:val="22"/>
          <w:lang w:val="ro-RO"/>
        </w:rPr>
        <w:t>CEN, CENELEC, ETSI</w:t>
      </w:r>
      <w:r>
        <w:rPr>
          <w:i/>
          <w:color w:val="000000"/>
          <w:sz w:val="22"/>
          <w:szCs w:val="22"/>
        </w:rPr>
        <w:t xml:space="preserve">, европейскими органами по стандартизации стран – членов ЕС и Европейской </w:t>
      </w:r>
      <w:r>
        <w:rPr>
          <w:i/>
          <w:color w:val="000000"/>
          <w:sz w:val="22"/>
          <w:szCs w:val="22"/>
        </w:rPr>
        <w:lastRenderedPageBreak/>
        <w:t xml:space="preserve">комиссией, в том числе на услуги информационного общества) </w:t>
      </w:r>
      <w:r>
        <w:rPr>
          <w:color w:val="000000"/>
          <w:sz w:val="22"/>
          <w:szCs w:val="22"/>
        </w:rPr>
        <w:t>в Республике Молдова является преждевременной.</w:t>
      </w:r>
      <w:proofErr w:type="gramEnd"/>
    </w:p>
    <w:bookmarkEnd w:id="0"/>
    <w:p w:rsidR="00D95625" w:rsidRDefault="00D95625" w:rsidP="00D95625">
      <w:pPr>
        <w:ind w:right="-5" w:firstLine="675"/>
        <w:jc w:val="both"/>
        <w:rPr>
          <w:sz w:val="22"/>
          <w:szCs w:val="22"/>
        </w:rPr>
      </w:pPr>
      <w:r>
        <w:rPr>
          <w:sz w:val="22"/>
          <w:szCs w:val="22"/>
        </w:rPr>
        <w:t xml:space="preserve">Республика </w:t>
      </w:r>
      <w:proofErr w:type="gramStart"/>
      <w:r>
        <w:rPr>
          <w:sz w:val="22"/>
          <w:szCs w:val="22"/>
        </w:rPr>
        <w:t>Молдова</w:t>
      </w:r>
      <w:proofErr w:type="gramEnd"/>
      <w:r>
        <w:rPr>
          <w:sz w:val="22"/>
          <w:szCs w:val="22"/>
        </w:rPr>
        <w:t xml:space="preserve"> будучи членом-корреспондентом Международной Организации по Стандартизации (</w:t>
      </w:r>
      <w:r>
        <w:rPr>
          <w:i/>
          <w:sz w:val="22"/>
          <w:szCs w:val="22"/>
        </w:rPr>
        <w:t xml:space="preserve">Постановление Парламента № </w:t>
      </w:r>
      <w:r>
        <w:rPr>
          <w:i/>
          <w:sz w:val="22"/>
          <w:szCs w:val="22"/>
          <w:lang w:val="ro-RO"/>
        </w:rPr>
        <w:t xml:space="preserve">596-XIII </w:t>
      </w:r>
      <w:r>
        <w:rPr>
          <w:i/>
          <w:sz w:val="22"/>
          <w:szCs w:val="22"/>
        </w:rPr>
        <w:t>от</w:t>
      </w:r>
      <w:r>
        <w:rPr>
          <w:i/>
          <w:sz w:val="22"/>
          <w:szCs w:val="22"/>
          <w:lang w:val="ro-RO"/>
        </w:rPr>
        <w:t xml:space="preserve"> 03.10.95</w:t>
      </w:r>
      <w:r>
        <w:rPr>
          <w:sz w:val="22"/>
          <w:szCs w:val="22"/>
          <w:lang w:val="ro-RO"/>
        </w:rPr>
        <w:t>)</w:t>
      </w:r>
      <w:r>
        <w:rPr>
          <w:sz w:val="22"/>
          <w:szCs w:val="22"/>
        </w:rPr>
        <w:t xml:space="preserve"> и, аффилированным членом Европейского комитета по стандартизации (</w:t>
      </w:r>
      <w:r>
        <w:rPr>
          <w:i/>
          <w:sz w:val="22"/>
          <w:szCs w:val="22"/>
        </w:rPr>
        <w:t xml:space="preserve">Закон № </w:t>
      </w:r>
      <w:r>
        <w:rPr>
          <w:i/>
          <w:sz w:val="22"/>
          <w:szCs w:val="22"/>
          <w:lang w:val="ro-RO"/>
        </w:rPr>
        <w:t>119-XVI din  04.05.2007</w:t>
      </w:r>
      <w:r>
        <w:rPr>
          <w:sz w:val="22"/>
          <w:szCs w:val="22"/>
          <w:lang w:val="ro-RO"/>
        </w:rPr>
        <w:t>)</w:t>
      </w:r>
      <w:r>
        <w:rPr>
          <w:sz w:val="22"/>
          <w:szCs w:val="22"/>
        </w:rPr>
        <w:t xml:space="preserve"> должна постоянно демонстрировать, что законодательная база стандартизации соответствует международным и европейским рекомендациям по стандартизации</w:t>
      </w:r>
      <w:r>
        <w:rPr>
          <w:sz w:val="22"/>
          <w:szCs w:val="22"/>
          <w:lang w:val="ro-RO"/>
        </w:rPr>
        <w:t xml:space="preserve">. </w:t>
      </w:r>
      <w:r>
        <w:rPr>
          <w:sz w:val="22"/>
          <w:szCs w:val="22"/>
        </w:rPr>
        <w:t>С этой целью, а также с целью актуализации и дальнейшего улучшения законодательной базы в области стандартизации, руководствуясь вышеназванными международными и европейскими документами, был разработан проект закона, в котором предложены некоторые изменения и дополнения, содержащие следующие аспекты:</w:t>
      </w:r>
    </w:p>
    <w:p w:rsidR="00D95625" w:rsidRDefault="00D95625" w:rsidP="00D95625">
      <w:pPr>
        <w:ind w:firstLine="708"/>
        <w:jc w:val="both"/>
        <w:rPr>
          <w:sz w:val="22"/>
          <w:szCs w:val="22"/>
        </w:rPr>
      </w:pPr>
      <w:r>
        <w:rPr>
          <w:sz w:val="22"/>
          <w:szCs w:val="22"/>
        </w:rPr>
        <w:t>- уточнение полномочий центрального отраслевого органа публичного управления, ответственного за инфраструктуру качества (статья 5);</w:t>
      </w:r>
    </w:p>
    <w:p w:rsidR="00D95625" w:rsidRDefault="00D95625" w:rsidP="00D95625">
      <w:pPr>
        <w:ind w:firstLine="708"/>
        <w:jc w:val="both"/>
        <w:rPr>
          <w:sz w:val="22"/>
          <w:szCs w:val="22"/>
        </w:rPr>
      </w:pPr>
      <w:r>
        <w:rPr>
          <w:sz w:val="22"/>
          <w:szCs w:val="22"/>
        </w:rPr>
        <w:t>- уточнение полномочий национального органа по стандартизации (статья 6, статья 9);</w:t>
      </w:r>
    </w:p>
    <w:p w:rsidR="00D95625" w:rsidRDefault="00D95625" w:rsidP="00D95625">
      <w:pPr>
        <w:ind w:firstLine="708"/>
        <w:jc w:val="both"/>
        <w:rPr>
          <w:sz w:val="22"/>
          <w:szCs w:val="22"/>
        </w:rPr>
      </w:pPr>
      <w:r>
        <w:rPr>
          <w:sz w:val="22"/>
          <w:szCs w:val="22"/>
        </w:rPr>
        <w:t xml:space="preserve">- упрощение разработки стандартов фирмы </w:t>
      </w:r>
      <w:r>
        <w:rPr>
          <w:sz w:val="22"/>
          <w:szCs w:val="22"/>
          <w:lang w:val="ro-MO"/>
        </w:rPr>
        <w:t>(SF)</w:t>
      </w:r>
      <w:r>
        <w:rPr>
          <w:sz w:val="22"/>
          <w:szCs w:val="22"/>
        </w:rPr>
        <w:t xml:space="preserve">, исключив их согласование с регламентирующими органами, в том </w:t>
      </w:r>
      <w:proofErr w:type="gramStart"/>
      <w:r>
        <w:rPr>
          <w:sz w:val="22"/>
          <w:szCs w:val="22"/>
        </w:rPr>
        <w:t>числе</w:t>
      </w:r>
      <w:proofErr w:type="gramEnd"/>
      <w:r>
        <w:rPr>
          <w:sz w:val="22"/>
          <w:szCs w:val="22"/>
        </w:rPr>
        <w:t xml:space="preserve"> исключая ситуации, когда регламентирующий орган принуждает хозяйствующий субъект разрабатывать внутренний документ, каким является стандарт фирмы (статья 9);</w:t>
      </w:r>
    </w:p>
    <w:p w:rsidR="00D95625" w:rsidRDefault="00D95625" w:rsidP="00D95625">
      <w:pPr>
        <w:ind w:firstLine="708"/>
        <w:jc w:val="both"/>
        <w:rPr>
          <w:sz w:val="22"/>
          <w:szCs w:val="22"/>
        </w:rPr>
      </w:pPr>
      <w:r>
        <w:rPr>
          <w:sz w:val="22"/>
          <w:szCs w:val="22"/>
        </w:rPr>
        <w:t>- установление функций регламентирующих органов в области стандартизации (статья 8);</w:t>
      </w:r>
    </w:p>
    <w:p w:rsidR="00D95625" w:rsidRDefault="00D95625" w:rsidP="00D95625">
      <w:pPr>
        <w:ind w:firstLine="708"/>
        <w:jc w:val="both"/>
        <w:rPr>
          <w:sz w:val="22"/>
          <w:szCs w:val="22"/>
          <w:lang w:val="ro-MO"/>
        </w:rPr>
      </w:pPr>
      <w:r>
        <w:rPr>
          <w:sz w:val="22"/>
          <w:szCs w:val="22"/>
        </w:rPr>
        <w:t xml:space="preserve">- создание возле Национального органа по стандартизации Совета по стандартизации и установление функций Совета </w:t>
      </w:r>
      <w:r>
        <w:rPr>
          <w:sz w:val="22"/>
          <w:szCs w:val="22"/>
          <w:lang w:val="ro-MO"/>
        </w:rPr>
        <w:t>(</w:t>
      </w:r>
      <w:r>
        <w:rPr>
          <w:sz w:val="22"/>
          <w:szCs w:val="22"/>
        </w:rPr>
        <w:t>статья</w:t>
      </w:r>
      <w:r>
        <w:rPr>
          <w:sz w:val="22"/>
          <w:szCs w:val="22"/>
          <w:lang w:val="ro-MO"/>
        </w:rPr>
        <w:t xml:space="preserve"> 6</w:t>
      </w:r>
      <w:r>
        <w:rPr>
          <w:sz w:val="22"/>
          <w:szCs w:val="22"/>
          <w:vertAlign w:val="superscript"/>
          <w:lang w:val="ro-MO"/>
        </w:rPr>
        <w:t>1</w:t>
      </w:r>
      <w:proofErr w:type="gramStart"/>
      <w:r>
        <w:rPr>
          <w:sz w:val="22"/>
          <w:szCs w:val="22"/>
          <w:vertAlign w:val="superscript"/>
          <w:lang w:val="ro-MO"/>
        </w:rPr>
        <w:t xml:space="preserve"> </w:t>
      </w:r>
      <w:r>
        <w:rPr>
          <w:sz w:val="22"/>
          <w:szCs w:val="22"/>
          <w:lang w:val="ro-MO"/>
        </w:rPr>
        <w:t>)</w:t>
      </w:r>
      <w:proofErr w:type="gramEnd"/>
      <w:r>
        <w:rPr>
          <w:sz w:val="22"/>
          <w:szCs w:val="22"/>
          <w:lang w:val="ro-MO"/>
        </w:rPr>
        <w:t>;</w:t>
      </w:r>
    </w:p>
    <w:p w:rsidR="00D95625" w:rsidRDefault="00D95625" w:rsidP="00D95625">
      <w:pPr>
        <w:ind w:firstLine="708"/>
        <w:jc w:val="both"/>
        <w:rPr>
          <w:sz w:val="22"/>
          <w:szCs w:val="22"/>
        </w:rPr>
      </w:pPr>
      <w:r>
        <w:rPr>
          <w:sz w:val="22"/>
          <w:szCs w:val="22"/>
        </w:rPr>
        <w:t>- уточнение</w:t>
      </w:r>
      <w:r>
        <w:rPr>
          <w:sz w:val="22"/>
          <w:szCs w:val="22"/>
          <w:lang w:val="ro-MO"/>
        </w:rPr>
        <w:t xml:space="preserve"> </w:t>
      </w:r>
      <w:r>
        <w:rPr>
          <w:sz w:val="22"/>
          <w:szCs w:val="22"/>
        </w:rPr>
        <w:t>полномочий национальных технических комитетов по стандартизации и их деятельности на международном и региональном уровне (статья 7, статья 9);</w:t>
      </w:r>
    </w:p>
    <w:p w:rsidR="00D95625" w:rsidRDefault="00D95625" w:rsidP="00D95625">
      <w:pPr>
        <w:ind w:firstLine="708"/>
        <w:jc w:val="both"/>
        <w:rPr>
          <w:sz w:val="22"/>
          <w:szCs w:val="22"/>
          <w:lang w:val="ro-MO"/>
        </w:rPr>
      </w:pPr>
      <w:r>
        <w:rPr>
          <w:sz w:val="22"/>
          <w:szCs w:val="22"/>
        </w:rPr>
        <w:t xml:space="preserve">- обмен информацией в области стандартизации (статья </w:t>
      </w:r>
      <w:r>
        <w:rPr>
          <w:sz w:val="22"/>
          <w:szCs w:val="22"/>
          <w:lang w:val="ro-MO"/>
        </w:rPr>
        <w:t>12</w:t>
      </w:r>
      <w:r>
        <w:rPr>
          <w:sz w:val="22"/>
          <w:szCs w:val="22"/>
          <w:vertAlign w:val="superscript"/>
          <w:lang w:val="ro-MO"/>
        </w:rPr>
        <w:t>1</w:t>
      </w:r>
      <w:proofErr w:type="gramStart"/>
      <w:r>
        <w:rPr>
          <w:sz w:val="22"/>
          <w:szCs w:val="22"/>
          <w:vertAlign w:val="superscript"/>
          <w:lang w:val="ro-MO"/>
        </w:rPr>
        <w:t xml:space="preserve"> </w:t>
      </w:r>
      <w:r>
        <w:rPr>
          <w:sz w:val="22"/>
          <w:szCs w:val="22"/>
          <w:lang w:val="ro-MO"/>
        </w:rPr>
        <w:t>)</w:t>
      </w:r>
      <w:proofErr w:type="gramEnd"/>
      <w:r>
        <w:rPr>
          <w:sz w:val="22"/>
          <w:szCs w:val="22"/>
          <w:lang w:val="ro-MO"/>
        </w:rPr>
        <w:t>;</w:t>
      </w:r>
    </w:p>
    <w:p w:rsidR="00D95625" w:rsidRDefault="00D95625" w:rsidP="00D95625">
      <w:pPr>
        <w:ind w:firstLine="708"/>
        <w:jc w:val="both"/>
        <w:rPr>
          <w:sz w:val="22"/>
          <w:szCs w:val="22"/>
        </w:rPr>
      </w:pPr>
      <w:r>
        <w:rPr>
          <w:sz w:val="22"/>
          <w:szCs w:val="22"/>
        </w:rPr>
        <w:t>- уточнение полномочий  в международном и региональном сотрудничестве (статья 5, статья 6, статья 7, статья 8, статья 16);</w:t>
      </w:r>
    </w:p>
    <w:p w:rsidR="00D95625" w:rsidRDefault="00D95625" w:rsidP="00D95625">
      <w:pPr>
        <w:ind w:firstLine="708"/>
        <w:jc w:val="both"/>
        <w:rPr>
          <w:sz w:val="22"/>
          <w:szCs w:val="22"/>
        </w:rPr>
      </w:pPr>
      <w:r>
        <w:rPr>
          <w:sz w:val="22"/>
          <w:szCs w:val="22"/>
        </w:rPr>
        <w:t>- планирование и финансирование Программы национальной стандартизации (статья 10, статья 18).</w:t>
      </w:r>
    </w:p>
    <w:p w:rsidR="00D95625" w:rsidRDefault="00D95625" w:rsidP="00D95625">
      <w:pPr>
        <w:rPr>
          <w:sz w:val="22"/>
          <w:szCs w:val="22"/>
        </w:rPr>
      </w:pPr>
      <w:r>
        <w:rPr>
          <w:sz w:val="22"/>
          <w:szCs w:val="22"/>
          <w:lang w:val="ro-RO"/>
        </w:rPr>
        <w:tab/>
      </w:r>
      <w:r>
        <w:rPr>
          <w:sz w:val="22"/>
          <w:szCs w:val="22"/>
        </w:rPr>
        <w:t>Дополнение действующего закона новой статьей, касающейся планирования деятельности по стандартизации, является необходимым, т.к. без этого планирования будет трудно, даже невозможно, выделение средств из государственного бюджета для покрытия расходов по принятию международных и европейских стандартов в качестве национальных стандартов.</w:t>
      </w:r>
    </w:p>
    <w:p w:rsidR="00D95625" w:rsidRDefault="00D95625" w:rsidP="00D95625">
      <w:pPr>
        <w:ind w:firstLine="708"/>
        <w:jc w:val="both"/>
        <w:rPr>
          <w:sz w:val="22"/>
          <w:szCs w:val="22"/>
        </w:rPr>
      </w:pPr>
      <w:r>
        <w:rPr>
          <w:sz w:val="22"/>
          <w:szCs w:val="22"/>
        </w:rPr>
        <w:t>Дополнение действующего закона новой статьей, касающейся взаимного обмена информацией в области стандартизации, также является необходимым, т.к. Республика Молдова имеет конкретные обязательства перед Всемирной Торговой Организацией (ВТО), в части создания и ведения информационного пункта в соответствии с Соглашением о технических барьерах в торговле ВТО. Проект закона устанавливает непосредственные полномочия национального органа по стандартизации, которые обеспечивают получение, передачу, по запросу, информации, которая является объектом для взаимного обмена информацией в области стандартизации между Республикой Молдова и международными, региональными и других стран организациями по стандартизации.</w:t>
      </w:r>
    </w:p>
    <w:p w:rsidR="00D95625" w:rsidRDefault="00D95625" w:rsidP="00D95625">
      <w:pPr>
        <w:pStyle w:val="cn"/>
        <w:ind w:firstLine="708"/>
        <w:jc w:val="both"/>
        <w:rPr>
          <w:sz w:val="22"/>
          <w:szCs w:val="22"/>
        </w:rPr>
      </w:pPr>
      <w:r>
        <w:rPr>
          <w:sz w:val="22"/>
          <w:szCs w:val="22"/>
        </w:rPr>
        <w:t xml:space="preserve">Проект закона не распространяется на регулирование предпринимательской деятельности, т.к. не устанавливает какие-либо обязательства, запреты, требования и обязательные платежи для субъектов предпринимательской деятельности. Таким образом, для представленного проекта нет необходимости в разработке анализа последствий регулирования в соответствии с положениями Закона № </w:t>
      </w:r>
      <w:r>
        <w:rPr>
          <w:sz w:val="22"/>
          <w:szCs w:val="22"/>
          <w:lang w:val="ro-RO"/>
        </w:rPr>
        <w:t xml:space="preserve">235-XVI </w:t>
      </w:r>
      <w:r>
        <w:rPr>
          <w:sz w:val="22"/>
          <w:szCs w:val="22"/>
        </w:rPr>
        <w:t>от</w:t>
      </w:r>
      <w:r>
        <w:rPr>
          <w:sz w:val="22"/>
          <w:szCs w:val="22"/>
          <w:lang w:val="ro-RO"/>
        </w:rPr>
        <w:t xml:space="preserve"> 20.07.2006</w:t>
      </w:r>
      <w:r>
        <w:rPr>
          <w:sz w:val="22"/>
          <w:szCs w:val="22"/>
        </w:rPr>
        <w:t xml:space="preserve"> об основных принципах регулирования предпринимательской деятельности.</w:t>
      </w:r>
    </w:p>
    <w:p w:rsidR="00D95625" w:rsidRPr="00D95625" w:rsidRDefault="00D95625" w:rsidP="00D95625">
      <w:pPr>
        <w:rPr>
          <w:sz w:val="28"/>
          <w:szCs w:val="28"/>
          <w:lang w:val="en-US"/>
        </w:rPr>
      </w:pPr>
    </w:p>
    <w:p w:rsidR="00D95625" w:rsidRDefault="00D95625" w:rsidP="00D95625">
      <w:pPr>
        <w:ind w:firstLine="708"/>
        <w:rPr>
          <w:rStyle w:val="a5"/>
          <w:rFonts w:cs="Arial"/>
        </w:rPr>
      </w:pPr>
      <w:r>
        <w:rPr>
          <w:rStyle w:val="a5"/>
          <w:rFonts w:cs="Arial"/>
        </w:rPr>
        <w:t>Заместитель Премьер-министра,</w:t>
      </w:r>
    </w:p>
    <w:p w:rsidR="00D95625" w:rsidRDefault="00D95625" w:rsidP="00D95625">
      <w:pPr>
        <w:ind w:firstLine="708"/>
      </w:pPr>
      <w:r>
        <w:rPr>
          <w:rStyle w:val="a5"/>
          <w:rFonts w:cs="Arial"/>
        </w:rPr>
        <w:t xml:space="preserve">Министр экономики </w:t>
      </w:r>
      <w:r>
        <w:rPr>
          <w:rStyle w:val="a5"/>
          <w:rFonts w:cs="Arial"/>
        </w:rPr>
        <w:tab/>
      </w:r>
      <w:r>
        <w:rPr>
          <w:rStyle w:val="a5"/>
          <w:rFonts w:cs="Arial"/>
        </w:rPr>
        <w:tab/>
      </w:r>
      <w:r>
        <w:rPr>
          <w:rStyle w:val="a5"/>
          <w:rFonts w:cs="Arial"/>
        </w:rPr>
        <w:tab/>
      </w:r>
      <w:r>
        <w:rPr>
          <w:rStyle w:val="a5"/>
          <w:rFonts w:cs="Arial"/>
        </w:rPr>
        <w:tab/>
      </w:r>
      <w:r>
        <w:rPr>
          <w:rStyle w:val="a5"/>
          <w:rFonts w:cs="Arial"/>
        </w:rPr>
        <w:tab/>
      </w:r>
      <w:r>
        <w:rPr>
          <w:rStyle w:val="a5"/>
          <w:rFonts w:cs="Arial"/>
        </w:rPr>
        <w:tab/>
        <w:t xml:space="preserve"> </w:t>
      </w:r>
      <w:hyperlink r:id="rId5" w:history="1">
        <w:r>
          <w:rPr>
            <w:rStyle w:val="a3"/>
            <w:color w:val="auto"/>
            <w:u w:val="none"/>
          </w:rPr>
          <w:t>Валериу ЛАЗЭР</w:t>
        </w:r>
      </w:hyperlink>
      <w:hyperlink r:id="rId6" w:history="1"/>
    </w:p>
    <w:p w:rsidR="00D95625" w:rsidRDefault="00D95625" w:rsidP="00D95625">
      <w:pPr>
        <w:rPr>
          <w:rFonts w:cs="Arial"/>
        </w:rPr>
      </w:pPr>
    </w:p>
    <w:p w:rsidR="00D95625" w:rsidRDefault="00D95625" w:rsidP="00D95625">
      <w:pPr>
        <w:rPr>
          <w:sz w:val="28"/>
          <w:szCs w:val="28"/>
        </w:rPr>
      </w:pPr>
    </w:p>
    <w:p w:rsidR="00B832EE" w:rsidRDefault="00B832EE"/>
    <w:sectPr w:rsidR="00B832EE" w:rsidSect="00D95625">
      <w:pgSz w:w="11906" w:h="16838"/>
      <w:pgMar w:top="1134" w:right="850" w:bottom="7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grammar="clean"/>
  <w:stylePaneFormatFilter w:val="3F01"/>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95625"/>
    <w:rsid w:val="00477CA5"/>
    <w:rsid w:val="004F3AF8"/>
    <w:rsid w:val="00550849"/>
    <w:rsid w:val="00572ED1"/>
    <w:rsid w:val="005C0C34"/>
    <w:rsid w:val="007B7063"/>
    <w:rsid w:val="009F7A56"/>
    <w:rsid w:val="00B832EE"/>
    <w:rsid w:val="00D95625"/>
    <w:rsid w:val="00EE159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basedOn w:val="a0"/>
    <w:rsid w:val="00D95625"/>
    <w:rPr>
      <w:color w:val="0463B1"/>
      <w:u w:val="single"/>
    </w:rPr>
  </w:style>
  <w:style w:type="paragraph" w:styleId="a4">
    <w:name w:val="Normal (Web)"/>
    <w:basedOn w:val="a"/>
    <w:rsid w:val="00D95625"/>
    <w:pPr>
      <w:spacing w:before="150" w:after="150"/>
      <w:ind w:left="675" w:right="525"/>
    </w:pPr>
    <w:rPr>
      <w:sz w:val="19"/>
      <w:szCs w:val="19"/>
    </w:rPr>
  </w:style>
  <w:style w:type="paragraph" w:customStyle="1" w:styleId="tt">
    <w:name w:val="tt"/>
    <w:basedOn w:val="a"/>
    <w:rsid w:val="00D95625"/>
    <w:pPr>
      <w:jc w:val="center"/>
    </w:pPr>
    <w:rPr>
      <w:b/>
      <w:bCs/>
    </w:rPr>
  </w:style>
  <w:style w:type="paragraph" w:customStyle="1" w:styleId="cn">
    <w:name w:val="cn"/>
    <w:basedOn w:val="a"/>
    <w:rsid w:val="00D95625"/>
    <w:pPr>
      <w:jc w:val="center"/>
    </w:pPr>
  </w:style>
  <w:style w:type="character" w:styleId="a5">
    <w:name w:val="Strong"/>
    <w:basedOn w:val="a0"/>
    <w:qFormat/>
    <w:rsid w:val="00D95625"/>
    <w:rPr>
      <w:b/>
      <w:bCs/>
    </w:rPr>
  </w:style>
</w:styles>
</file>

<file path=word/webSettings.xml><?xml version="1.0" encoding="utf-8"?>
<w:webSettings xmlns:r="http://schemas.openxmlformats.org/officeDocument/2006/relationships" xmlns:w="http://schemas.openxmlformats.org/wordprocessingml/2006/main">
  <w:divs>
    <w:div w:id="966199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ov.gov.md/md/cblazar/" TargetMode="External"/><Relationship Id="rId11" Type="http://schemas.openxmlformats.org/officeDocument/2006/relationships/customXml" Target="../customXml/item3.xml"/><Relationship Id="rId5" Type="http://schemas.openxmlformats.org/officeDocument/2006/relationships/hyperlink" Target="http://www.gov.md/pageview.php?l=ru&amp;idc=504" TargetMode="External"/><Relationship Id="rId10" Type="http://schemas.openxmlformats.org/officeDocument/2006/relationships/customXml" Target="../customXml/item2.xml"/><Relationship Id="rId4" Type="http://schemas.openxmlformats.org/officeDocument/2006/relationships/hyperlink" Target="http://www.rgtr.ru/netcat_files/163/52/h_11d32b7d3c7b1e071733be665e9e3ad8" TargetMode="External"/><Relationship Id="rId9"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Rusă</Limba>
    <Tipul_x0020_documentului_x0020_de_x0020_Initiere xmlns="deb42e83-2260-4c15-9444-eeddc6459f2b">Scopul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7ACB8839-B476-4548-B47F-A450450A2C2B}"/>
</file>

<file path=customXml/itemProps2.xml><?xml version="1.0" encoding="utf-8"?>
<ds:datastoreItem xmlns:ds="http://schemas.openxmlformats.org/officeDocument/2006/customXml" ds:itemID="{2E9E1EC4-36E3-4940-9FB0-6DBD07B1E441}"/>
</file>

<file path=customXml/itemProps3.xml><?xml version="1.0" encoding="utf-8"?>
<ds:datastoreItem xmlns:ds="http://schemas.openxmlformats.org/officeDocument/2006/customXml" ds:itemID="{8F72AB99-E10A-42CA-9D0F-8FD1B54E4905}"/>
</file>

<file path=docProps/app.xml><?xml version="1.0" encoding="utf-8"?>
<Properties xmlns="http://schemas.openxmlformats.org/officeDocument/2006/extended-properties" xmlns:vt="http://schemas.openxmlformats.org/officeDocument/2006/docPropsVTypes">
  <Template>Normal.dotm</Template>
  <TotalTime>1</TotalTime>
  <Pages>2</Pages>
  <Words>1192</Words>
  <Characters>6796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Пояснительная записка</vt:lpstr>
    </vt:vector>
  </TitlesOfParts>
  <Company>PRO</Company>
  <LinksUpToDate>false</LinksUpToDate>
  <CharactersWithSpaces>7973</CharactersWithSpaces>
  <SharedDoc>false</SharedDoc>
  <HLinks>
    <vt:vector size="18" baseType="variant">
      <vt:variant>
        <vt:i4>655437</vt:i4>
      </vt:variant>
      <vt:variant>
        <vt:i4>6</vt:i4>
      </vt:variant>
      <vt:variant>
        <vt:i4>0</vt:i4>
      </vt:variant>
      <vt:variant>
        <vt:i4>5</vt:i4>
      </vt:variant>
      <vt:variant>
        <vt:lpwstr>http://gov.gov.md/md/cblazar/</vt:lpwstr>
      </vt:variant>
      <vt:variant>
        <vt:lpwstr/>
      </vt:variant>
      <vt:variant>
        <vt:i4>3342463</vt:i4>
      </vt:variant>
      <vt:variant>
        <vt:i4>3</vt:i4>
      </vt:variant>
      <vt:variant>
        <vt:i4>0</vt:i4>
      </vt:variant>
      <vt:variant>
        <vt:i4>5</vt:i4>
      </vt:variant>
      <vt:variant>
        <vt:lpwstr>http://www.gov.md/pageview.php?l=ru&amp;idc=504</vt:lpwstr>
      </vt:variant>
      <vt:variant>
        <vt:lpwstr/>
      </vt:variant>
      <vt:variant>
        <vt:i4>6946869</vt:i4>
      </vt:variant>
      <vt:variant>
        <vt:i4>0</vt:i4>
      </vt:variant>
      <vt:variant>
        <vt:i4>0</vt:i4>
      </vt:variant>
      <vt:variant>
        <vt:i4>5</vt:i4>
      </vt:variant>
      <vt:variant>
        <vt:lpwstr>http://www.rgtr.ru/netcat_files/163/52/h_11d32b7d3c7b1e071733be665e9e3ad8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nota.ru</dc:title>
  <dc:subject/>
  <dc:creator>Iurie Muntean</dc:creator>
  <cp:keywords/>
  <dc:description/>
  <cp:lastModifiedBy>user</cp:lastModifiedBy>
  <cp:revision>2</cp:revision>
  <cp:lastPrinted>2011-11-23T09:12:00Z</cp:lastPrinted>
  <dcterms:created xsi:type="dcterms:W3CDTF">2011-11-23T09:14:00Z</dcterms:created>
  <dcterms:modified xsi:type="dcterms:W3CDTF">2011-11-23T09:14:00Z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