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AF7F5" w14:textId="77777777" w:rsidR="005F2BA8" w:rsidRPr="00CF441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3D5894" w14:textId="669C2F75" w:rsidR="00693305" w:rsidRPr="00CF441B" w:rsidRDefault="0069330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5E35B4" w:rsidRPr="00CF441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об утверждении </w:t>
      </w:r>
    </w:p>
    <w:p w14:paraId="37C766F8" w14:textId="5C7C0E70" w:rsidR="00BF1362" w:rsidRPr="00CF441B" w:rsidRDefault="0069330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>государственного бюджета на 2021 год</w:t>
      </w:r>
    </w:p>
    <w:p w14:paraId="77C60065" w14:textId="77777777" w:rsidR="00BF1362" w:rsidRPr="00CF441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20A2DC3" w14:textId="77777777" w:rsidR="00BF1362" w:rsidRPr="00CF441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8A4A1C" w14:textId="77777777" w:rsidR="00BF1362" w:rsidRPr="00CF441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E42D560" w14:textId="77777777" w:rsidR="00693305" w:rsidRPr="00CF441B" w:rsidRDefault="0069330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A977D53" w14:textId="6D4A85DB" w:rsidR="00693305" w:rsidRPr="00CF441B" w:rsidRDefault="00693305" w:rsidP="00693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F441B">
        <w:rPr>
          <w:rFonts w:ascii="Times New Roman" w:hAnsi="Times New Roman" w:cs="Times New Roman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5E35B4" w:rsidRPr="00CF441B">
        <w:rPr>
          <w:rFonts w:ascii="Times New Roman" w:hAnsi="Times New Roman" w:cs="Times New Roman"/>
          <w:color w:val="000000"/>
          <w:sz w:val="28"/>
          <w:szCs w:val="28"/>
        </w:rPr>
        <w:t xml:space="preserve">Закона </w:t>
      </w:r>
      <w:r w:rsidRPr="00CF441B">
        <w:rPr>
          <w:rFonts w:ascii="Times New Roman" w:hAnsi="Times New Roman" w:cs="Times New Roman"/>
          <w:color w:val="000000"/>
          <w:sz w:val="28"/>
          <w:szCs w:val="28"/>
        </w:rPr>
        <w:t>об утверждении государственного бюджета на 2021 год.</w:t>
      </w:r>
    </w:p>
    <w:p w14:paraId="050092EE" w14:textId="7530A40A" w:rsidR="00693305" w:rsidRPr="00CF441B" w:rsidRDefault="0069330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516374" w14:textId="77777777" w:rsidR="00593286" w:rsidRPr="00CF441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4D7F7AE4" w:rsidR="00BF1362" w:rsidRPr="00CF441B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CF441B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0"/>
    </w:p>
    <w:p w14:paraId="63688541" w14:textId="77777777" w:rsidR="00492257" w:rsidRPr="00CF441B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F441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CF441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CF441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CF441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3BCCED53" w14:textId="77777777" w:rsidR="00492257" w:rsidRPr="00CF441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ACC34C1" w14:textId="77777777" w:rsidR="00693305" w:rsidRPr="00CF441B" w:rsidRDefault="0069330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0969D05F" w:rsidR="00390C5E" w:rsidRPr="00CF441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CF441B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693305" w:rsidRPr="00CF441B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CF441B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CF441B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710C347" w14:textId="77777777" w:rsidR="00693305" w:rsidRPr="00CF441B" w:rsidRDefault="00693305" w:rsidP="005E35B4">
      <w:pPr>
        <w:tabs>
          <w:tab w:val="left" w:pos="5670"/>
        </w:tabs>
        <w:ind w:firstLine="0"/>
        <w:rPr>
          <w:rFonts w:cstheme="majorBidi"/>
          <w:sz w:val="28"/>
          <w:szCs w:val="28"/>
          <w:lang w:eastAsia="ru-RU"/>
        </w:rPr>
      </w:pPr>
    </w:p>
    <w:p w14:paraId="74C4C30B" w14:textId="77777777" w:rsidR="004436D2" w:rsidRPr="00CF441B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CF441B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Pr="00CF441B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CF441B">
        <w:rPr>
          <w:rFonts w:cstheme="majorBidi"/>
          <w:sz w:val="28"/>
          <w:szCs w:val="28"/>
          <w:lang w:eastAsia="ru-RU"/>
        </w:rPr>
        <w:t>министр финансов</w:t>
      </w:r>
      <w:r w:rsidRPr="00CF441B"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 w:rsidRPr="00CF441B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09935551" w14:textId="77777777" w:rsidR="004436D2" w:rsidRPr="00CF441B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487A31" w14:textId="77777777" w:rsidR="004436D2" w:rsidRPr="00CF441B" w:rsidRDefault="004436D2" w:rsidP="004436D2">
      <w:pPr>
        <w:rPr>
          <w:rFonts w:cstheme="majorBidi"/>
          <w:sz w:val="28"/>
          <w:szCs w:val="28"/>
        </w:rPr>
      </w:pPr>
    </w:p>
    <w:p w14:paraId="36769B78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7F370F4D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7E52EC76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4E4675DC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002450AB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0C375823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423CEA0B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35EB7A1C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25B851B9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2B23FFF9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1F1FBE2A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147DBD72" w14:textId="77777777" w:rsidR="00390C5E" w:rsidRPr="00CF441B" w:rsidRDefault="00626B93" w:rsidP="00F04FA2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  </w:t>
      </w:r>
      <w:r w:rsidR="00390C5E" w:rsidRPr="00CF441B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CF441B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Default="00390C5E" w:rsidP="00F04FA2">
      <w:pPr>
        <w:rPr>
          <w:rFonts w:cstheme="majorBidi"/>
          <w:sz w:val="28"/>
          <w:szCs w:val="28"/>
        </w:rPr>
      </w:pPr>
    </w:p>
    <w:p w14:paraId="784FB843" w14:textId="77777777" w:rsidR="00CF441B" w:rsidRDefault="00CF441B" w:rsidP="00F04FA2">
      <w:pPr>
        <w:rPr>
          <w:rFonts w:cstheme="majorBidi"/>
          <w:sz w:val="28"/>
          <w:szCs w:val="28"/>
        </w:rPr>
      </w:pPr>
    </w:p>
    <w:p w14:paraId="255CC77F" w14:textId="77777777" w:rsidR="00CF441B" w:rsidRPr="00CF441B" w:rsidRDefault="00CF441B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CF441B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451BC0FF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C7CDDA" w14:textId="10310E86" w:rsidR="004A57DB" w:rsidRDefault="004A57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06D47D" w14:textId="3212A6E3" w:rsidR="004A57DB" w:rsidRDefault="004A57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992663" w14:textId="77777777" w:rsidR="004A57DB" w:rsidRPr="00844351" w:rsidRDefault="004A57D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en-US"/>
        </w:rPr>
      </w:pPr>
    </w:p>
    <w:p w14:paraId="7B46E3CF" w14:textId="77777777" w:rsidR="00390C5E" w:rsidRPr="00CF441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CF441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CF441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CF441B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F441B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CF441B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F441B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CF441B">
        <w:rPr>
          <w:rFonts w:ascii="Times New Roman" w:hAnsi="Times New Roman" w:cstheme="majorBidi"/>
          <w:sz w:val="28"/>
          <w:szCs w:val="28"/>
        </w:rPr>
        <w:tab/>
      </w:r>
      <w:r w:rsidRPr="00CF441B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CF441B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CF441B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CF441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CF441B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CF441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CF441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F441B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CF441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CF441B" w:rsidRDefault="00583825" w:rsidP="00F04FA2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CF441B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CF441B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CF441B" w:rsidRDefault="00812763" w:rsidP="00F04FA2">
      <w:pPr>
        <w:rPr>
          <w:rFonts w:cstheme="majorBidi"/>
          <w:sz w:val="28"/>
          <w:szCs w:val="28"/>
        </w:rPr>
      </w:pPr>
    </w:p>
    <w:p w14:paraId="4BC17723" w14:textId="77777777" w:rsidR="00A001EE" w:rsidRPr="00CF441B" w:rsidRDefault="00A001EE" w:rsidP="00F04FA2">
      <w:pPr>
        <w:rPr>
          <w:rFonts w:cstheme="majorBidi"/>
          <w:sz w:val="28"/>
          <w:szCs w:val="28"/>
        </w:rPr>
      </w:pPr>
    </w:p>
    <w:p w14:paraId="1FCF0868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64824BA1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759C551F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097A8D36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3D880957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26DB1557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3DCE7011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33ADFE43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3500321F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638FAAAC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19937967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49A533FE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61C86D5D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61187DAC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039A171D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49756F07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393141ED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31BAE788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6A511C5A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44B9A1A1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7768D46C" w14:textId="77777777" w:rsidR="00693305" w:rsidRPr="00CF441B" w:rsidRDefault="00693305" w:rsidP="00F04FA2">
      <w:pPr>
        <w:rPr>
          <w:rFonts w:cstheme="majorBidi"/>
          <w:sz w:val="28"/>
          <w:szCs w:val="28"/>
        </w:rPr>
      </w:pPr>
    </w:p>
    <w:p w14:paraId="19ACCC70" w14:textId="77777777" w:rsidR="00C702E9" w:rsidRPr="00CF441B" w:rsidRDefault="00C702E9" w:rsidP="00C702E9">
      <w:pPr>
        <w:jc w:val="right"/>
        <w:rPr>
          <w:rFonts w:cstheme="majorBidi"/>
          <w:i/>
          <w:sz w:val="28"/>
          <w:szCs w:val="28"/>
        </w:rPr>
      </w:pPr>
      <w:r w:rsidRPr="00CF441B">
        <w:rPr>
          <w:rFonts w:cstheme="majorBidi"/>
          <w:i/>
          <w:sz w:val="28"/>
          <w:szCs w:val="28"/>
        </w:rPr>
        <w:t>Проект</w:t>
      </w:r>
    </w:p>
    <w:p w14:paraId="31D60888" w14:textId="77777777" w:rsidR="00693305" w:rsidRPr="00CF441B" w:rsidRDefault="00693305" w:rsidP="00C702E9">
      <w:pPr>
        <w:jc w:val="right"/>
        <w:rPr>
          <w:rFonts w:cstheme="majorBidi"/>
          <w:i/>
          <w:sz w:val="28"/>
          <w:szCs w:val="28"/>
        </w:rPr>
      </w:pPr>
      <w:r w:rsidRPr="00CF441B">
        <w:rPr>
          <w:rFonts w:cstheme="majorBidi"/>
          <w:i/>
          <w:sz w:val="28"/>
          <w:szCs w:val="28"/>
        </w:rPr>
        <w:t>Перевод</w:t>
      </w:r>
    </w:p>
    <w:p w14:paraId="7DAC00ED" w14:textId="77777777" w:rsidR="00693305" w:rsidRPr="00CF441B" w:rsidRDefault="00693305" w:rsidP="00693305">
      <w:pPr>
        <w:rPr>
          <w:rFonts w:cstheme="majorBidi"/>
          <w:b/>
          <w:bCs/>
          <w:sz w:val="28"/>
          <w:szCs w:val="28"/>
        </w:rPr>
      </w:pPr>
    </w:p>
    <w:p w14:paraId="50664CEE" w14:textId="73A85C18" w:rsidR="00A07597" w:rsidRPr="00CF441B" w:rsidRDefault="00A07597" w:rsidP="00C702E9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 xml:space="preserve">ПАРЛАМЕНТ РЕСПУБЛИКИ МОЛДОВА </w:t>
      </w:r>
    </w:p>
    <w:p w14:paraId="08B2A7AD" w14:textId="77777777" w:rsidR="00A07597" w:rsidRPr="00CF441B" w:rsidRDefault="00A07597" w:rsidP="00C702E9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4AAC819A" w14:textId="7FA21954" w:rsidR="00693305" w:rsidRPr="00CF441B" w:rsidRDefault="00693305" w:rsidP="00C702E9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ЗАКОН</w:t>
      </w:r>
    </w:p>
    <w:p w14:paraId="56F4D460" w14:textId="77777777" w:rsidR="00693305" w:rsidRPr="00CF441B" w:rsidRDefault="00693305" w:rsidP="00C702E9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о государственном бюджете на 2021 год</w:t>
      </w:r>
    </w:p>
    <w:p w14:paraId="09844224" w14:textId="77777777" w:rsidR="00693305" w:rsidRPr="00CF441B" w:rsidRDefault="00693305" w:rsidP="00693305">
      <w:pPr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 </w:t>
      </w:r>
    </w:p>
    <w:p w14:paraId="31EA1BB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</w:p>
    <w:p w14:paraId="7D35537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1D06B0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33A6C130" w14:textId="77777777" w:rsidR="00693305" w:rsidRPr="00CF441B" w:rsidRDefault="00693305" w:rsidP="003277A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Глава I</w:t>
      </w:r>
    </w:p>
    <w:p w14:paraId="1F4E1985" w14:textId="77777777" w:rsidR="00693305" w:rsidRPr="00CF441B" w:rsidRDefault="00693305" w:rsidP="003277A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ОБЩИЕ ПОЛОЖЕНИЯ</w:t>
      </w:r>
    </w:p>
    <w:p w14:paraId="5AD5285F" w14:textId="77777777" w:rsidR="003277A2" w:rsidRPr="00CF441B" w:rsidRDefault="003277A2" w:rsidP="00693305">
      <w:pPr>
        <w:rPr>
          <w:rFonts w:cstheme="majorBidi"/>
          <w:b/>
          <w:bCs/>
          <w:sz w:val="28"/>
          <w:szCs w:val="28"/>
        </w:rPr>
      </w:pPr>
    </w:p>
    <w:p w14:paraId="1235CDF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</w:t>
      </w:r>
      <w:r w:rsidRPr="00CF441B">
        <w:rPr>
          <w:rFonts w:cstheme="majorBidi"/>
          <w:sz w:val="28"/>
          <w:szCs w:val="28"/>
        </w:rPr>
        <w:t>. – (1) Государственный бюджет на 2021 год утверждается по доходам в сумме 41415400,0 тысячи леев, по расходам в сумме 55399600,0 тысячи леев, с дефицитом в сумме 13984200,0 тысячи леев.</w:t>
      </w:r>
    </w:p>
    <w:p w14:paraId="352A937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Общие показатели и источники финансирования государственного бюджета представлены в приложении 1.</w:t>
      </w:r>
    </w:p>
    <w:p w14:paraId="3D67C17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(3) Состав доходов государственного бюджета и источники финансирования бюджетного сальдо представлены в приложении 2.</w:t>
      </w:r>
    </w:p>
    <w:p w14:paraId="5076343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(4) Бюджеты органов, финансируемых из государственного бюджета, по расходам и ресурсам представлены в приложении 3.</w:t>
      </w:r>
    </w:p>
    <w:p w14:paraId="61BE2C7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(5) Расходы государственного бюджета согласно функциональной классификации представлены в приложении 4.</w:t>
      </w:r>
    </w:p>
    <w:p w14:paraId="57BC050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(6) Объем расходов на персонал по центральным органам публичной власти представлен в приложении 5.</w:t>
      </w:r>
    </w:p>
    <w:p w14:paraId="6319C1CC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6E2C8A4B" w14:textId="77777777" w:rsidR="00693305" w:rsidRPr="00CF441B" w:rsidRDefault="00693305" w:rsidP="000C7D8A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Глава II</w:t>
      </w:r>
    </w:p>
    <w:p w14:paraId="3DC2619F" w14:textId="77777777" w:rsidR="00693305" w:rsidRPr="00CF441B" w:rsidRDefault="00693305" w:rsidP="000C7D8A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СПЕЦИАЛЬНЫЕ ПОЛОЖЕНИЯ</w:t>
      </w:r>
    </w:p>
    <w:p w14:paraId="5B0F912F" w14:textId="77777777" w:rsidR="000C7D8A" w:rsidRPr="00CF441B" w:rsidRDefault="000C7D8A" w:rsidP="00693305">
      <w:pPr>
        <w:rPr>
          <w:rFonts w:cstheme="majorBidi"/>
          <w:b/>
          <w:bCs/>
          <w:sz w:val="28"/>
          <w:szCs w:val="28"/>
        </w:rPr>
      </w:pPr>
    </w:p>
    <w:p w14:paraId="6527ECB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Ст.2.</w:t>
      </w:r>
      <w:r w:rsidRPr="00CF441B">
        <w:rPr>
          <w:rFonts w:cstheme="majorBidi"/>
          <w:sz w:val="28"/>
          <w:szCs w:val="28"/>
        </w:rPr>
        <w:t xml:space="preserve"> – В бюджетах отдельных бюджетных органов/учреждений согласно сферам компетенции утверждаются ассигнования для конкретных целей следующим образом:</w:t>
      </w:r>
    </w:p>
    <w:p w14:paraId="47B063F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a) для дорожного фонда – в сумме 1532059,8 тысячи леев. Годовые отчисления от общего объема акцизов на нефтепродукты, за исключением сжиженного газа, не должны превышать 54,5 процента;</w:t>
      </w:r>
    </w:p>
    <w:p w14:paraId="54F906B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b) для Программы ремонта национальных дорог общего пользования, местных, коммунальных дорог и улиц – в сумме 900000,0 тысячи леев. </w:t>
      </w:r>
      <w:r w:rsidRPr="00CF441B">
        <w:rPr>
          <w:rFonts w:cstheme="majorBidi"/>
          <w:sz w:val="28"/>
          <w:szCs w:val="28"/>
        </w:rPr>
        <w:lastRenderedPageBreak/>
        <w:t>Распределение средств Программы осуществляется на основании постановления Правительства;</w:t>
      </w:r>
    </w:p>
    <w:p w14:paraId="7083E64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c) на реализацию процесса приватизации имущества публичной собственности государства, в том числе на основе индивидуальных проектов, – в сумме 3000,0 тысячи леев;</w:t>
      </w:r>
    </w:p>
    <w:p w14:paraId="0F265AC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d) для Фонда энергоэффективности – в сумме 30000,0 тысячи леев;</w:t>
      </w:r>
    </w:p>
    <w:p w14:paraId="4D748F0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e) для Национального фонда регионального развития – в сумме 220000,0 тысячи леев;</w:t>
      </w:r>
    </w:p>
    <w:p w14:paraId="0B9FF57C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f) для Национального фонда развития сельского хозяйства и сельской местности – в сумме 1100000,0 тысячи леев. Распределение этих ассигнований осуществляется в установленном Правительством порядке;</w:t>
      </w:r>
    </w:p>
    <w:p w14:paraId="129945C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g) для Фонда винограда и вина – в сумме 44102,0 тысячи леев, из которых 26102,0 тысячи леев из Национального фонда развития сельского хозяйства и сельской местности;</w:t>
      </w:r>
    </w:p>
    <w:p w14:paraId="1D16B1D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h) для Национального экологического фонда – в сумме 500000,0 тысячи леев;</w:t>
      </w:r>
    </w:p>
    <w:p w14:paraId="0AB0868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i) на консолидацию качества образования – в сумме 87376,3 тысячи леев, за счет займа, предоставленного Всемирным банком в рамках проекта «Реформа образования в Молдове»;</w:t>
      </w:r>
    </w:p>
    <w:p w14:paraId="3126B11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j) на поддержку деятельности театров, цирка и концертных организаций – в сумме 175748,7 тысячи леев; </w:t>
      </w:r>
    </w:p>
    <w:p w14:paraId="34642EA6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k) на частичную компенсацию взносов обязательного государственного социального страхования, уплачиваемых организациями и предприятиями общественного объединения «Ассоциация незрячих Молдовы», – в сумме 709,8 тысячи леев, Ассоциации глухих Республики Молдова – в сумме 478,8 тысячи леев и Общества инвалидов Республики Молдова – в сумме 593,5 тысячи леев;</w:t>
      </w:r>
    </w:p>
    <w:p w14:paraId="025E5CB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l) на приобретение оборудования и сырья для предприятий общественного объединения «Ассоциация незрячих Молдовы» – в сумме 2107,7 тысячи леев, Ассоциации глухих Республики Молдова – в сумме 1445,5 тысячи леев и Общества инвалидов Республики Молдова – в сумме 1607,6 тысячи леев;</w:t>
      </w:r>
    </w:p>
    <w:p w14:paraId="79188E9B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m) на создание рабочих мест на предприятиях общественного объединения «Ассоциация незрячих Молдовы» – в сумме 250,0 тысячи леев и Общества инвалидов Республики Молдова – в сумме 250,0 тысячи леев;</w:t>
      </w:r>
    </w:p>
    <w:p w14:paraId="3E23C93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n) на оплату Ассоциацией глухих Республики Молдова услуг сурдоперевода, предоставляемых переводчиками по запросу глухих, немых или глухонемых, – в сумме 493,3 тысячи леев;</w:t>
      </w:r>
    </w:p>
    <w:p w14:paraId="7DEC46E1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o) для Фонда поддержки населения – в сумме 146400,0 тысячи леев, в том числе на финансирование минимального пакета социальных услуг органами местного публичного управления второго уровня – 130400,0 тысячи леев;</w:t>
      </w:r>
    </w:p>
    <w:p w14:paraId="6C68338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lastRenderedPageBreak/>
        <w:t>p) на финансирование политических партий – в сумме 34150,5 тысячи леев;</w:t>
      </w:r>
    </w:p>
    <w:p w14:paraId="748CA8D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q) на финансирование капитальных вложений по центральным органам публичной власти – в сумме 1648054,3 тысячи леев, с распределением согласно приложению 6;</w:t>
      </w:r>
    </w:p>
    <w:p w14:paraId="53352261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r) в бюджете Фонда социальных инвестиций – в сумме 5000,0 на работы по ремонту/строительству санитарных блоков в учреждениях начального, гимназического и лицейского образования; 71874,0 тысячи леев на работы по обновлению учреждений начального, гимназического и лицейского образования в подчинении местных органов публичной власти за счет займа, предоставленного Всемирным банком в рамках проекта «Реформа образования в Молдове».</w:t>
      </w:r>
    </w:p>
    <w:p w14:paraId="3874D5F4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</w:p>
    <w:p w14:paraId="7540CF0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Ст.3.</w:t>
      </w:r>
      <w:r w:rsidRPr="00CF441B">
        <w:rPr>
          <w:rFonts w:cstheme="majorBidi"/>
          <w:sz w:val="28"/>
          <w:szCs w:val="28"/>
        </w:rPr>
        <w:t xml:space="preserve"> – Утвердить в государственном бюджете ассигнования для:</w:t>
      </w:r>
    </w:p>
    <w:p w14:paraId="5252194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a) уплаты взносов в международные организации, членом которых является Республика Молдова, – в сумме 59000,0 тысячи леев, деятельности по реинтеграции страны – в сумме 15000,0 тысячи леев. Распределение этих ассигнований осуществляется на основании постановлений Правительства;</w:t>
      </w:r>
    </w:p>
    <w:p w14:paraId="32A0906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b) резервного фонда Правительства – в сумме 170000,0 тысячи леев и интервенционного фонда Правительства – в сумме 17000,0 тысячи леев;</w:t>
      </w:r>
    </w:p>
    <w:p w14:paraId="54CFE66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c) поддержки программы грантов для инициатив молодежи на местном уровне – в сумме 1500,0 тысячи леев. Распределение этих ассигнований осуществляется в установленном Правительством порядке;</w:t>
      </w:r>
    </w:p>
    <w:p w14:paraId="46C6DF5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d) поддержки программы Диаспора дома преуспевает «DAR 1+3» – в сумме 5000,0 тысячи леев. Распределение этих ассигнований осуществляется в установленном Правительством порядке;</w:t>
      </w:r>
    </w:p>
    <w:p w14:paraId="567342A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e) субсидирования процентов согласно Закону об учреждении некоторых мер поддержки предпринимательской деятельности и о внесении изменений в некоторые нормативные акты № 60/2020 – в сумме 30000,0 тысячи леев;</w:t>
      </w:r>
    </w:p>
    <w:p w14:paraId="1ED1F5E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f) субсидирования рабочих мест – в сумме 200000,0 тысячи леев. Распределение этих ассигнований осуществляется в установленном Правительством порядке.</w:t>
      </w:r>
    </w:p>
    <w:p w14:paraId="77D2D5C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6E60756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Ст.4.</w:t>
      </w:r>
      <w:r w:rsidRPr="00CF441B">
        <w:rPr>
          <w:rFonts w:cstheme="majorBidi"/>
          <w:sz w:val="28"/>
          <w:szCs w:val="28"/>
        </w:rPr>
        <w:t xml:space="preserve"> – (1) Утвердить в государственном бюджете трансферты в другие бюджеты и фонды:</w:t>
      </w:r>
    </w:p>
    <w:p w14:paraId="0585EF1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a) в бюджет государственного социального страхования – в сумме 9757694,3 тысячи леев, из которых для покрытия дефицита бюджета государственного социального страхования – 3191557,4 тысячи леев;</w:t>
      </w:r>
    </w:p>
    <w:p w14:paraId="7E319E5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b) в фонды обязательного медицинского страхования – в сумме 5835039,6 тысячи леев, из которых для реализации национальных программ в области здравоохранения – 140924,3 тысячи леев. Для страхования некоторых категорий лиц согласно законодательству, в отступление от </w:t>
      </w:r>
      <w:r w:rsidRPr="00CF441B">
        <w:rPr>
          <w:rFonts w:cstheme="majorBidi"/>
          <w:sz w:val="28"/>
          <w:szCs w:val="28"/>
        </w:rPr>
        <w:lastRenderedPageBreak/>
        <w:t>положений статьи 9 Закона № 1593/2002 о размере, порядке и сроках уплаты взносов обязательного медицинского страхования, утвердить трансферты в фонды обязательного медицинского страхования в сумме 5694115,3 тысячи леев;</w:t>
      </w:r>
    </w:p>
    <w:p w14:paraId="5093714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c) в местные бюджеты – в общей сумме 13845687,8 тысячи леев, которых за счет займа, предоставленного Всемирным банком в рамках проекта «Реформа образования в Молдове», на приобретение учебного оборудования и школьной мебели – 22889,0 тысячи леев, на оснащение лабораторий – 2500,0 тысячи леев. Распределение трансфертов в местные бюджеты осуществляется согласно приложению 7.</w:t>
      </w:r>
    </w:p>
    <w:p w14:paraId="436D815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Фонд финансовой поддержки административно-территориальных единиц дополнен долей 10% от подоходного налога от предпринимательской деятельности, полученного в 2019 году. Для административно-территориальных единиц, в которых дополнение местных бюджетов за счет трансфертов общего назначения не покрывает полностью дополнительные затраты местных бюджетов, связанные с внедрением закона №.270/2018 о единой системе оплаты труда в бюджетной сфере на собственные сферы деятельности местных органов власти, из государственного бюджета выделяются трансферты в сумме 241020,5 тысячи леев.</w:t>
      </w:r>
    </w:p>
    <w:p w14:paraId="5B07CA8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</w:p>
    <w:p w14:paraId="54F2B5A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Ст.5.</w:t>
      </w:r>
      <w:r w:rsidRPr="00CF441B">
        <w:rPr>
          <w:rFonts w:cstheme="majorBidi"/>
          <w:sz w:val="28"/>
          <w:szCs w:val="28"/>
        </w:rPr>
        <w:t xml:space="preserve"> – Для реализации государственной программы «Первый дом» выделяются ассигнования в сумме 70000,0 тысячи леев, в том числе 50000,0 тысячи леев на погашение государственных гарантий в рамках программы. Распределение этих ассигнований осуществляется в установленном Правительством порядке.</w:t>
      </w:r>
    </w:p>
    <w:p w14:paraId="7E2EA79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5EE1593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Ст.6.</w:t>
      </w:r>
      <w:r w:rsidRPr="00CF441B">
        <w:rPr>
          <w:rFonts w:cstheme="majorBidi"/>
          <w:sz w:val="28"/>
          <w:szCs w:val="28"/>
        </w:rPr>
        <w:t xml:space="preserve"> – (1) Выделяются финансовые средства для:</w:t>
      </w:r>
    </w:p>
    <w:p w14:paraId="0627DCA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a) увеличения уставного капитала государственного предприятия «Железная дорога Молдовы» – в сумме до 368333,9 тысячи леев (эквивалент 17880,3 тысячи евро) за счет займа, предоставленного Европейским инвестиционным банком в рамках Проекта закупки локомотивов и реструктуризации железнодорожной инфраструктуры;</w:t>
      </w:r>
    </w:p>
    <w:p w14:paraId="4248FEC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b) увеличения уставного капитала общества с ограниченной ответственностью «Национальная арена» в сумме до 67739,5 тысячи леев (эквивалент 3169,8 тысячи евро);</w:t>
      </w:r>
    </w:p>
    <w:p w14:paraId="0563322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c) доли участия Республики Молдова в уставном капитале международных банков развития – в сумме до 43311,8 тысячи леев (эквивалент 2381,1 тысячи долларов США, в том числе Международный банк реконструкции и развития – 2181,1 тысячи долларов США, Азиатский банк инфраструктурных инвестиций – 200,0 тысячи долларов США).</w:t>
      </w:r>
    </w:p>
    <w:p w14:paraId="4986A594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Выделение предусмотренных в части (1) средств осуществляется на основании постановлений Правительства.</w:t>
      </w:r>
    </w:p>
    <w:p w14:paraId="4D8B023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lastRenderedPageBreak/>
        <w:t> </w:t>
      </w:r>
    </w:p>
    <w:p w14:paraId="68E0136D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Ст.7.</w:t>
      </w:r>
      <w:r w:rsidRPr="00CF441B">
        <w:rPr>
          <w:rFonts w:cstheme="majorBidi"/>
          <w:sz w:val="28"/>
          <w:szCs w:val="28"/>
        </w:rPr>
        <w:t xml:space="preserve"> – Финансовые средства, получаемые из бюджетов-компонентов национального публичного бюджета публичными органами/учреждениями на самоуправлении, государственными предприятиями и акционерными обществами, учредителями которых являются центральные и местные органы публичной власти, согласно приложению 8, управляются посредством Единого казначейского счета Министерства финансов.</w:t>
      </w:r>
    </w:p>
    <w:p w14:paraId="77561F9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3E06489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Ст.8</w:t>
      </w:r>
      <w:r w:rsidRPr="00CF441B">
        <w:rPr>
          <w:rFonts w:cstheme="majorBidi"/>
          <w:sz w:val="28"/>
          <w:szCs w:val="28"/>
        </w:rPr>
        <w:t xml:space="preserve">. – Установить, что по состоянию на 31 декабря 2021 года внутренний государственный долг не должен превышать 36350,6 миллиона леев, внешний государственный долг – 48504,6 миллиона леев (эквивалент 2668,0 миллиона долларов США). Остаток государственных внешних гарантий составит ноль леев, а остаток государственных внутренних гарантий не должен превышать 2000,0 миллиона леев. </w:t>
      </w:r>
    </w:p>
    <w:p w14:paraId="121B517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3D11648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Ст.9.</w:t>
      </w:r>
      <w:r w:rsidRPr="00CF441B">
        <w:rPr>
          <w:rFonts w:cstheme="majorBidi"/>
          <w:sz w:val="28"/>
          <w:szCs w:val="28"/>
        </w:rPr>
        <w:t xml:space="preserve"> – (1) Приватный налог представляет собой единовременный платеж, взимаемый при совершении сделок с имуществом публичной собственности в процессе приватизации, независимо от вида используемых средств.</w:t>
      </w:r>
    </w:p>
    <w:p w14:paraId="5F4A532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Субъектами обложения приватным налогом являются юридические и физические лица Республики Молдова, а также иностранные юридические и физические лица, которым в процессе приватизации передается в частную собственность имущество публичной собственности.</w:t>
      </w:r>
    </w:p>
    <w:p w14:paraId="4164DD4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(3) Объектом обложения приватным налогом выступает имущество публичной собственности, включая акции.</w:t>
      </w:r>
    </w:p>
    <w:p w14:paraId="5589CC0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(4) Ставка приватного налога устанавливается в размере 1 процента стоимости приобретения имущества публичной собственности, подлежащего приватизации, в том числе стоимости акций, подлежащих приватизации.</w:t>
      </w:r>
    </w:p>
    <w:p w14:paraId="2264FD3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(5) Приватный налог уплачивается до подписания договора купли-продажи и вносится, в зависимости от принадлежности имущества, в государственный бюджет или в местный бюджет.</w:t>
      </w:r>
    </w:p>
    <w:p w14:paraId="1752E43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(6) Не уплачивается приватный налог в случае безвозмездного получения в частную собственность имущества публичной собственности физическими лицами–резидентами, не занимающимися предпринимательской деятельностью.</w:t>
      </w:r>
    </w:p>
    <w:p w14:paraId="62093B5D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(7) В случае расторжения обратной силой договора купли-продажи, обусловленного неисполнением или ненадлежащим исполнением покупателем своих обязательств, суммы уплаченного приватного налога не возвращаются.</w:t>
      </w:r>
    </w:p>
    <w:p w14:paraId="1737398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(8) В зависимости от принадлежности имущества публичной собственности контроль за исполнением положений настоящей статьи возлагается на центральные или местные органы публичной власти.</w:t>
      </w:r>
    </w:p>
    <w:p w14:paraId="3CA6A23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lastRenderedPageBreak/>
        <w:t> </w:t>
      </w:r>
    </w:p>
    <w:p w14:paraId="5FAB192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Ст.10.</w:t>
      </w:r>
      <w:r w:rsidRPr="00CF441B">
        <w:rPr>
          <w:rFonts w:cstheme="majorBidi"/>
          <w:sz w:val="28"/>
          <w:szCs w:val="28"/>
        </w:rPr>
        <w:t xml:space="preserve"> – (1) Для расчета заработной платы работников бюджетной сферы с 1 января 2021 года в соответствии с положениями Закона о единой системе оплаты труда в бюджетной сфере № 270/2018 устанавливается основная базовая ставка в размере 1700 леев.</w:t>
      </w:r>
    </w:p>
    <w:p w14:paraId="41F2192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В отступление от положений части (1) устанавливается следующая основная базовая ставка в размере:</w:t>
      </w:r>
    </w:p>
    <w:p w14:paraId="7FBC01B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a) в размере 1300 леев:</w:t>
      </w:r>
    </w:p>
    <w:p w14:paraId="6A9C0401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лиц, исполняющих ответственные государственные должности, из органов/учреждений, финансируемых из государственного бюджета, за исключением судей, прокуроров, судебных инспекторов, генерального секретаря Правительства, государственных секретарей, начальников и заместителей начальников территориальных бюро Государственной канцелярии, советников по разрешению споров;</w:t>
      </w:r>
    </w:p>
    <w:p w14:paraId="7E5291D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руководителей кабинетов и советников из кабинета Председателя Парламента, Президента Республики Молдова и премьер-министра;</w:t>
      </w:r>
    </w:p>
    <w:p w14:paraId="40B30D5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b) в размере 1750 леев:</w:t>
      </w:r>
    </w:p>
    <w:p w14:paraId="3013FA8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– для офицерского состава Национального инспектората общественной безопасности Генерального инспектората полиции Министерства внутренних дел (за исключением отдела обеспечения общественного порядка Управления патрулирования „Центр”), </w:t>
      </w:r>
      <w:proofErr w:type="spellStart"/>
      <w:r w:rsidRPr="00CF441B">
        <w:rPr>
          <w:rFonts w:cstheme="majorBidi"/>
          <w:sz w:val="28"/>
          <w:szCs w:val="28"/>
        </w:rPr>
        <w:t>деконцентрированных</w:t>
      </w:r>
      <w:proofErr w:type="spellEnd"/>
      <w:r w:rsidRPr="00CF441B">
        <w:rPr>
          <w:rFonts w:cstheme="majorBidi"/>
          <w:sz w:val="28"/>
          <w:szCs w:val="28"/>
        </w:rPr>
        <w:t xml:space="preserve"> подразделений Генерального инспектората полиции, Генерального инспектората по чрезвычайным ситуациям и офицерского состава Генерального инспектората карабинеров в подчинении Министерства внутренних дел;</w:t>
      </w:r>
    </w:p>
    <w:p w14:paraId="097FF0A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офицеров из воинских частей Министерства обороны;</w:t>
      </w:r>
    </w:p>
    <w:p w14:paraId="0C40130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– для сотрудников системы пенитенциарной администрации; </w:t>
      </w:r>
    </w:p>
    <w:p w14:paraId="1127D881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c) в размере 1800 леев:</w:t>
      </w:r>
    </w:p>
    <w:p w14:paraId="40A98D3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педагогического персонала, научно-преподавательского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заместителей директоров других общеобразовательных учреждений кроме учреждений раннего, начального, гимназического, лицейского и профессионально-технического образования;</w:t>
      </w:r>
    </w:p>
    <w:p w14:paraId="439BC50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персонала, который согласно приложениям к Закону о единой системе оплаты труда в бюджетной сфере № 270/2018 относится к классам оплаты труда с 1-го по 25-й;</w:t>
      </w:r>
    </w:p>
    <w:p w14:paraId="49E2B16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– для </w:t>
      </w:r>
      <w:proofErr w:type="spellStart"/>
      <w:r w:rsidRPr="00CF441B">
        <w:rPr>
          <w:rFonts w:cstheme="majorBidi"/>
          <w:sz w:val="28"/>
          <w:szCs w:val="28"/>
        </w:rPr>
        <w:t>субофицерского</w:t>
      </w:r>
      <w:proofErr w:type="spellEnd"/>
      <w:r w:rsidRPr="00CF441B">
        <w:rPr>
          <w:rFonts w:cstheme="majorBidi"/>
          <w:sz w:val="28"/>
          <w:szCs w:val="28"/>
        </w:rPr>
        <w:t xml:space="preserve"> состава Национального инспектората общественной безопасности Генерального инспектората полиции Министерства внутренних дел (за исключением отдела обеспечения общественного порядка Управления патрулирования „Центр”), </w:t>
      </w:r>
      <w:proofErr w:type="spellStart"/>
      <w:r w:rsidRPr="00CF441B">
        <w:rPr>
          <w:rFonts w:cstheme="majorBidi"/>
          <w:sz w:val="28"/>
          <w:szCs w:val="28"/>
        </w:rPr>
        <w:lastRenderedPageBreak/>
        <w:t>деконцентрированных</w:t>
      </w:r>
      <w:proofErr w:type="spellEnd"/>
      <w:r w:rsidRPr="00CF441B">
        <w:rPr>
          <w:rFonts w:cstheme="majorBidi"/>
          <w:sz w:val="28"/>
          <w:szCs w:val="28"/>
        </w:rPr>
        <w:t xml:space="preserve"> подразделений Генерального инспектората полиции, Генерального инспектората по чрезвычайным ситуациям и </w:t>
      </w:r>
      <w:proofErr w:type="spellStart"/>
      <w:r w:rsidRPr="00CF441B">
        <w:rPr>
          <w:rFonts w:cstheme="majorBidi"/>
          <w:sz w:val="28"/>
          <w:szCs w:val="28"/>
        </w:rPr>
        <w:t>субофицерского</w:t>
      </w:r>
      <w:proofErr w:type="spellEnd"/>
      <w:r w:rsidRPr="00CF441B">
        <w:rPr>
          <w:rFonts w:cstheme="majorBidi"/>
          <w:sz w:val="28"/>
          <w:szCs w:val="28"/>
        </w:rPr>
        <w:t xml:space="preserve"> состава Генерального инспектората карабинеров в подчинении Министерства внутренних дел;</w:t>
      </w:r>
    </w:p>
    <w:p w14:paraId="18BB982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советников по разрешению споров Национального агентства по разрешению споров, включая генерального директора и заместителя генерального директора);</w:t>
      </w:r>
    </w:p>
    <w:p w14:paraId="6FC9CA31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рядового и сержантского состава Министерства обороны;</w:t>
      </w:r>
    </w:p>
    <w:p w14:paraId="2B5E9D7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d) в размере 1900 леев – для директоров общеобразовательных учреждений, кроме учреждений раннего, начального, гимназического, лицейского и профессионально-технического образования;</w:t>
      </w:r>
    </w:p>
    <w:p w14:paraId="67CB5B7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e) в размере 2000 леев – для персонала, в том числе исполняющего ответственные государственные должности, в составе Службы государственной охраны;</w:t>
      </w:r>
    </w:p>
    <w:p w14:paraId="7F807C0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f) в размере 2500 леев:</w:t>
      </w:r>
    </w:p>
    <w:p w14:paraId="7F241C2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судей (за исключением судей Конституционного суда, Высшего совета магистратуры и Высшей судебной палаты), прокуроров, судебных инспекторов, инспекторов Инспекции прокуроров;</w:t>
      </w:r>
    </w:p>
    <w:p w14:paraId="2758A96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персонала, в том числе исполняющего ответственные государственные должности, в составе Службы информации и безопасности, Национального центра по борьбе с коррупцией, Национального органа по неподкупности, Службы по предупреждению и борьбе с отмыванием денег;</w:t>
      </w:r>
    </w:p>
    <w:p w14:paraId="0F67DF4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 для персонала, в том числе исполняющего руководящие государственные должности, в составе Органа гражданской авиации;</w:t>
      </w:r>
    </w:p>
    <w:p w14:paraId="1EECD71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g) в размере 2600 леев – для судей Конституционного суда, Высшего совета магистратуры и Высшей судебной палаты. </w:t>
      </w:r>
    </w:p>
    <w:p w14:paraId="7F039D2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</w:p>
    <w:p w14:paraId="48B2178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Ст.11.</w:t>
      </w:r>
      <w:r w:rsidRPr="00CF441B">
        <w:rPr>
          <w:rFonts w:cstheme="majorBidi"/>
          <w:sz w:val="28"/>
          <w:szCs w:val="28"/>
        </w:rPr>
        <w:t xml:space="preserve"> – (1) Минимальный размер платы за наем имущества публичной собственности утверждается в соответствии с приложением 9.</w:t>
      </w:r>
    </w:p>
    <w:p w14:paraId="733C540D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Освобождаются от платы за наем помещений (исключая плату за коммунальные услуги):</w:t>
      </w:r>
    </w:p>
    <w:p w14:paraId="6C716CA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а) бюджетные органы/учреждения, финансируемые из государственного бюджета, публичные учреждения, внедряющие проекты финансируемые из внешних источников – части государственного бюджета (подразделение по внедрению) и творческие союзы – за помещения, нанимаемые у других бюджетных органов/учреждений, финансируемых из государственного бюджета, а также у государственных предприятий, учредителем которых является их вышестоящий орган, без права сдачи в поднаем;</w:t>
      </w:r>
    </w:p>
    <w:p w14:paraId="566265A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b) государственные предприятия, учредителем которых является Национальная пенитенциарная администрация, – за помещения, нанимаемые у учреждений пенитенциарной системы.</w:t>
      </w:r>
    </w:p>
    <w:p w14:paraId="17E1FAC1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lastRenderedPageBreak/>
        <w:t> </w:t>
      </w:r>
    </w:p>
    <w:p w14:paraId="535D7E1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Ст.12</w:t>
      </w:r>
      <w:r w:rsidRPr="00CF441B">
        <w:rPr>
          <w:rFonts w:cstheme="majorBidi"/>
          <w:sz w:val="28"/>
          <w:szCs w:val="28"/>
        </w:rPr>
        <w:t>. – Возмещения лицам, подлежащим согласно законодательству обязательному государственному страхованию, выплачиваются на основании документов, оформленных профильными службами органов/учреждений, в которых эти лица работают, из средств соответствующих органов/учреждений.</w:t>
      </w:r>
    </w:p>
    <w:p w14:paraId="44BB89E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69A74B2C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Ст.13.</w:t>
      </w:r>
      <w:r w:rsidRPr="00CF441B">
        <w:rPr>
          <w:rFonts w:cstheme="majorBidi"/>
          <w:sz w:val="28"/>
          <w:szCs w:val="28"/>
        </w:rPr>
        <w:t xml:space="preserve"> – (1) Комиссионные за услуги по распределению компенсаций лицам, подвергшимся политическим репрессиям, единовременных компенсаций в связи с подключением к газопроводу, единовременных пособий на строительство дома или кооперативного жилья, приобретение жилья или восстановление старого жилья, социальных выплат, осуществляемых из средств Фонда поддержки населения, и других социальных выплат специального назначения некоторым категориям населения, предусмотренным в государственном бюджете, устанавливаются при заключении договоров между поставщиком платежных услуг и Министерством финансов в размере не более 0,8 процента распределяемой суммы.</w:t>
      </w:r>
    </w:p>
    <w:p w14:paraId="51FBBD6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Комиссионные за услуги по приему заявлений по индексации и распределению сумм, индексированных согласно Закону об индексации денежных вкладов граждан в Сберегательном банке № 1530/2002, предоставляемые посредством государственного предприятия «</w:t>
      </w:r>
      <w:proofErr w:type="spellStart"/>
      <w:r w:rsidRPr="00CF441B">
        <w:rPr>
          <w:rFonts w:cstheme="majorBidi"/>
          <w:sz w:val="28"/>
          <w:szCs w:val="28"/>
        </w:rPr>
        <w:t>Poşta</w:t>
      </w:r>
      <w:proofErr w:type="spellEnd"/>
      <w:r w:rsidRPr="00CF441B">
        <w:rPr>
          <w:rFonts w:cstheme="majorBidi"/>
          <w:sz w:val="28"/>
          <w:szCs w:val="28"/>
        </w:rPr>
        <w:t xml:space="preserve"> </w:t>
      </w:r>
      <w:proofErr w:type="spellStart"/>
      <w:r w:rsidRPr="00CF441B">
        <w:rPr>
          <w:rFonts w:cstheme="majorBidi"/>
          <w:sz w:val="28"/>
          <w:szCs w:val="28"/>
        </w:rPr>
        <w:t>Moldovei</w:t>
      </w:r>
      <w:proofErr w:type="spellEnd"/>
      <w:r w:rsidRPr="00CF441B">
        <w:rPr>
          <w:rFonts w:cstheme="majorBidi"/>
          <w:sz w:val="28"/>
          <w:szCs w:val="28"/>
        </w:rPr>
        <w:t>», устанавливаются в размере не более 10 леев за прием заявления и в размере не более 0,8 процента распределяемой суммы.</w:t>
      </w:r>
    </w:p>
    <w:p w14:paraId="419E4A9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(3) Комиссионные за выдачу наличных денежных средств банками для выплаты социальных пособий, указанных в частях (1) и (2), а также за социальные выплаты, распределенные посредством правительственной услуги электронных платежей, государственного предприятия «</w:t>
      </w:r>
      <w:proofErr w:type="spellStart"/>
      <w:r w:rsidRPr="00CF441B">
        <w:rPr>
          <w:rFonts w:cstheme="majorBidi"/>
          <w:sz w:val="28"/>
          <w:szCs w:val="28"/>
        </w:rPr>
        <w:t>Poşta</w:t>
      </w:r>
      <w:proofErr w:type="spellEnd"/>
      <w:r w:rsidRPr="00CF441B">
        <w:rPr>
          <w:rFonts w:cstheme="majorBidi"/>
          <w:sz w:val="28"/>
          <w:szCs w:val="28"/>
        </w:rPr>
        <w:t xml:space="preserve"> </w:t>
      </w:r>
      <w:proofErr w:type="spellStart"/>
      <w:r w:rsidRPr="00CF441B">
        <w:rPr>
          <w:rFonts w:cstheme="majorBidi"/>
          <w:sz w:val="28"/>
          <w:szCs w:val="28"/>
        </w:rPr>
        <w:t>Moldovei</w:t>
      </w:r>
      <w:proofErr w:type="spellEnd"/>
      <w:r w:rsidRPr="00CF441B">
        <w:rPr>
          <w:rFonts w:cstheme="majorBidi"/>
          <w:sz w:val="28"/>
          <w:szCs w:val="28"/>
        </w:rPr>
        <w:t>», устанавливаются в размере не более 0,25 процента выдаваемой суммы и уплачиваются из государственного бюджета.</w:t>
      </w:r>
    </w:p>
    <w:p w14:paraId="70A0A72C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(4) Комиссионные за услуги по приему посредством иных платежных инструментов, чем платежные карты, от населения, констатирующих субъектов, сборщиков налогов и налоговых служащих платежей на Единый казначейский счет Министерства финансов (за исключением таможенных платежей), а также комиссионные за возврат платежей из этих бюджетов населению устанавливаются в размере не более 1,0 процента поступающей/возвращаемой суммы, но не менее 1 лея и не более 2,5 лея за платеж, на основании договора, заключенного Министерством финансов с поставщиками платежных услуг, и уплачиваются из государственного бюджета.</w:t>
      </w:r>
    </w:p>
    <w:p w14:paraId="5E3A29C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(5) Комиссионные за услуги по приему посредством платежных карт от населения платежей в бюджеты–компоненты национального публичного бюджета и возврат платежей из этих бюджетов населению устанавливаются </w:t>
      </w:r>
      <w:r w:rsidRPr="00CF441B">
        <w:rPr>
          <w:rFonts w:cstheme="majorBidi"/>
          <w:sz w:val="28"/>
          <w:szCs w:val="28"/>
        </w:rPr>
        <w:lastRenderedPageBreak/>
        <w:t>в размере 0,5 процента из суммы платежного поручения – в случае оплаты платежными картами, выпущенными в Республике Молдова и 2,2 процента из суммы платежного поручения – в случае оплаты платежными картами, выпущенными за пределами Республики Молдова, и уплачиваются из государственного бюджета.</w:t>
      </w:r>
    </w:p>
    <w:p w14:paraId="7861E5F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 (6), Указанные в частях (3), (4) и (5) комиссионные для операций, относящихся к бюджету государственного социального страхования и фондам обязательного медицинского страхования возвращаются государственному бюджету из бюджета государственного социального страхования и фондов обязательного медицинского страхования.</w:t>
      </w:r>
    </w:p>
    <w:p w14:paraId="5EBF84A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744FD6F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Ст.14.</w:t>
      </w:r>
      <w:r w:rsidRPr="00CF441B">
        <w:rPr>
          <w:rFonts w:cstheme="majorBidi"/>
          <w:sz w:val="28"/>
          <w:szCs w:val="28"/>
        </w:rPr>
        <w:t xml:space="preserve"> – (1) Установить уплату из государственного бюджета комиссионных за:</w:t>
      </w:r>
    </w:p>
    <w:p w14:paraId="35F6068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a) исполнение через автоматизированную систему межбанковских платежей платежных документов казначейской системы Министерства финансов;</w:t>
      </w:r>
    </w:p>
    <w:p w14:paraId="3A65A31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b) услуги по снятию наличных денежных средств, обслуживание валютных операций по счетам государственного бюджета, местных бюджетов, публичных органов/учреждений на самоуправлении и других субъектов, которые обслуживаются через Единый казначейский счет Министерства финансов;</w:t>
      </w:r>
    </w:p>
    <w:p w14:paraId="682E83B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c) банковские услуги по обслуживанию управляемых через казначейскую систему счетов, предназначенных для реализации проектов, финансируемых из внешних источников;</w:t>
      </w:r>
    </w:p>
    <w:p w14:paraId="5B8005EE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d) услуги по переводу/снятию наличных денежных средств со счетов государственного бюджета и местных бюджетов на основании исполнительных документов;</w:t>
      </w:r>
    </w:p>
    <w:p w14:paraId="59705E5D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e) содержание опломбированных посылок для хранения ценностей.</w:t>
      </w:r>
    </w:p>
    <w:p w14:paraId="46E10CF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(2) Комиссионные за прием от физических лиц таможенных платежей уплачиваются Таможенной службой за счет ассигнований, утвержденных в государственном бюджете, на основании договора заключенного с банком.</w:t>
      </w:r>
    </w:p>
    <w:p w14:paraId="42BC6C1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518BF6A3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Ст.15.</w:t>
      </w:r>
      <w:r w:rsidRPr="00CF441B">
        <w:rPr>
          <w:rFonts w:cstheme="majorBidi"/>
          <w:sz w:val="28"/>
          <w:szCs w:val="28"/>
        </w:rPr>
        <w:t xml:space="preserve"> – (1) Проценты, начисляемые на остатки денежных средств бюджетов-компонентов национального публичного бюджета, публичных органов/учреждений на самоуправлении и других субъектов, находящиеся на счетах, открытых в Едином казначейском счете Министерства финансов/банках, распределяются соответственно государственному бюджету, бюджету государственного социального страхования, фондам обязательного медицинского страхования.</w:t>
      </w:r>
    </w:p>
    <w:p w14:paraId="0181B937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(2) Проценты, начисляемые на остатки денежных средств на счетах, открытых в банках и предназначенных для реализации проектов, финансируемых из внешних источников, перечисляются полностью в бюджеты, в состав которых они включены (государственный бюджет или </w:t>
      </w:r>
      <w:r w:rsidRPr="00CF441B">
        <w:rPr>
          <w:rFonts w:cstheme="majorBidi"/>
          <w:sz w:val="28"/>
          <w:szCs w:val="28"/>
        </w:rPr>
        <w:lastRenderedPageBreak/>
        <w:t>местные бюджеты), за исключением процентов, начисляемых на остатки денежных средств Фонда долгосрочного развития, которые остаются в его управлении.</w:t>
      </w:r>
    </w:p>
    <w:p w14:paraId="68AB18F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06E9BF76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Ст.16.</w:t>
      </w:r>
      <w:r w:rsidRPr="00CF441B">
        <w:rPr>
          <w:rFonts w:cstheme="majorBidi"/>
          <w:sz w:val="28"/>
          <w:szCs w:val="28"/>
        </w:rPr>
        <w:t xml:space="preserve"> – В отступление от положений статьи 60 Закона о публичных финансах и бюджетно-налоговой ответственности № 181/2014 Правительство наделяется полномочиями по перераспределению ассигнований, утвержденных настоящим законом, между министерствами, другими бюджетными органами/учреждениями в случае изменения нормативных актов или принятия новых нормативных актов по организации и функционированию этих субъектов.</w:t>
      </w:r>
    </w:p>
    <w:p w14:paraId="5062B6E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760ECB99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Ст.17.</w:t>
      </w:r>
      <w:r w:rsidRPr="00CF441B">
        <w:rPr>
          <w:rFonts w:cstheme="majorBidi"/>
          <w:sz w:val="28"/>
          <w:szCs w:val="28"/>
        </w:rPr>
        <w:t xml:space="preserve"> – Министерству финансов предоставляется право:</w:t>
      </w:r>
    </w:p>
    <w:p w14:paraId="30A5A212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a) по обоснованным обращениям центральных органов публичной власти изменять утвержденные показатели государственного бюджета по доходам и расходам исходя из объемов грантов, пожертвований, спонсорских и других безвозмездных средств, дополнительно поступивших в распоряжение бюджетных органов/учреждений;</w:t>
      </w:r>
    </w:p>
    <w:p w14:paraId="5D475F2F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b) по предложению Министерства сельского хозяйства, регионального развития и окружающей среды перераспределять:</w:t>
      </w:r>
    </w:p>
    <w:p w14:paraId="161B7554" w14:textId="164A58D9" w:rsidR="00693305" w:rsidRPr="00CF441B" w:rsidRDefault="000C7D8A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</w:t>
      </w:r>
      <w:r w:rsidR="00693305" w:rsidRPr="00CF441B">
        <w:rPr>
          <w:rFonts w:cstheme="majorBidi"/>
          <w:sz w:val="28"/>
          <w:szCs w:val="28"/>
        </w:rPr>
        <w:t xml:space="preserve"> ассигнования, утвержденные для Национального фонда регионального развития, на основании решения Национального совета по координации регионального развития;</w:t>
      </w:r>
    </w:p>
    <w:p w14:paraId="3670D688" w14:textId="3EBC7AE3" w:rsidR="00693305" w:rsidRPr="00CF441B" w:rsidRDefault="000C7D8A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</w:t>
      </w:r>
      <w:r w:rsidR="00693305" w:rsidRPr="00CF441B">
        <w:rPr>
          <w:rFonts w:cstheme="majorBidi"/>
          <w:sz w:val="28"/>
          <w:szCs w:val="28"/>
        </w:rPr>
        <w:t xml:space="preserve"> ассигнования, утвержденные для Национального экологического фонда, на основании решения Административного совета;</w:t>
      </w:r>
    </w:p>
    <w:p w14:paraId="21E2F00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c) по предложению Министерства экономики и инфраструктуры перераспределять ассигнования, утвержденные для Фонда энергоэффективности, на основании решения Административного совета;</w:t>
      </w:r>
    </w:p>
    <w:p w14:paraId="1A1F277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d) по предложению Министерства образования, культуры и исследований по обоснованным требованиям местных органов публичной власти перераспределять ассигнования, утвержденные для предоставления денежных компенсаций руководителям и педагогическому персоналу публичных общеобразовательных учреждений, в связи с изменением количества бенефициаров;</w:t>
      </w:r>
    </w:p>
    <w:p w14:paraId="3839E1CA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e) по обоснованным предложениям Национального агентства по исследованиям и разработкам перераспределять средства, выделенные на организацию и проведение конкурсов проектов, между центральными органами публичной власти которые выступают в качестве учредителей организаций публичного права в областях исследований и инноваций;</w:t>
      </w:r>
    </w:p>
    <w:p w14:paraId="1F97C8E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f) по обоснованным предложениям Министерства образования, культуры и исследований перераспределять:</w:t>
      </w:r>
    </w:p>
    <w:p w14:paraId="1D02A9BF" w14:textId="5B3B535F" w:rsidR="00693305" w:rsidRPr="00CF441B" w:rsidRDefault="000C7D8A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</w:t>
      </w:r>
      <w:r w:rsidR="00693305" w:rsidRPr="00CF441B">
        <w:rPr>
          <w:rFonts w:cstheme="majorBidi"/>
          <w:sz w:val="28"/>
          <w:szCs w:val="28"/>
        </w:rPr>
        <w:t xml:space="preserve"> средства для институционального финансирования организаций публичного права в областях исследований и инноваций между </w:t>
      </w:r>
      <w:r w:rsidR="00693305" w:rsidRPr="00CF441B">
        <w:rPr>
          <w:rFonts w:cstheme="majorBidi"/>
          <w:sz w:val="28"/>
          <w:szCs w:val="28"/>
        </w:rPr>
        <w:lastRenderedPageBreak/>
        <w:t xml:space="preserve">центральными органами </w:t>
      </w:r>
      <w:proofErr w:type="gramStart"/>
      <w:r w:rsidR="00693305" w:rsidRPr="00CF441B">
        <w:rPr>
          <w:rFonts w:cstheme="majorBidi"/>
          <w:sz w:val="28"/>
          <w:szCs w:val="28"/>
        </w:rPr>
        <w:t>публичной власти</w:t>
      </w:r>
      <w:proofErr w:type="gramEnd"/>
      <w:r w:rsidR="00693305" w:rsidRPr="00CF441B">
        <w:rPr>
          <w:rFonts w:cstheme="majorBidi"/>
          <w:sz w:val="28"/>
          <w:szCs w:val="28"/>
        </w:rPr>
        <w:t xml:space="preserve"> которые выступают в качестве учредителей данных организаций;</w:t>
      </w:r>
    </w:p>
    <w:p w14:paraId="0A36D2D7" w14:textId="581B48CF" w:rsidR="00693305" w:rsidRPr="00CF441B" w:rsidRDefault="000C7D8A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–</w:t>
      </w:r>
      <w:r w:rsidR="00693305" w:rsidRPr="00CF441B">
        <w:rPr>
          <w:rFonts w:cstheme="majorBidi"/>
          <w:sz w:val="28"/>
          <w:szCs w:val="28"/>
        </w:rPr>
        <w:t xml:space="preserve"> средства, выделенные для финансирования публичных учреждений высшего образования между центральными органами публичной власти, которые выступают в качестве учредителей, на основе методологии утвержденной Правительством;</w:t>
      </w:r>
    </w:p>
    <w:p w14:paraId="74433C66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g) для покрытия временного кассового разрыва государственного бюджета заключать в течение бюджетного года договоры на получение внутренних займов на рынке государственных ценных бумаг сверх предусмотренных в государственном бюджете лимитов со сроком возврата в 2021 году;</w:t>
      </w:r>
    </w:p>
    <w:p w14:paraId="5270FB08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 xml:space="preserve">h) осуществлять за счет внешних займов </w:t>
      </w:r>
      <w:proofErr w:type="spellStart"/>
      <w:r w:rsidRPr="00CF441B">
        <w:rPr>
          <w:rFonts w:cstheme="majorBidi"/>
          <w:sz w:val="28"/>
          <w:szCs w:val="28"/>
        </w:rPr>
        <w:t>рекредитование</w:t>
      </w:r>
      <w:proofErr w:type="spellEnd"/>
      <w:r w:rsidRPr="00CF441B">
        <w:rPr>
          <w:rFonts w:cstheme="majorBidi"/>
          <w:sz w:val="28"/>
          <w:szCs w:val="28"/>
        </w:rPr>
        <w:t xml:space="preserve"> исполнительных органов административно-территориальных единиц; гарантией возмещения при этом служат в том числе трансферты общего назначения из государственного бюджета соответствующим местным бюджетам;</w:t>
      </w:r>
    </w:p>
    <w:p w14:paraId="535B43FD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i) изменять отношения между государственным бюджетом и местными бюджетами в случае делегирования на законных основаниях отдельных полномочий или их отзыва, в случае перехода в установленном порядке некоторых учреждений из подчинения местных органов публичной власти в подчинение центральных органов публичной власти и наоборот, а также в случае перехода некоторых учреждений из подчинения местным органам публичной власти первого уровня в подчинение местным органам публичной власти второго уровня и наоборот.</w:t>
      </w:r>
    </w:p>
    <w:p w14:paraId="6F4C11D5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sz w:val="28"/>
          <w:szCs w:val="28"/>
        </w:rPr>
        <w:t> </w:t>
      </w:r>
    </w:p>
    <w:p w14:paraId="5454F8D0" w14:textId="77777777" w:rsidR="00693305" w:rsidRPr="00CF441B" w:rsidRDefault="00693305" w:rsidP="00693305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Ст.18.</w:t>
      </w:r>
      <w:r w:rsidRPr="00CF441B">
        <w:rPr>
          <w:rFonts w:cstheme="majorBidi"/>
          <w:sz w:val="28"/>
          <w:szCs w:val="28"/>
        </w:rPr>
        <w:t xml:space="preserve"> – Настоящий закон вступает в силу с 1 января 2021 года.</w:t>
      </w:r>
    </w:p>
    <w:p w14:paraId="15BC09DC" w14:textId="2230CB92" w:rsidR="00693305" w:rsidRDefault="00693305" w:rsidP="00693305">
      <w:pPr>
        <w:rPr>
          <w:rFonts w:cstheme="majorBidi"/>
          <w:sz w:val="28"/>
          <w:szCs w:val="28"/>
        </w:rPr>
      </w:pPr>
    </w:p>
    <w:p w14:paraId="44FE625A" w14:textId="77777777" w:rsidR="0028720D" w:rsidRPr="00CF441B" w:rsidRDefault="0028720D" w:rsidP="00693305">
      <w:pPr>
        <w:rPr>
          <w:rFonts w:cstheme="majorBidi"/>
          <w:sz w:val="28"/>
          <w:szCs w:val="28"/>
        </w:rPr>
      </w:pPr>
    </w:p>
    <w:p w14:paraId="0BAA21AF" w14:textId="4AD9D798" w:rsidR="00693305" w:rsidRPr="00CF441B" w:rsidRDefault="0028720D" w:rsidP="00F04FA2">
      <w:pPr>
        <w:rPr>
          <w:rFonts w:cstheme="majorBidi"/>
          <w:sz w:val="28"/>
          <w:szCs w:val="28"/>
        </w:rPr>
      </w:pPr>
      <w:r w:rsidRPr="00CF441B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693305" w:rsidRPr="00CF441B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37170" w14:textId="77777777" w:rsidR="00CE3595" w:rsidRDefault="00CE3595" w:rsidP="003B0C7F">
      <w:r>
        <w:separator/>
      </w:r>
    </w:p>
  </w:endnote>
  <w:endnote w:type="continuationSeparator" w:id="0">
    <w:p w14:paraId="1BC69C9D" w14:textId="77777777" w:rsidR="00CE3595" w:rsidRDefault="00CE359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4A4E8" w14:textId="77777777" w:rsidR="004436D2" w:rsidRDefault="004436D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0372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08A1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44DD1" w14:textId="77777777" w:rsidR="00CE3595" w:rsidRDefault="00CE3595" w:rsidP="003B0C7F">
      <w:r>
        <w:separator/>
      </w:r>
    </w:p>
  </w:footnote>
  <w:footnote w:type="continuationSeparator" w:id="0">
    <w:p w14:paraId="088AB1BD" w14:textId="77777777" w:rsidR="00CE3595" w:rsidRDefault="00CE359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643DF" w14:textId="77777777" w:rsidR="004436D2" w:rsidRDefault="004436D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441B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7D8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8720D"/>
    <w:rsid w:val="002911D7"/>
    <w:rsid w:val="002B0498"/>
    <w:rsid w:val="002B268F"/>
    <w:rsid w:val="002D0D73"/>
    <w:rsid w:val="002D316E"/>
    <w:rsid w:val="002F1090"/>
    <w:rsid w:val="002F5CA3"/>
    <w:rsid w:val="003045C0"/>
    <w:rsid w:val="00306840"/>
    <w:rsid w:val="003277A2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C2035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A57DB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35B4"/>
    <w:rsid w:val="005E5C59"/>
    <w:rsid w:val="005F22EB"/>
    <w:rsid w:val="005F2BA8"/>
    <w:rsid w:val="005F39A7"/>
    <w:rsid w:val="00612679"/>
    <w:rsid w:val="00626B93"/>
    <w:rsid w:val="00627BDC"/>
    <w:rsid w:val="006337CD"/>
    <w:rsid w:val="00650B47"/>
    <w:rsid w:val="006550DA"/>
    <w:rsid w:val="00655B05"/>
    <w:rsid w:val="00681120"/>
    <w:rsid w:val="00693305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4351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7597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377AD"/>
    <w:rsid w:val="00C449A6"/>
    <w:rsid w:val="00C4610E"/>
    <w:rsid w:val="00C603E2"/>
    <w:rsid w:val="00C702E9"/>
    <w:rsid w:val="00C8295C"/>
    <w:rsid w:val="00C96210"/>
    <w:rsid w:val="00CB00AF"/>
    <w:rsid w:val="00CB5503"/>
    <w:rsid w:val="00CB67BF"/>
    <w:rsid w:val="00CD51A8"/>
    <w:rsid w:val="00CD5638"/>
    <w:rsid w:val="00CE3595"/>
    <w:rsid w:val="00CE763F"/>
    <w:rsid w:val="00CF3A50"/>
    <w:rsid w:val="00CF441B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85C6FC"/>
  <w15:docId w15:val="{246D044E-9FDE-4769-8973-44A2637FE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607D12-55E6-44FC-A445-E96413FFCB18}"/>
</file>

<file path=customXml/itemProps2.xml><?xml version="1.0" encoding="utf-8"?>
<ds:datastoreItem xmlns:ds="http://schemas.openxmlformats.org/officeDocument/2006/customXml" ds:itemID="{64CAFD9F-B6C9-47B9-8B9E-A4AEC7F4D5E2}"/>
</file>

<file path=customXml/itemProps3.xml><?xml version="1.0" encoding="utf-8"?>
<ds:datastoreItem xmlns:ds="http://schemas.openxmlformats.org/officeDocument/2006/customXml" ds:itemID="{4C1477A8-A33F-451C-9682-CD725BE394F2}"/>
</file>

<file path=customXml/itemProps4.xml><?xml version="1.0" encoding="utf-8"?>
<ds:datastoreItem xmlns:ds="http://schemas.openxmlformats.org/officeDocument/2006/customXml" ds:itemID="{8F3DCD73-5657-4AB3-B47B-4EF95797EE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3731</Words>
  <Characters>21268</Characters>
  <Application>Microsoft Office Word</Application>
  <DocSecurity>0</DocSecurity>
  <Lines>177</Lines>
  <Paragraphs>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475.2020.ru</dc:title>
  <dc:creator>user</dc:creator>
  <cp:lastModifiedBy>Olga Ocinschi</cp:lastModifiedBy>
  <cp:revision>6</cp:revision>
  <cp:lastPrinted>2020-01-31T14:51:00Z</cp:lastPrinted>
  <dcterms:created xsi:type="dcterms:W3CDTF">2020-11-30T17:27:00Z</dcterms:created>
  <dcterms:modified xsi:type="dcterms:W3CDTF">2020-11-30T17:38:00Z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