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528" w:wrap="none" w:hAnchor="page" w:x="1675" w:y="573"/>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framePr w:w="1886" w:h="528" w:wrap="none" w:hAnchor="page" w:x="1675" w:y="573"/>
        <w:widowControl w:val="0"/>
        <w:shd w:val="clear" w:color="auto" w:fill="auto"/>
        <w:bidi w:val="0"/>
        <w:spacing w:before="0" w:after="0" w:line="204" w:lineRule="auto"/>
        <w:ind w:left="0" w:right="0" w:firstLine="0"/>
        <w:jc w:val="left"/>
      </w:pPr>
      <w:r>
        <w:rPr>
          <w:spacing w:val="0"/>
          <w:w w:val="100"/>
          <w:position w:val="0"/>
          <w:shd w:val="clear" w:color="auto" w:fill="auto"/>
          <w:lang w:val="en-US" w:eastAsia="en-US" w:bidi="en-US"/>
        </w:rPr>
        <w:t>Republicii Moldova</w:t>
      </w:r>
    </w:p>
    <w:p>
      <w:pPr>
        <w:pStyle w:val="Style4"/>
        <w:keepNext w:val="0"/>
        <w:keepLines w:val="0"/>
        <w:framePr w:w="2362" w:h="312" w:wrap="none" w:hAnchor="page" w:x="8371" w:y="1"/>
        <w:widowControl w:val="0"/>
        <w:shd w:val="clear" w:color="auto" w:fill="auto"/>
        <w:tabs>
          <w:tab w:leader="underscore" w:pos="922" w:val="left"/>
          <w:tab w:leader="underscore" w:pos="2285" w:val="left"/>
        </w:tabs>
        <w:bidi w:val="0"/>
        <w:spacing w:before="0" w:after="0" w:line="240" w:lineRule="auto"/>
        <w:ind w:left="0" w:right="0" w:firstLine="0"/>
        <w:jc w:val="right"/>
      </w:pPr>
      <w:r>
        <w:rPr>
          <w:color w:val="303741"/>
          <w:spacing w:val="0"/>
          <w:w w:val="100"/>
          <w:position w:val="0"/>
          <w:sz w:val="24"/>
          <w:szCs w:val="24"/>
          <w:shd w:val="clear" w:color="auto" w:fill="auto"/>
          <w:lang w:val="en-US" w:eastAsia="en-US" w:bidi="en-US"/>
        </w:rPr>
        <w:tab/>
        <w:t xml:space="preserve"> nr. </w:t>
        <w:tab/>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128270</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128270</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headerReference w:type="default" r:id="rId9"/>
          <w:headerReference w:type="first" r:id="rId10"/>
          <w:footnotePr>
            <w:pos w:val="pageBottom"/>
            <w:numFmt w:val="decimal"/>
            <w:numRestart w:val="continuous"/>
          </w:footnotePr>
          <w:pgSz w:w="11900" w:h="16840"/>
          <w:pgMar w:top="663" w:left="704" w:right="977" w:bottom="276" w:header="0" w:footer="3" w:gutter="0"/>
          <w:pgNumType w:start="1"/>
          <w:cols w:space="720"/>
          <w:noEndnote/>
          <w:titlePg/>
          <w:rtlGutter w:val="0"/>
          <w:docGrid w:linePitch="360"/>
        </w:sectPr>
      </w:pPr>
    </w:p>
    <w:p>
      <w:pPr>
        <w:pStyle w:val="Style9"/>
        <w:keepNext/>
        <w:keepLines/>
        <w:widowControl w:val="0"/>
        <w:shd w:val="clear" w:color="auto" w:fill="auto"/>
        <w:bidi w:val="0"/>
        <w:spacing w:before="0" w:after="0" w:line="240" w:lineRule="auto"/>
        <w:ind w:left="0" w:right="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9"/>
        <w:keepNext/>
        <w:keepLines/>
        <w:widowControl w:val="0"/>
        <w:shd w:val="clear" w:color="auto" w:fill="auto"/>
        <w:bidi w:val="0"/>
        <w:spacing w:before="0" w:after="1840" w:line="240" w:lineRule="auto"/>
        <w:ind w:left="0" w:right="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4"/>
        <w:keepNext w:val="0"/>
        <w:keepLines w:val="0"/>
        <w:widowControl w:val="0"/>
        <w:shd w:val="clear" w:color="auto" w:fill="auto"/>
        <w:bidi w:val="0"/>
        <w:spacing w:before="0" w:after="400" w:line="360" w:lineRule="auto"/>
        <w:ind w:left="5040" w:right="0" w:firstLine="0"/>
        <w:jc w:val="right"/>
      </w:pPr>
      <w:r>
        <w:rPr>
          <w:b/>
          <w:bCs/>
          <w:color w:val="303741"/>
          <w:spacing w:val="0"/>
          <w:w w:val="100"/>
          <w:position w:val="0"/>
          <w:sz w:val="24"/>
          <w:szCs w:val="24"/>
          <w:shd w:val="clear" w:color="auto" w:fill="auto"/>
          <w:lang w:val="en-US" w:eastAsia="en-US" w:bidi="en-US"/>
        </w:rPr>
        <w:t>Biroul Permanent al Parlamentului Republicii Moldova</w:t>
      </w:r>
    </w:p>
    <w:p>
      <w:pPr>
        <w:pStyle w:val="Style4"/>
        <w:keepNext w:val="0"/>
        <w:keepLines w:val="0"/>
        <w:widowControl w:val="0"/>
        <w:shd w:val="clear" w:color="auto" w:fill="auto"/>
        <w:bidi w:val="0"/>
        <w:spacing w:before="0" w:after="1220" w:line="360" w:lineRule="auto"/>
        <w:ind w:left="0" w:right="0" w:firstLine="860"/>
        <w:jc w:val="both"/>
      </w:pPr>
      <w:r>
        <w:rPr>
          <w:color w:val="303741"/>
          <w:spacing w:val="0"/>
          <w:w w:val="100"/>
          <w:position w:val="0"/>
          <w:sz w:val="24"/>
          <w:szCs w:val="24"/>
          <w:shd w:val="clear" w:color="auto" w:fill="auto"/>
          <w:lang w:val="en-US" w:eastAsia="en-US" w:bidi="en-US"/>
        </w:rPr>
        <w:t>In temeiul art. 73 al Constitutiei Republicii Moldova si art. 47 din Regulamentul Parlamentului se mainteaza spre examinare Parlamentului, cu titlu de initiativa legislative, proiectul de hotarare a Parlamentului Republicii Moldova cu privire la constituirea Comisiei de ancheta privind modul de exploatare a substantelor minerale utile.</w:t>
      </w:r>
    </w:p>
    <w:p>
      <w:pPr>
        <w:pStyle w:val="Style4"/>
        <w:keepNext w:val="0"/>
        <w:keepLines w:val="0"/>
        <w:widowControl w:val="0"/>
        <w:shd w:val="clear" w:color="auto" w:fill="auto"/>
        <w:bidi w:val="0"/>
        <w:spacing w:before="0" w:after="120" w:line="240" w:lineRule="auto"/>
        <w:ind w:left="0" w:right="0" w:firstLine="860"/>
        <w:jc w:val="both"/>
      </w:pPr>
      <w:r>
        <w:rPr>
          <w:b/>
          <w:bCs/>
          <w:color w:val="303741"/>
          <w:spacing w:val="0"/>
          <w:w w:val="100"/>
          <w:position w:val="0"/>
          <w:sz w:val="24"/>
          <w:szCs w:val="24"/>
          <w:shd w:val="clear" w:color="auto" w:fill="auto"/>
          <w:lang w:val="en-US" w:eastAsia="en-US" w:bidi="en-US"/>
        </w:rPr>
        <w:t xml:space="preserve">Anexa: </w:t>
      </w:r>
      <w:r>
        <w:rPr>
          <w:color w:val="303741"/>
          <w:spacing w:val="0"/>
          <w:w w:val="100"/>
          <w:position w:val="0"/>
          <w:sz w:val="24"/>
          <w:szCs w:val="24"/>
          <w:shd w:val="clear" w:color="auto" w:fill="auto"/>
          <w:lang w:val="en-US" w:eastAsia="en-US" w:bidi="en-US"/>
        </w:rPr>
        <w:t>1. Proiectul de hotarare;</w:t>
      </w:r>
    </w:p>
    <w:p>
      <w:pPr>
        <w:pStyle w:val="Style4"/>
        <w:keepNext w:val="0"/>
        <w:keepLines w:val="0"/>
        <w:widowControl w:val="0"/>
        <w:shd w:val="clear" w:color="auto" w:fill="auto"/>
        <w:bidi w:val="0"/>
        <w:spacing w:before="0" w:after="940" w:line="240" w:lineRule="auto"/>
        <w:ind w:left="0" w:right="0" w:firstLine="0"/>
        <w:jc w:val="center"/>
      </w:pPr>
      <w:r>
        <w:rPr>
          <w:color w:val="303741"/>
          <w:spacing w:val="0"/>
          <w:w w:val="100"/>
          <w:position w:val="0"/>
          <w:sz w:val="24"/>
          <w:szCs w:val="24"/>
          <w:shd w:val="clear" w:color="auto" w:fill="auto"/>
          <w:lang w:val="en-US" w:eastAsia="en-US" w:bidi="en-US"/>
        </w:rPr>
        <w:t>2. Nota informativa la proiectul de hotarare.</w:t>
      </w:r>
    </w:p>
    <w:p>
      <w:pPr>
        <w:pStyle w:val="Style4"/>
        <w:keepNext w:val="0"/>
        <w:keepLines w:val="0"/>
        <w:widowControl w:val="0"/>
        <w:shd w:val="clear" w:color="auto" w:fill="auto"/>
        <w:bidi w:val="0"/>
        <w:spacing w:before="0" w:after="4880" w:line="240" w:lineRule="auto"/>
        <w:ind w:left="0" w:right="0" w:firstLine="0"/>
        <w:jc w:val="right"/>
      </w:pPr>
      <w:r>
        <w:rPr>
          <w:b/>
          <w:bCs/>
          <w:color w:val="303741"/>
          <w:spacing w:val="0"/>
          <w:w w:val="100"/>
          <w:position w:val="0"/>
          <w:sz w:val="24"/>
          <w:szCs w:val="24"/>
          <w:shd w:val="clear" w:color="auto" w:fill="auto"/>
          <w:lang w:val="en-US" w:eastAsia="en-US" w:bidi="en-US"/>
        </w:rPr>
        <w:t>Deputati in Parlament:</w:t>
      </w:r>
    </w:p>
    <w:p>
      <w:pPr>
        <w:pStyle w:val="Style7"/>
        <w:keepNext w:val="0"/>
        <w:keepLines w:val="0"/>
        <w:widowControl w:val="0"/>
        <w:shd w:val="clear" w:color="auto" w:fill="auto"/>
        <w:bidi w:val="0"/>
        <w:spacing w:before="0" w:after="0" w:line="240" w:lineRule="auto"/>
        <w:ind w:left="0" w:right="0" w:firstLine="14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7" name="Shape 7"/>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3" type="#_x0000_t202" style="position:absolute;margin-left:454.5pt;margin-top:1.pt;width:84.25pt;height:24.25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7"/>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en-US" w:eastAsia="en-US" w:bidi="en-US"/>
        </w:rPr>
        <w:t>Bd. §tefan cel Mare §i Sfant 105</w:t>
      </w:r>
    </w:p>
    <w:p>
      <w:pPr>
        <w:pStyle w:val="Style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en-US" w:eastAsia="en-US" w:bidi="en-US"/>
        </w:rPr>
        <w:t>H O T A R I R E</w:t>
      </w:r>
    </w:p>
    <w:p>
      <w:pPr>
        <w:pStyle w:val="Style4"/>
        <w:keepNext w:val="0"/>
        <w:keepLines w:val="0"/>
        <w:widowControl w:val="0"/>
        <w:shd w:val="clear" w:color="auto" w:fill="auto"/>
        <w:bidi w:val="0"/>
        <w:spacing w:before="0" w:after="860" w:line="233" w:lineRule="auto"/>
        <w:ind w:left="0" w:right="0" w:firstLine="0"/>
        <w:jc w:val="center"/>
      </w:pPr>
      <w:r>
        <w:rPr>
          <w:b/>
          <w:bCs/>
          <w:color w:val="000000"/>
          <w:spacing w:val="0"/>
          <w:w w:val="100"/>
          <w:position w:val="0"/>
          <w:sz w:val="24"/>
          <w:szCs w:val="24"/>
          <w:shd w:val="clear" w:color="auto" w:fill="auto"/>
          <w:lang w:val="en-US" w:eastAsia="en-US" w:bidi="en-US"/>
        </w:rPr>
        <w:t>cu privire la constituirea Comisiei de ancheta</w:t>
        <w:br/>
        <w:t>privind modul de exploatare a substantelor minerale utile</w:t>
      </w:r>
    </w:p>
    <w:p>
      <w:pPr>
        <w:pStyle w:val="Style4"/>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en-US" w:eastAsia="en-US" w:bidi="en-US"/>
        </w:rPr>
        <w:t>In temeiul art. 34 din Regulamentul Parlamentului, Parlamentul adopta prezenta hotarare.</w:t>
      </w:r>
    </w:p>
    <w:p>
      <w:pPr>
        <w:pStyle w:val="Style4"/>
        <w:keepNext w:val="0"/>
        <w:keepLines w:val="0"/>
        <w:widowControl w:val="0"/>
        <w:shd w:val="clear" w:color="auto" w:fill="auto"/>
        <w:bidi w:val="0"/>
        <w:spacing w:before="0" w:after="260" w:line="240" w:lineRule="auto"/>
        <w:ind w:left="0" w:right="0" w:firstLine="720"/>
        <w:jc w:val="both"/>
      </w:pPr>
      <w:r>
        <w:rPr>
          <w:b/>
          <w:bCs/>
          <w:color w:val="000000"/>
          <w:spacing w:val="0"/>
          <w:w w:val="100"/>
          <w:position w:val="0"/>
          <w:sz w:val="24"/>
          <w:szCs w:val="24"/>
          <w:shd w:val="clear" w:color="auto" w:fill="auto"/>
          <w:lang w:val="en-US" w:eastAsia="en-US" w:bidi="en-US"/>
        </w:rPr>
        <w:t xml:space="preserve">Art. I. </w:t>
      </w:r>
      <w:r>
        <w:rPr>
          <w:color w:val="000000"/>
          <w:spacing w:val="0"/>
          <w:w w:val="100"/>
          <w:position w:val="0"/>
          <w:sz w:val="24"/>
          <w:szCs w:val="24"/>
          <w:shd w:val="clear" w:color="auto" w:fill="auto"/>
          <w:lang w:val="en-US" w:eastAsia="en-US" w:bidi="en-US"/>
        </w:rPr>
        <w:t>- Se constituie Comisia de ancheta privind modul de exploatare a substantelor minerale utile, in urmatoarea componenta:</w:t>
      </w:r>
    </w:p>
    <w:p>
      <w:pPr>
        <w:pStyle w:val="Style4"/>
        <w:keepNext w:val="0"/>
        <w:keepLines w:val="0"/>
        <w:widowControl w:val="0"/>
        <w:shd w:val="clear" w:color="auto" w:fill="auto"/>
        <w:bidi w:val="0"/>
        <w:spacing w:before="0" w:after="540" w:line="240" w:lineRule="auto"/>
        <w:ind w:left="0" w:right="0" w:firstLine="0"/>
        <w:jc w:val="both"/>
      </w:pPr>
      <w:r>
        <w:rPr>
          <w:color w:val="000000"/>
          <w:spacing w:val="0"/>
          <w:w w:val="100"/>
          <w:position w:val="0"/>
          <w:sz w:val="24"/>
          <w:szCs w:val="24"/>
          <w:shd w:val="clear" w:color="auto" w:fill="auto"/>
          <w:lang w:val="en-US" w:eastAsia="en-US" w:bidi="en-US"/>
        </w:rPr>
        <w:t>Presedinte</w:t>
      </w:r>
    </w:p>
    <w:p>
      <w:pPr>
        <w:pStyle w:val="Style4"/>
        <w:keepNext w:val="0"/>
        <w:keepLines w:val="0"/>
        <w:widowControl w:val="0"/>
        <w:shd w:val="clear" w:color="auto" w:fill="auto"/>
        <w:bidi w:val="0"/>
        <w:spacing w:before="0" w:after="540" w:line="240" w:lineRule="auto"/>
        <w:ind w:left="0" w:right="0" w:firstLine="0"/>
        <w:jc w:val="both"/>
      </w:pPr>
      <w:r>
        <w:rPr>
          <w:color w:val="000000"/>
          <w:spacing w:val="0"/>
          <w:w w:val="100"/>
          <w:position w:val="0"/>
          <w:sz w:val="24"/>
          <w:szCs w:val="24"/>
          <w:shd w:val="clear" w:color="auto" w:fill="auto"/>
          <w:lang w:val="en-US" w:eastAsia="en-US" w:bidi="en-US"/>
        </w:rPr>
        <w:t>Vicepresedinte</w:t>
      </w:r>
    </w:p>
    <w:p>
      <w:pPr>
        <w:pStyle w:val="Style4"/>
        <w:keepNext w:val="0"/>
        <w:keepLines w:val="0"/>
        <w:widowControl w:val="0"/>
        <w:shd w:val="clear" w:color="auto" w:fill="auto"/>
        <w:bidi w:val="0"/>
        <w:spacing w:before="0" w:after="540" w:line="240" w:lineRule="auto"/>
        <w:ind w:left="0" w:right="0" w:firstLine="0"/>
        <w:jc w:val="both"/>
      </w:pPr>
      <w:r>
        <w:rPr>
          <w:color w:val="000000"/>
          <w:spacing w:val="0"/>
          <w:w w:val="100"/>
          <w:position w:val="0"/>
          <w:sz w:val="24"/>
          <w:szCs w:val="24"/>
          <w:shd w:val="clear" w:color="auto" w:fill="auto"/>
          <w:lang w:val="en-US" w:eastAsia="en-US" w:bidi="en-US"/>
        </w:rPr>
        <w:t>Secretar</w:t>
      </w:r>
    </w:p>
    <w:p>
      <w:pPr>
        <w:pStyle w:val="Style4"/>
        <w:keepNext w:val="0"/>
        <w:keepLines w:val="0"/>
        <w:widowControl w:val="0"/>
        <w:shd w:val="clear" w:color="auto" w:fill="auto"/>
        <w:bidi w:val="0"/>
        <w:spacing w:before="0" w:after="680" w:line="240" w:lineRule="auto"/>
        <w:ind w:left="0" w:right="0" w:firstLine="0"/>
        <w:jc w:val="both"/>
      </w:pPr>
      <w:r>
        <w:rPr>
          <w:color w:val="000000"/>
          <w:spacing w:val="0"/>
          <w:w w:val="100"/>
          <w:position w:val="0"/>
          <w:sz w:val="24"/>
          <w:szCs w:val="24"/>
          <w:shd w:val="clear" w:color="auto" w:fill="auto"/>
          <w:lang w:val="en-US" w:eastAsia="en-US" w:bidi="en-US"/>
        </w:rPr>
        <w:t>Membri</w:t>
      </w:r>
    </w:p>
    <w:p>
      <w:pPr>
        <w:pStyle w:val="Style4"/>
        <w:keepNext w:val="0"/>
        <w:keepLines w:val="0"/>
        <w:widowControl w:val="0"/>
        <w:shd w:val="clear" w:color="auto" w:fill="auto"/>
        <w:bidi w:val="0"/>
        <w:spacing w:before="0" w:after="400" w:line="360" w:lineRule="auto"/>
        <w:ind w:left="0" w:right="0" w:firstLine="720"/>
        <w:jc w:val="both"/>
      </w:pPr>
      <w:r>
        <w:rPr>
          <w:b/>
          <w:bCs/>
          <w:color w:val="000000"/>
          <w:spacing w:val="0"/>
          <w:w w:val="100"/>
          <w:position w:val="0"/>
          <w:sz w:val="24"/>
          <w:szCs w:val="24"/>
          <w:shd w:val="clear" w:color="auto" w:fill="auto"/>
          <w:lang w:val="en-US" w:eastAsia="en-US" w:bidi="en-US"/>
        </w:rPr>
        <w:t xml:space="preserve">Art. II. </w:t>
      </w:r>
      <w:r>
        <w:rPr>
          <w:color w:val="000000"/>
          <w:spacing w:val="0"/>
          <w:w w:val="100"/>
          <w:position w:val="0"/>
          <w:sz w:val="24"/>
          <w:szCs w:val="24"/>
          <w:shd w:val="clear" w:color="auto" w:fill="auto"/>
          <w:lang w:val="en-US" w:eastAsia="en-US" w:bidi="en-US"/>
        </w:rPr>
        <w:t>- Comisia de ancheta va antrena in activitatea sa toate autoritatile statului responsabile de domeniu, va audia partile si persoanele implicate si va prezenta Parlamentului, in termen de 90 de zile, raportul privind Raportul cu privire la rezultatele si concluziile anchetei.</w:t>
      </w:r>
    </w:p>
    <w:p>
      <w:pPr>
        <w:pStyle w:val="Style4"/>
        <w:keepNext w:val="0"/>
        <w:keepLines w:val="0"/>
        <w:widowControl w:val="0"/>
        <w:shd w:val="clear" w:color="auto" w:fill="auto"/>
        <w:bidi w:val="0"/>
        <w:spacing w:before="0" w:after="940" w:line="240" w:lineRule="auto"/>
        <w:ind w:left="0" w:right="0" w:firstLine="720"/>
        <w:jc w:val="both"/>
      </w:pPr>
      <w:r>
        <w:rPr>
          <w:b/>
          <w:bCs/>
          <w:color w:val="000000"/>
          <w:spacing w:val="0"/>
          <w:w w:val="100"/>
          <w:position w:val="0"/>
          <w:sz w:val="24"/>
          <w:szCs w:val="24"/>
          <w:shd w:val="clear" w:color="auto" w:fill="auto"/>
          <w:lang w:val="en-US" w:eastAsia="en-US" w:bidi="en-US"/>
        </w:rPr>
        <w:t xml:space="preserve">Art. III. </w:t>
      </w:r>
      <w:r>
        <w:rPr>
          <w:color w:val="000000"/>
          <w:spacing w:val="0"/>
          <w:w w:val="100"/>
          <w:position w:val="0"/>
          <w:sz w:val="24"/>
          <w:szCs w:val="24"/>
          <w:shd w:val="clear" w:color="auto" w:fill="auto"/>
          <w:lang w:val="en-US" w:eastAsia="en-US" w:bidi="en-US"/>
        </w:rPr>
        <w:t>- Prezenta hotarare intra in vigoare la data adoptarii.</w:t>
      </w:r>
    </w:p>
    <w:p>
      <w:pPr>
        <w:pStyle w:val="Style4"/>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657" w:left="1580" w:right="888" w:bottom="476" w:header="0" w:footer="3" w:gutter="0"/>
          <w:cols w:space="720"/>
          <w:noEndnote/>
          <w:rtlGutter w:val="0"/>
          <w:docGrid w:linePitch="360"/>
        </w:sectPr>
      </w:pPr>
      <w:r>
        <w:rPr>
          <w:b/>
          <w:bCs/>
          <w:color w:val="000000"/>
          <w:spacing w:val="0"/>
          <w:w w:val="100"/>
          <w:position w:val="0"/>
          <w:sz w:val="24"/>
          <w:szCs w:val="24"/>
          <w:shd w:val="clear" w:color="auto" w:fill="auto"/>
          <w:lang w:val="en-US" w:eastAsia="en-US" w:bidi="en-US"/>
        </w:rPr>
        <w:t>PRESEDINTELE PARLAMENTULUI</w:t>
      </w:r>
    </w:p>
    <w:p>
      <w:pPr>
        <w:pStyle w:val="Style4"/>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en-US" w:eastAsia="en-US" w:bidi="en-US"/>
        </w:rPr>
        <w:t>Nota Informativa</w:t>
      </w:r>
    </w:p>
    <w:p>
      <w:pPr>
        <w:pStyle w:val="Style4"/>
        <w:keepNext w:val="0"/>
        <w:keepLines w:val="0"/>
        <w:widowControl w:val="0"/>
        <w:shd w:val="clear" w:color="auto" w:fill="auto"/>
        <w:bidi w:val="0"/>
        <w:spacing w:before="0" w:after="400"/>
        <w:ind w:left="1120" w:right="0" w:hanging="380"/>
        <w:jc w:val="both"/>
      </w:pPr>
      <w:r>
        <w:rPr>
          <w:b/>
          <w:bCs/>
          <w:color w:val="000000"/>
          <w:spacing w:val="0"/>
          <w:w w:val="100"/>
          <w:position w:val="0"/>
          <w:sz w:val="24"/>
          <w:szCs w:val="24"/>
          <w:shd w:val="clear" w:color="auto" w:fill="auto"/>
          <w:lang w:val="en-US" w:eastAsia="en-US" w:bidi="en-US"/>
        </w:rPr>
        <w:t>la proiectul de hotarare cu privire la constituirea Comisiei de ancheta privind modul de exploatare a substantelor minerale utile</w:t>
      </w:r>
    </w:p>
    <w:p>
      <w:pPr>
        <w:pStyle w:val="Style4"/>
        <w:keepNext w:val="0"/>
        <w:keepLines w:val="0"/>
        <w:widowControl w:val="0"/>
        <w:shd w:val="clear" w:color="auto" w:fill="auto"/>
        <w:bidi w:val="0"/>
        <w:spacing w:before="0"/>
        <w:ind w:left="0" w:right="0" w:firstLine="740"/>
        <w:jc w:val="both"/>
      </w:pPr>
      <w:r>
        <w:rPr>
          <w:color w:val="000000"/>
          <w:spacing w:val="0"/>
          <w:w w:val="100"/>
          <w:position w:val="0"/>
          <w:sz w:val="24"/>
          <w:szCs w:val="24"/>
          <w:shd w:val="clear" w:color="auto" w:fill="auto"/>
          <w:lang w:val="en-US" w:eastAsia="en-US" w:bidi="en-US"/>
        </w:rPr>
        <w:t>Exploatarea zacamintelor minerale utile prin diferite metode (in subteran, prin galerii orizontale sau la zi prin cariere), inevitabil provoaca un impact ecologic semnificativ. In consecinta, se distrug soluri fertile, se impurifica zacaminte, se polueaza ape subterane, deseori provocandu-se surpari sau alunecari de teren. In acelasi timp, practic in toate localitatile rurale, pentru necesitatile locale se extrag in cantitati reduse argila, nisip, prundis, piatra de constructie etc., fara evidenta si autorizarea respectiva. In majoritatea cazurilor, asemenea activitati se realizeaza fara respectarea tehnologiilor miniere de exploatare, cu incalcarea normelor de protectie a mediului in general, §i a unor monumente ale naturii, in special.</w:t>
      </w:r>
    </w:p>
    <w:p>
      <w:pPr>
        <w:pStyle w:val="Style4"/>
        <w:keepNext w:val="0"/>
        <w:keepLines w:val="0"/>
        <w:widowControl w:val="0"/>
        <w:shd w:val="clear" w:color="auto" w:fill="auto"/>
        <w:bidi w:val="0"/>
        <w:spacing w:before="0"/>
        <w:ind w:left="0" w:right="0" w:firstLine="740"/>
        <w:jc w:val="both"/>
      </w:pPr>
      <w:r>
        <w:rPr>
          <w:color w:val="000000"/>
          <w:spacing w:val="0"/>
          <w:w w:val="100"/>
          <w:position w:val="0"/>
          <w:sz w:val="24"/>
          <w:szCs w:val="24"/>
          <w:shd w:val="clear" w:color="auto" w:fill="auto"/>
          <w:lang w:val="en-US" w:eastAsia="en-US" w:bidi="en-US"/>
        </w:rPr>
        <w:t>Conform datelor furnizate de Agentia pentru Geologie si Resurse Minerale, la balanta de stat a rezervelor de substante minerale utile conform situatiei la data de 01.01.2020 sunt 17 tipuri de zacaminte de substante minerale utile nemetalifere si 2 zacaminte de petrol (Valeni) si gaz combustibil (Victorovca). In total la balanta de stat se afla 427 zacaminte de substante minerale utile nemetalifere, care conform gradului de valorificare industriala sunt distribuite in felul urmator: 181 - exploatate; 36 - pregatite pentru valorificare; 262 - explorate de rezerva; 23 - nu se prevad pentru valorificare</w:t>
      </w:r>
      <w:r>
        <w:rPr>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In perioada ultimilor 10 ani la patru zacaminte au fost epuizate rezervele de substante minerale utile (Cruglic, Isacova, Telita-3, Solonceni). Ce tine de datele privind carierele unde s-au efectuat lucrari de recultivare biologica a terenurilor aferente, atat Agentia pentru Geologie si Resurse Minerale, cat si Inspectoratul pentru Protectia Mediului au comunicat ca nu dispun de informatii privind intreprinderile miniere care au efectuat sau nu recultivarea terenurilor afectate de lucrari miniere.</w:t>
      </w:r>
    </w:p>
    <w:p>
      <w:pPr>
        <w:pStyle w:val="Style4"/>
        <w:keepNext w:val="0"/>
        <w:keepLines w:val="0"/>
        <w:widowControl w:val="0"/>
        <w:shd w:val="clear" w:color="auto" w:fill="auto"/>
        <w:bidi w:val="0"/>
        <w:spacing w:before="0"/>
        <w:ind w:left="0" w:right="0" w:firstLine="740"/>
        <w:jc w:val="both"/>
      </w:pPr>
      <w:r>
        <w:rPr>
          <w:color w:val="000000"/>
          <w:spacing w:val="0"/>
          <w:w w:val="100"/>
          <w:position w:val="0"/>
          <w:sz w:val="24"/>
          <w:szCs w:val="24"/>
          <w:shd w:val="clear" w:color="auto" w:fill="auto"/>
          <w:lang w:val="en-US" w:eastAsia="en-US" w:bidi="en-US"/>
        </w:rPr>
        <w:t>La subiectul ce tine modul de exploatare a substantelor minerale utile, in adresa organelor de lucru ale Parlamentului Republicii Moldova, au parvenit in repetate randuri sesizari in care se invoca ca, prin activitati presupus ilegale, de catre anumiti agenti economici se exploateaza resurse minerale utile, se folosesc irational resurse naturale, precum si se efectueaza extragerea calcarului pe terenuri agricole fara schimbarea destinatiei acestora si fara compensarea pierderilor pentru scoaterea acestora din circuitul agricol, cu incalcarea limitelor perimetrului minier, in lipsa proiectelor tehnice, schemelor tehnologice, planurilor de dezvoltare a lucrarilor miniere si proiectelor de recultivare a terenurilor.</w:t>
      </w:r>
    </w:p>
    <w:p>
      <w:pPr>
        <w:pStyle w:val="Style4"/>
        <w:keepNext w:val="0"/>
        <w:keepLines w:val="0"/>
        <w:widowControl w:val="0"/>
        <w:shd w:val="clear" w:color="auto" w:fill="auto"/>
        <w:bidi w:val="0"/>
        <w:spacing w:before="0"/>
        <w:ind w:left="0" w:right="0" w:firstLine="740"/>
        <w:jc w:val="both"/>
      </w:pPr>
      <w:r>
        <w:rPr>
          <w:color w:val="000000"/>
          <w:spacing w:val="0"/>
          <w:w w:val="100"/>
          <w:position w:val="0"/>
          <w:sz w:val="24"/>
          <w:szCs w:val="24"/>
          <w:shd w:val="clear" w:color="auto" w:fill="auto"/>
          <w:lang w:val="en-US" w:eastAsia="en-US" w:bidi="en-US"/>
        </w:rPr>
        <w:t>Urmare a acestor sesizari, Biroul Permanent al Parlamentului Republicii Moldova a delegat Comisia parlamentara de profil sa examineze minutios aspectele ce tin de respectarea legislatiei de mediu si a actelor normative ce tin de folosirea si exploatarea resurselor minerale utile.</w:t>
      </w:r>
    </w:p>
    <w:p>
      <w:pPr>
        <w:pStyle w:val="Style4"/>
        <w:keepNext w:val="0"/>
        <w:keepLines w:val="0"/>
        <w:widowControl w:val="0"/>
        <w:shd w:val="clear" w:color="auto" w:fill="auto"/>
        <w:bidi w:val="0"/>
        <w:spacing w:before="0"/>
        <w:ind w:left="0" w:right="0" w:firstLine="740"/>
        <w:jc w:val="both"/>
      </w:pPr>
      <w:r>
        <w:rPr>
          <w:color w:val="000000"/>
          <w:spacing w:val="0"/>
          <w:w w:val="100"/>
          <w:position w:val="0"/>
          <w:sz w:val="24"/>
          <w:szCs w:val="24"/>
          <w:shd w:val="clear" w:color="auto" w:fill="auto"/>
          <w:lang w:val="en-US" w:eastAsia="en-US" w:bidi="en-US"/>
        </w:rPr>
        <w:t xml:space="preserve">Astfel, Comisia mediu si dezvoltare regionala a efectuat o vizita de lucru la una din carierele vizate. La fata locului, s-a constatat ca activitatile de exploatare a zacamantului de calcar la acea cariera continua, ignorandu-se decizia Inspectoratului pentru Protectia </w:t>
      </w:r>
      <w:r>
        <w:rPr>
          <w:color w:val="000000"/>
          <w:spacing w:val="0"/>
          <w:w w:val="100"/>
          <w:position w:val="0"/>
          <w:sz w:val="24"/>
          <w:szCs w:val="24"/>
          <w:shd w:val="clear" w:color="auto" w:fill="auto"/>
          <w:lang w:val="en-US" w:eastAsia="en-US" w:bidi="en-US"/>
        </w:rPr>
        <w:t>Mediului de aplicare a masurii restrictive sub forma neadmiterii folosirii neautorizate/nerationale a resurselor naturale si stoparea lucrarilor de extragere la zacamantul mentionat, pana la finalizarea masurilor de control, si obtinerea actelor permisive eliberate de catre Agentia de Mediu.</w:t>
      </w:r>
    </w:p>
    <w:p>
      <w:pPr>
        <w:pStyle w:val="Style4"/>
        <w:keepNext w:val="0"/>
        <w:keepLines w:val="0"/>
        <w:widowControl w:val="0"/>
        <w:shd w:val="clear" w:color="auto" w:fill="auto"/>
        <w:bidi w:val="0"/>
        <w:spacing w:before="0"/>
        <w:ind w:left="0" w:right="0" w:firstLine="720"/>
        <w:jc w:val="both"/>
      </w:pPr>
      <w:r>
        <w:rPr>
          <w:color w:val="000000"/>
          <w:spacing w:val="0"/>
          <w:w w:val="100"/>
          <w:position w:val="0"/>
          <w:sz w:val="24"/>
          <w:szCs w:val="24"/>
          <w:shd w:val="clear" w:color="auto" w:fill="auto"/>
          <w:lang w:val="en-US" w:eastAsia="en-US" w:bidi="en-US"/>
        </w:rPr>
        <w:t>Totodata, potrivit informatiei oferite de Inspectoratul pentru Protectia Mediului in anul 2019 Directia control geologic si resurse funciare a supus controlului planificat 22 zacaminte de substante minerale, au fost exercitate si 12 controale inopinate si 12 inspectari a agentilor economici care au efectuat extrageri ilegale si nu detin drepturi de exploatare a subsolului. In procesul efectuarii actiunilor de control, au fost inregistrate un sir de incalcari, cum ar fi nerespectarea:</w:t>
      </w:r>
    </w:p>
    <w:p>
      <w:pPr>
        <w:pStyle w:val="Style4"/>
        <w:keepNext w:val="0"/>
        <w:keepLines w:val="0"/>
        <w:widowControl w:val="0"/>
        <w:numPr>
          <w:ilvl w:val="0"/>
          <w:numId w:val="1"/>
        </w:numPr>
        <w:shd w:val="clear" w:color="auto" w:fill="auto"/>
        <w:tabs>
          <w:tab w:pos="811" w:val="left"/>
        </w:tabs>
        <w:bidi w:val="0"/>
        <w:spacing w:before="0" w:after="0"/>
        <w:ind w:left="0" w:right="0" w:firstLine="580"/>
        <w:jc w:val="both"/>
      </w:pPr>
      <w:r>
        <w:rPr>
          <w:color w:val="000000"/>
          <w:spacing w:val="0"/>
          <w:w w:val="100"/>
          <w:position w:val="0"/>
          <w:sz w:val="24"/>
          <w:szCs w:val="24"/>
          <w:shd w:val="clear" w:color="auto" w:fill="auto"/>
          <w:lang w:val="en-US" w:eastAsia="en-US" w:bidi="en-US"/>
        </w:rPr>
        <w:t>cerintelor de baza la folosirea rationala si protectia subsolului;</w:t>
      </w:r>
    </w:p>
    <w:p>
      <w:pPr>
        <w:pStyle w:val="Style4"/>
        <w:keepNext w:val="0"/>
        <w:keepLines w:val="0"/>
        <w:widowControl w:val="0"/>
        <w:numPr>
          <w:ilvl w:val="0"/>
          <w:numId w:val="1"/>
        </w:numPr>
        <w:shd w:val="clear" w:color="auto" w:fill="auto"/>
        <w:tabs>
          <w:tab w:pos="811" w:val="left"/>
        </w:tabs>
        <w:bidi w:val="0"/>
        <w:spacing w:before="0" w:after="0"/>
        <w:ind w:left="0" w:right="0" w:firstLine="580"/>
        <w:jc w:val="both"/>
      </w:pPr>
      <w:r>
        <w:rPr>
          <w:color w:val="000000"/>
          <w:spacing w:val="0"/>
          <w:w w:val="100"/>
          <w:position w:val="0"/>
          <w:sz w:val="24"/>
          <w:szCs w:val="24"/>
          <w:shd w:val="clear" w:color="auto" w:fill="auto"/>
          <w:lang w:val="en-US" w:eastAsia="en-US" w:bidi="en-US"/>
        </w:rPr>
        <w:t>prevederilor contractului de atribuire in folosinta a sectoarelor de subsol;</w:t>
      </w:r>
    </w:p>
    <w:p>
      <w:pPr>
        <w:pStyle w:val="Style4"/>
        <w:keepNext w:val="0"/>
        <w:keepLines w:val="0"/>
        <w:widowControl w:val="0"/>
        <w:numPr>
          <w:ilvl w:val="0"/>
          <w:numId w:val="1"/>
        </w:numPr>
        <w:shd w:val="clear" w:color="auto" w:fill="auto"/>
        <w:tabs>
          <w:tab w:pos="811" w:val="left"/>
        </w:tabs>
        <w:bidi w:val="0"/>
        <w:spacing w:before="0" w:after="0"/>
        <w:ind w:left="720" w:right="0" w:hanging="140"/>
        <w:jc w:val="both"/>
      </w:pPr>
      <w:r>
        <w:rPr>
          <w:color w:val="000000"/>
          <w:spacing w:val="0"/>
          <w:w w:val="100"/>
          <w:position w:val="0"/>
          <w:sz w:val="24"/>
          <w:szCs w:val="24"/>
          <w:shd w:val="clear" w:color="auto" w:fill="auto"/>
          <w:lang w:val="en-US" w:eastAsia="en-US" w:bidi="en-US"/>
        </w:rPr>
        <w:t>cerintelor actelor normative care reglementeaza conditiile de folosire si protectie a subsolului, precum si a cladirilor si constructiilor de impactul daunator al lucrarilor legate de folosirea subsolului, creand situatii periculoase pentru viata si sanatatea populatiei si mediul inconjurator;</w:t>
      </w:r>
    </w:p>
    <w:p>
      <w:pPr>
        <w:pStyle w:val="Style4"/>
        <w:keepNext w:val="0"/>
        <w:keepLines w:val="0"/>
        <w:widowControl w:val="0"/>
        <w:numPr>
          <w:ilvl w:val="0"/>
          <w:numId w:val="1"/>
        </w:numPr>
        <w:shd w:val="clear" w:color="auto" w:fill="auto"/>
        <w:tabs>
          <w:tab w:pos="811" w:val="left"/>
        </w:tabs>
        <w:bidi w:val="0"/>
        <w:spacing w:before="0" w:after="0"/>
        <w:ind w:left="0" w:right="0" w:firstLine="580"/>
        <w:jc w:val="both"/>
      </w:pPr>
      <w:r>
        <w:rPr>
          <w:color w:val="000000"/>
          <w:spacing w:val="0"/>
          <w:w w:val="100"/>
          <w:position w:val="0"/>
          <w:sz w:val="24"/>
          <w:szCs w:val="24"/>
          <w:shd w:val="clear" w:color="auto" w:fill="auto"/>
          <w:lang w:val="en-US" w:eastAsia="en-US" w:bidi="en-US"/>
        </w:rPr>
        <w:t>cerintelor de baza la folosirea rationala si protectia subsolului;</w:t>
      </w:r>
    </w:p>
    <w:p>
      <w:pPr>
        <w:pStyle w:val="Style4"/>
        <w:keepNext w:val="0"/>
        <w:keepLines w:val="0"/>
        <w:widowControl w:val="0"/>
        <w:numPr>
          <w:ilvl w:val="0"/>
          <w:numId w:val="1"/>
        </w:numPr>
        <w:shd w:val="clear" w:color="auto" w:fill="auto"/>
        <w:tabs>
          <w:tab w:pos="811" w:val="left"/>
        </w:tabs>
        <w:bidi w:val="0"/>
        <w:spacing w:before="0" w:after="0"/>
        <w:ind w:left="0" w:right="0" w:firstLine="580"/>
        <w:jc w:val="both"/>
      </w:pPr>
      <w:r>
        <w:rPr>
          <w:color w:val="000000"/>
          <w:spacing w:val="0"/>
          <w:w w:val="100"/>
          <w:position w:val="0"/>
          <w:sz w:val="24"/>
          <w:szCs w:val="24"/>
          <w:shd w:val="clear" w:color="auto" w:fill="auto"/>
          <w:lang w:val="en-US" w:eastAsia="en-US" w:bidi="en-US"/>
        </w:rPr>
        <w:t>cerintelor proiectului tehnic;</w:t>
      </w:r>
    </w:p>
    <w:p>
      <w:pPr>
        <w:pStyle w:val="Style4"/>
        <w:keepNext w:val="0"/>
        <w:keepLines w:val="0"/>
        <w:widowControl w:val="0"/>
        <w:numPr>
          <w:ilvl w:val="0"/>
          <w:numId w:val="1"/>
        </w:numPr>
        <w:shd w:val="clear" w:color="auto" w:fill="auto"/>
        <w:tabs>
          <w:tab w:pos="811" w:val="left"/>
        </w:tabs>
        <w:bidi w:val="0"/>
        <w:spacing w:before="0" w:after="0"/>
        <w:ind w:left="0" w:right="0" w:firstLine="580"/>
        <w:jc w:val="both"/>
      </w:pPr>
      <w:r>
        <w:rPr>
          <w:color w:val="000000"/>
          <w:spacing w:val="0"/>
          <w:w w:val="100"/>
          <w:position w:val="0"/>
          <w:sz w:val="24"/>
          <w:szCs w:val="24"/>
          <w:shd w:val="clear" w:color="auto" w:fill="auto"/>
          <w:lang w:val="en-US" w:eastAsia="en-US" w:bidi="en-US"/>
        </w:rPr>
        <w:t>procedurii de schimbare a categoriei de destinatie a terenurilor;</w:t>
      </w:r>
    </w:p>
    <w:p>
      <w:pPr>
        <w:pStyle w:val="Style4"/>
        <w:keepNext w:val="0"/>
        <w:keepLines w:val="0"/>
        <w:widowControl w:val="0"/>
        <w:numPr>
          <w:ilvl w:val="0"/>
          <w:numId w:val="1"/>
        </w:numPr>
        <w:shd w:val="clear" w:color="auto" w:fill="auto"/>
        <w:tabs>
          <w:tab w:pos="811" w:val="left"/>
        </w:tabs>
        <w:bidi w:val="0"/>
        <w:spacing w:before="0"/>
        <w:ind w:left="720" w:right="0" w:hanging="140"/>
        <w:jc w:val="both"/>
      </w:pPr>
      <w:r>
        <w:rPr>
          <w:color w:val="000000"/>
          <w:spacing w:val="0"/>
          <w:w w:val="100"/>
          <w:position w:val="0"/>
          <w:sz w:val="24"/>
          <w:szCs w:val="24"/>
          <w:shd w:val="clear" w:color="auto" w:fill="auto"/>
          <w:lang w:val="en-US" w:eastAsia="en-US" w:bidi="en-US"/>
        </w:rPr>
        <w:t>admiterea actiunilor negative asupra terenurilor agricole, asupra padurilor si altor terenuri din afara hotarelor terenurilor atribuite in proprietate.</w:t>
      </w:r>
    </w:p>
    <w:p>
      <w:pPr>
        <w:pStyle w:val="Style4"/>
        <w:keepNext w:val="0"/>
        <w:keepLines w:val="0"/>
        <w:widowControl w:val="0"/>
        <w:shd w:val="clear" w:color="auto" w:fill="auto"/>
        <w:bidi w:val="0"/>
        <w:spacing w:before="0"/>
        <w:ind w:left="0" w:right="0" w:firstLine="720"/>
        <w:jc w:val="both"/>
      </w:pPr>
      <w:r>
        <w:rPr>
          <w:color w:val="000000"/>
          <w:spacing w:val="0"/>
          <w:w w:val="100"/>
          <w:position w:val="0"/>
          <w:sz w:val="24"/>
          <w:szCs w:val="24"/>
          <w:shd w:val="clear" w:color="auto" w:fill="auto"/>
          <w:lang w:val="en-US" w:eastAsia="en-US" w:bidi="en-US"/>
        </w:rPr>
        <w:t>Ca urmare, suma totala a prejudiciului cauzat subsolului calculat constituie 55 817 164 lei iar solului 4 408 249 lei. Dat fiind faptul, ca o parte din ele se afla la examinare in instantele de judecata, suma finala poate diferentia in urma procedurilor de contestare. Totodata, conform datelor contabile prejudiciile achitate sunt in valoare de 1 109 245 lei. In 9 cazuri actiunile ilegale ale agentilor economici cad sub incidenta Codului penal, din care considerente, in conformitate cu cerintele art. 262 al Codului de Procedura Penala, in baza denunturilor, materialele de control au fost expediate in adresa organelor de drept, care la moment sunt examinate sub aspect penal. De asemenea au fost intocmite 17 procese verbale contraventionale cu aplicarea amenzilor in valoare de 100 900 lei, dintre care achitata este suma de 42 950 lei.</w:t>
      </w:r>
    </w:p>
    <w:p>
      <w:pPr>
        <w:pStyle w:val="Style4"/>
        <w:keepNext w:val="0"/>
        <w:keepLines w:val="0"/>
        <w:widowControl w:val="0"/>
        <w:shd w:val="clear" w:color="auto" w:fill="auto"/>
        <w:bidi w:val="0"/>
        <w:spacing w:before="0"/>
        <w:ind w:left="0" w:right="0" w:firstLine="720"/>
        <w:jc w:val="both"/>
      </w:pPr>
      <w:r>
        <w:rPr>
          <w:color w:val="000000"/>
          <w:spacing w:val="0"/>
          <w:w w:val="100"/>
          <w:position w:val="0"/>
          <w:sz w:val="24"/>
          <w:szCs w:val="24"/>
          <w:shd w:val="clear" w:color="auto" w:fill="auto"/>
          <w:lang w:val="en-US" w:eastAsia="en-US" w:bidi="en-US"/>
        </w:rPr>
        <w:t>Din cele expuse mai sus este evident ca, activitatile de extractie a zacamintelor minerale utile se desfasoara cu numeroase abateri de la normele legale pe intreg teritoriul Republicii Moldova. In acest domeniu conturandu-se carente de ordin legislativ care necesita a fi luate in vizor si inlaturate, cum ar fi: incertitudine in stabilirea competentelor sau dublarea competentelor autoritatilor responsabile pe segmentul de monitoring a starii subsolului; dublare de competente la atribuirea sectoarelor de subsol pentru cercetare/exploatare si incheierea contractelor de cercetare/exploatare; controlul de stat ineficient la capitolul respectiv; nereglementarea exhaustiva a drepturilor si obligatiilor in cadrul gestionarii resurselor naturale subterane, ceea ce a determinat lipsa informatiilor ample, credibile si justificate privind starea acestor resurse; etc..</w:t>
      </w:r>
    </w:p>
    <w:p>
      <w:pPr>
        <w:pStyle w:val="Style4"/>
        <w:keepNext w:val="0"/>
        <w:keepLines w:val="0"/>
        <w:widowControl w:val="0"/>
        <w:shd w:val="clear" w:color="auto" w:fill="auto"/>
        <w:bidi w:val="0"/>
        <w:spacing w:before="0"/>
        <w:ind w:left="0" w:right="0" w:firstLine="740"/>
        <w:jc w:val="both"/>
      </w:pPr>
      <w:r>
        <w:rPr>
          <w:color w:val="000000"/>
          <w:spacing w:val="0"/>
          <w:w w:val="100"/>
          <w:position w:val="0"/>
          <w:sz w:val="24"/>
          <w:szCs w:val="24"/>
          <w:shd w:val="clear" w:color="auto" w:fill="auto"/>
          <w:lang w:val="en-US" w:eastAsia="en-US" w:bidi="en-US"/>
        </w:rPr>
        <w:t>Reiesind din aspectele expuse mai sus, precum si constatarile Comisiei parlamentare de profil, cu scopul de a determina carentele cadrului legal existent ce reglementeaza domeniul, precum si de a elucida eventuale devieri de la o buna gestiune a rezervelor de substante minerale utile, acestea constituind o componenta esentiala a patrimoniului public, regimul valorificarii carora determina starea mediului ambiant si dezvoltarea unor ramuri ale economiei nationale, se propune crearea Comisiei de ancheta privind modul de exploatare a substantelor minerale utile. Comisia de ancheta va antrena in activitatea sa toate autoritatile statului responsabile, va audia partile si persoanele implicate si va prezenta Parlamentului, in termen de 90 de zile, Raportul cu privire la rezultatele si concluziile anchetei.</w:t>
      </w:r>
    </w:p>
    <w:p>
      <w:pPr>
        <w:pStyle w:val="Style4"/>
        <w:keepNext w:val="0"/>
        <w:keepLines w:val="0"/>
        <w:widowControl w:val="0"/>
        <w:shd w:val="clear" w:color="auto" w:fill="auto"/>
        <w:bidi w:val="0"/>
        <w:spacing w:before="0" w:after="780"/>
        <w:ind w:left="0" w:right="0" w:firstLine="740"/>
        <w:jc w:val="both"/>
      </w:pPr>
      <w:r>
        <w:rPr>
          <w:color w:val="000000"/>
          <w:spacing w:val="0"/>
          <w:w w:val="100"/>
          <w:position w:val="0"/>
          <w:sz w:val="24"/>
          <w:szCs w:val="24"/>
          <w:shd w:val="clear" w:color="auto" w:fill="auto"/>
          <w:lang w:val="en-US" w:eastAsia="en-US" w:bidi="en-US"/>
        </w:rPr>
        <w:t>Comisa de ancheta va fi compusa din Presedinte, Vicepresedinte, Secretar si membri ai Comisiei, exponenti a fiecarei fractiuni parlamentare, care vor evalua cadrul legal existent ce reglementeaza domeniul si carentele generate de acesta. In contextul celor enuntate, propunem forului legislativ sustinerea proiectului de hotarare pentru crearea Comisiei de ancheta privind modul de exploatare a substantelor minerale utile.</w:t>
      </w:r>
    </w:p>
    <w:p>
      <w:pPr>
        <w:pStyle w:val="Style4"/>
        <w:keepNext w:val="0"/>
        <w:keepLines w:val="0"/>
        <w:widowControl w:val="0"/>
        <w:shd w:val="clear" w:color="auto" w:fill="auto"/>
        <w:bidi w:val="0"/>
        <w:spacing w:before="0" w:after="80"/>
        <w:ind w:left="0" w:right="0" w:firstLine="0"/>
        <w:jc w:val="right"/>
      </w:pPr>
      <w:r>
        <w:rPr>
          <w:b/>
          <w:bCs/>
          <w:color w:val="000000"/>
          <w:spacing w:val="0"/>
          <w:w w:val="100"/>
          <w:position w:val="0"/>
          <w:sz w:val="24"/>
          <w:szCs w:val="24"/>
          <w:shd w:val="clear" w:color="auto" w:fill="auto"/>
          <w:lang w:val="en-US" w:eastAsia="en-US" w:bidi="en-US"/>
        </w:rPr>
        <w:t>Nicolae CIUBUC</w:t>
      </w:r>
    </w:p>
    <w:p>
      <w:pPr>
        <w:pStyle w:val="Style4"/>
        <w:keepNext w:val="0"/>
        <w:keepLines w:val="0"/>
        <w:widowControl w:val="0"/>
        <w:shd w:val="clear" w:color="auto" w:fill="auto"/>
        <w:bidi w:val="0"/>
        <w:spacing w:before="0"/>
        <w:ind w:left="0" w:right="0" w:firstLine="0"/>
        <w:jc w:val="right"/>
      </w:pPr>
      <w:r>
        <w:rPr>
          <w:b/>
          <w:bCs/>
          <w:color w:val="000000"/>
          <w:spacing w:val="0"/>
          <w:w w:val="100"/>
          <w:position w:val="0"/>
          <w:sz w:val="24"/>
          <w:szCs w:val="24"/>
          <w:shd w:val="clear" w:color="auto" w:fill="auto"/>
          <w:lang w:val="en-US" w:eastAsia="en-US" w:bidi="en-US"/>
        </w:rPr>
        <w:t>Deputat in Parlament</w:t>
      </w:r>
    </w:p>
    <w:sectPr>
      <w:headerReference w:type="default" r:id="rId11"/>
      <w:footnotePr>
        <w:pos w:val="pageBottom"/>
        <w:numFmt w:val="decimal"/>
        <w:numRestart w:val="continuous"/>
      </w:footnotePr>
      <w:pgSz w:w="11900" w:h="16840"/>
      <w:pgMar w:top="1116" w:left="1653" w:right="805" w:bottom="1158" w:header="688" w:footer="730"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6525895</wp:posOffset>
              </wp:positionH>
              <wp:positionV relativeFrom="page">
                <wp:posOffset>753110</wp:posOffset>
              </wp:positionV>
              <wp:extent cx="445135" cy="125095"/>
              <wp:wrapNone/>
              <wp:docPr id="5" name="Shape 5"/>
              <a:graphic xmlns:a="http://schemas.openxmlformats.org/drawingml/2006/main">
                <a:graphicData uri="http://schemas.microsoft.com/office/word/2010/wordprocessingShape">
                  <wps:wsp>
                    <wps:cNvSpPr txBox="1"/>
                    <wps:spPr>
                      <a:xfrm>
                        <a:ext cx="445135" cy="1250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Proiect</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13.85000000000002pt;margin-top:59.299999999999997pt;width:35.049999999999997pt;height:9.8499999999999996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en-US" w:eastAsia="en-US" w:bidi="en-US"/>
                      </w:rPr>
                      <w:t>Proiect</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Georgia" w:eastAsia="Georgia" w:hAnsi="Georgia" w:cs="Georgia"/>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Cambria" w:eastAsia="Cambria" w:hAnsi="Cambria" w:cs="Cambria"/>
      <w:b w:val="0"/>
      <w:bCs w:val="0"/>
      <w:i w:val="0"/>
      <w:iCs w:val="0"/>
      <w:smallCaps w:val="0"/>
      <w:strike w:val="0"/>
      <w:color w:val="303741"/>
      <w:sz w:val="22"/>
      <w:szCs w:val="22"/>
      <w:u w:val="none"/>
    </w:rPr>
  </w:style>
  <w:style w:type="character" w:customStyle="1" w:styleId="CharStyle5">
    <w:name w:val="Body text_"/>
    <w:basedOn w:val="DefaultParagraphFont"/>
    <w:link w:val="Style4"/>
    <w:rPr>
      <w:rFonts w:ascii="Georgia" w:eastAsia="Georgia" w:hAnsi="Georgia" w:cs="Georgia"/>
      <w:b w:val="0"/>
      <w:bCs w:val="0"/>
      <w:i w:val="0"/>
      <w:iCs w:val="0"/>
      <w:smallCaps w:val="0"/>
      <w:strike w:val="0"/>
      <w:u w:val="none"/>
    </w:rPr>
  </w:style>
  <w:style w:type="character" w:customStyle="1" w:styleId="CharStyle8">
    <w:name w:val="Body text (2)_"/>
    <w:basedOn w:val="DefaultParagraphFont"/>
    <w:link w:val="Style7"/>
    <w:rPr>
      <w:rFonts w:ascii="Georgia" w:eastAsia="Georgia" w:hAnsi="Georgia" w:cs="Georgia"/>
      <w:b w:val="0"/>
      <w:bCs w:val="0"/>
      <w:i w:val="0"/>
      <w:iCs w:val="0"/>
      <w:smallCaps w:val="0"/>
      <w:strike w:val="0"/>
      <w:sz w:val="18"/>
      <w:szCs w:val="18"/>
      <w:u w:val="none"/>
    </w:rPr>
  </w:style>
  <w:style w:type="character" w:customStyle="1" w:styleId="CharStyle10">
    <w:name w:val="Heading #1_"/>
    <w:basedOn w:val="DefaultParagraphFont"/>
    <w:link w:val="Style9"/>
    <w:rPr>
      <w:rFonts w:ascii="Georgia" w:eastAsia="Georgia" w:hAnsi="Georgia" w:cs="Georgia"/>
      <w:b/>
      <w:bCs/>
      <w:i w:val="0"/>
      <w:iCs w:val="0"/>
      <w:smallCaps w:val="0"/>
      <w:strike w:val="0"/>
      <w:color w:val="303741"/>
      <w:sz w:val="30"/>
      <w:szCs w:val="30"/>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Picture caption"/>
    <w:basedOn w:val="Normal"/>
    <w:link w:val="CharStyle3"/>
    <w:pPr>
      <w:widowControl w:val="0"/>
      <w:shd w:val="clear" w:color="auto" w:fill="FFFFFF"/>
      <w:spacing w:line="221" w:lineRule="auto"/>
    </w:pPr>
    <w:rPr>
      <w:rFonts w:ascii="Cambria" w:eastAsia="Cambria" w:hAnsi="Cambria" w:cs="Cambria"/>
      <w:b w:val="0"/>
      <w:bCs w:val="0"/>
      <w:i w:val="0"/>
      <w:iCs w:val="0"/>
      <w:smallCaps w:val="0"/>
      <w:strike w:val="0"/>
      <w:color w:val="303741"/>
      <w:sz w:val="22"/>
      <w:szCs w:val="22"/>
      <w:u w:val="none"/>
    </w:rPr>
  </w:style>
  <w:style w:type="paragraph" w:styleId="Style4">
    <w:name w:val="Body text"/>
    <w:basedOn w:val="Normal"/>
    <w:link w:val="CharStyle5"/>
    <w:qFormat/>
    <w:pPr>
      <w:widowControl w:val="0"/>
      <w:shd w:val="clear" w:color="auto" w:fill="FFFFFF"/>
      <w:spacing w:after="240" w:line="276" w:lineRule="auto"/>
      <w:ind w:firstLine="400"/>
    </w:pPr>
    <w:rPr>
      <w:rFonts w:ascii="Georgia" w:eastAsia="Georgia" w:hAnsi="Georgia" w:cs="Georgia"/>
      <w:b w:val="0"/>
      <w:bCs w:val="0"/>
      <w:i w:val="0"/>
      <w:iCs w:val="0"/>
      <w:smallCaps w:val="0"/>
      <w:strike w:val="0"/>
      <w:u w:val="none"/>
    </w:rPr>
  </w:style>
  <w:style w:type="paragraph" w:customStyle="1" w:styleId="Style7">
    <w:name w:val="Body text (2)"/>
    <w:basedOn w:val="Normal"/>
    <w:link w:val="CharStyle8"/>
    <w:pPr>
      <w:widowControl w:val="0"/>
      <w:shd w:val="clear" w:color="auto" w:fill="FFFFFF"/>
      <w:ind w:firstLine="70"/>
    </w:pPr>
    <w:rPr>
      <w:rFonts w:ascii="Georgia" w:eastAsia="Georgia" w:hAnsi="Georgia" w:cs="Georgia"/>
      <w:b w:val="0"/>
      <w:bCs w:val="0"/>
      <w:i w:val="0"/>
      <w:iCs w:val="0"/>
      <w:smallCaps w:val="0"/>
      <w:strike w:val="0"/>
      <w:sz w:val="18"/>
      <w:szCs w:val="18"/>
      <w:u w:val="none"/>
    </w:rPr>
  </w:style>
  <w:style w:type="paragraph" w:customStyle="1" w:styleId="Style9">
    <w:name w:val="Heading #1"/>
    <w:basedOn w:val="Normal"/>
    <w:link w:val="CharStyle10"/>
    <w:pPr>
      <w:widowControl w:val="0"/>
      <w:shd w:val="clear" w:color="auto" w:fill="FFFFFF"/>
      <w:spacing w:after="920"/>
      <w:ind w:firstLine="140"/>
      <w:outlineLvl w:val="0"/>
    </w:pPr>
    <w:rPr>
      <w:rFonts w:ascii="Georgia" w:eastAsia="Georgia" w:hAnsi="Georgia" w:cs="Georgia"/>
      <w:b/>
      <w:bCs/>
      <w:i w:val="0"/>
      <w:iCs w:val="0"/>
      <w:smallCaps w:val="0"/>
      <w:strike w:val="0"/>
      <w:color w:val="303741"/>
      <w:sz w:val="30"/>
      <w:szCs w:val="30"/>
      <w:u w:val="none"/>
    </w:rPr>
  </w:style>
  <w:style w:type="paragraph" w:customStyle="1" w:styleId="Style13">
    <w:name w:val="Header or footer (2)"/>
    <w:basedOn w:val="Normal"/>
    <w:link w:val="CharStyle14"/>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header" Target="header3.xml"/><Relationship Id="rId5" Type="http://schemas.openxmlformats.org/officeDocument/2006/relationships/image" Target="media/image1.jpe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688580-9E05-4F42-92C9-1D5E46C50917}"/>
</file>

<file path=customXml/itemProps2.xml><?xml version="1.0" encoding="utf-8"?>
<ds:datastoreItem xmlns:ds="http://schemas.openxmlformats.org/officeDocument/2006/customXml" ds:itemID="{065AAB09-AA44-48DA-80CA-C08227ADB7F8}"/>
</file>

<file path=customXml/itemProps3.xml><?xml version="1.0" encoding="utf-8"?>
<ds:datastoreItem xmlns:ds="http://schemas.openxmlformats.org/officeDocument/2006/customXml" ds:itemID="{4716344B-A1ED-4F65-98B8-46342F561DD1}"/>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445.2020.ro</dc:title>
  <dc:subject/>
  <dc:creator>Anna Frunza</dc:creator>
  <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