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footer1.xml" ContentType="application/vnd.openxmlformats-officedocument.wordprocessingml.footer+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sz w:val="34"/>
        </w:rPr>
      </w:pPr>
    </w:p>
    <w:p>
      <w:pPr>
        <w:pStyle w:val="BodyText"/>
        <w:rPr>
          <w:sz w:val="34"/>
        </w:rPr>
      </w:pPr>
    </w:p>
    <w:p>
      <w:pPr>
        <w:pStyle w:val="BodyText"/>
        <w:rPr>
          <w:sz w:val="34"/>
        </w:rPr>
      </w:pPr>
    </w:p>
    <w:p>
      <w:pPr>
        <w:pStyle w:val="BodyText"/>
        <w:rPr>
          <w:sz w:val="34"/>
        </w:rPr>
      </w:pPr>
    </w:p>
    <w:p>
      <w:pPr>
        <w:spacing w:line="254" w:lineRule="auto" w:before="198"/>
        <w:ind w:left="1103" w:right="19" w:firstLine="0"/>
        <w:jc w:val="left"/>
        <w:rPr>
          <w:rFonts w:ascii="Georgia" w:hAnsi="Georgia"/>
          <w:b/>
          <w:sz w:val="30"/>
        </w:rPr>
      </w:pPr>
      <w:r>
        <w:rPr/>
        <w:drawing>
          <wp:anchor distT="0" distB="0" distL="0" distR="0" allowOverlap="1" layoutInCell="1" locked="0" behindDoc="0" simplePos="0" relativeHeight="1048">
            <wp:simplePos x="0" y="0"/>
            <wp:positionH relativeFrom="page">
              <wp:posOffset>451927</wp:posOffset>
            </wp:positionH>
            <wp:positionV relativeFrom="paragraph">
              <wp:posOffset>-616866</wp:posOffset>
            </wp:positionV>
            <wp:extent cx="353188" cy="428625"/>
            <wp:effectExtent l="0" t="0" r="0" b="0"/>
            <wp:wrapNone/>
            <wp:docPr id="1" name="image1.png" descr=""/>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353188" cy="428625"/>
                    </a:xfrm>
                    <a:prstGeom prst="rect">
                      <a:avLst/>
                    </a:prstGeom>
                  </pic:spPr>
                </pic:pic>
              </a:graphicData>
            </a:graphic>
          </wp:anchor>
        </w:drawing>
      </w:r>
      <w:r>
        <w:rPr/>
        <w:drawing>
          <wp:anchor distT="0" distB="0" distL="0" distR="0" allowOverlap="1" layoutInCell="1" locked="0" behindDoc="0" simplePos="0" relativeHeight="1072">
            <wp:simplePos x="0" y="0"/>
            <wp:positionH relativeFrom="page">
              <wp:posOffset>1089326</wp:posOffset>
            </wp:positionH>
            <wp:positionV relativeFrom="paragraph">
              <wp:posOffset>-344699</wp:posOffset>
            </wp:positionV>
            <wp:extent cx="1157469" cy="276225"/>
            <wp:effectExtent l="0" t="0" r="0" b="0"/>
            <wp:wrapNone/>
            <wp:docPr id="3" name="image2.png" descr=""/>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1157469" cy="276225"/>
                    </a:xfrm>
                    <a:prstGeom prst="rect">
                      <a:avLst/>
                    </a:prstGeom>
                  </pic:spPr>
                </pic:pic>
              </a:graphicData>
            </a:graphic>
          </wp:anchor>
        </w:drawing>
      </w:r>
      <w:r>
        <w:rPr/>
        <w:drawing>
          <wp:anchor distT="0" distB="0" distL="0" distR="0" allowOverlap="1" layoutInCell="1" locked="0" behindDoc="0" simplePos="0" relativeHeight="1096">
            <wp:simplePos x="0" y="0"/>
            <wp:positionH relativeFrom="page">
              <wp:posOffset>1101253</wp:posOffset>
            </wp:positionH>
            <wp:positionV relativeFrom="paragraph">
              <wp:posOffset>-616866</wp:posOffset>
            </wp:positionV>
            <wp:extent cx="714987" cy="223837"/>
            <wp:effectExtent l="0" t="0" r="0" b="0"/>
            <wp:wrapNone/>
            <wp:docPr id="5" name="image3.png" descr=""/>
            <wp:cNvGraphicFramePr>
              <a:graphicFrameLocks noChangeAspect="1"/>
            </wp:cNvGraphicFramePr>
            <a:graphic>
              <a:graphicData uri="http://schemas.openxmlformats.org/drawingml/2006/picture">
                <pic:pic>
                  <pic:nvPicPr>
                    <pic:cNvPr id="6" name="image3.png"/>
                    <pic:cNvPicPr/>
                  </pic:nvPicPr>
                  <pic:blipFill>
                    <a:blip r:embed="rId7" cstate="print"/>
                    <a:stretch>
                      <a:fillRect/>
                    </a:stretch>
                  </pic:blipFill>
                  <pic:spPr>
                    <a:xfrm>
                      <a:off x="0" y="0"/>
                      <a:ext cx="714987" cy="223837"/>
                    </a:xfrm>
                    <a:prstGeom prst="rect">
                      <a:avLst/>
                    </a:prstGeom>
                  </pic:spPr>
                </pic:pic>
              </a:graphicData>
            </a:graphic>
          </wp:anchor>
        </w:drawing>
      </w:r>
      <w:r>
        <w:rPr/>
        <w:pict>
          <v:line style="position:absolute;mso-position-horizontal-relative:page;mso-position-vertical-relative:paragraph;z-index:1120" from="72.66301pt,-50.223549pt" to="72.66301pt,-5.598595pt" stroked="true" strokeweight=".375665pt" strokecolor="#2f3741">
            <v:stroke dashstyle="solid"/>
            <w10:wrap type="none"/>
          </v:line>
        </w:pict>
      </w:r>
      <w:bookmarkStart w:name="35 demers modificarea Legii 668 din995" w:id="1"/>
      <w:bookmarkEnd w:id="1"/>
      <w:r>
        <w:rPr/>
      </w:r>
      <w:r>
        <w:rPr>
          <w:rFonts w:ascii="Georgia" w:hAnsi="Georgia"/>
          <w:b/>
          <w:color w:val="2F3741"/>
          <w:sz w:val="30"/>
        </w:rPr>
        <w:t>Deputat în Parlamentul Republicii Moldova</w:t>
      </w:r>
    </w:p>
    <w:p>
      <w:pPr>
        <w:spacing w:before="77"/>
        <w:ind w:left="351" w:right="0" w:firstLine="0"/>
        <w:jc w:val="left"/>
        <w:rPr>
          <w:rFonts w:ascii="Georgia"/>
          <w:sz w:val="24"/>
        </w:rPr>
      </w:pPr>
      <w:r>
        <w:rPr/>
        <w:br w:type="column"/>
      </w:r>
      <w:r>
        <w:rPr>
          <w:rFonts w:ascii="Georgia"/>
          <w:color w:val="2F3741"/>
          <w:sz w:val="24"/>
        </w:rPr>
        <w:t>AS nr.</w:t>
      </w:r>
      <w:r>
        <w:rPr>
          <w:rFonts w:ascii="Georgia"/>
          <w:color w:val="2F3741"/>
          <w:spacing w:val="-6"/>
          <w:sz w:val="24"/>
        </w:rPr>
        <w:t> </w:t>
      </w:r>
      <w:r>
        <w:rPr>
          <w:rFonts w:ascii="Georgia"/>
          <w:color w:val="2F3741"/>
          <w:sz w:val="24"/>
        </w:rPr>
        <w:t>35</w:t>
      </w:r>
    </w:p>
    <w:p>
      <w:pPr>
        <w:spacing w:before="174"/>
        <w:ind w:left="111" w:right="0" w:firstLine="0"/>
        <w:jc w:val="left"/>
        <w:rPr>
          <w:rFonts w:ascii="Georgia"/>
          <w:sz w:val="24"/>
        </w:rPr>
      </w:pPr>
      <w:r>
        <w:rPr>
          <w:rFonts w:ascii="Georgia"/>
          <w:color w:val="2F3741"/>
          <w:sz w:val="24"/>
        </w:rPr>
        <w:t>16.09.2020</w:t>
      </w:r>
    </w:p>
    <w:p>
      <w:pPr>
        <w:spacing w:after="0"/>
        <w:jc w:val="left"/>
        <w:rPr>
          <w:rFonts w:ascii="Georgia"/>
          <w:sz w:val="24"/>
        </w:rPr>
        <w:sectPr>
          <w:type w:val="continuous"/>
          <w:pgSz w:w="11910" w:h="16840"/>
          <w:pgMar w:top="260" w:bottom="280" w:left="600" w:right="740"/>
          <w:cols w:num="2" w:equalWidth="0">
            <w:col w:w="4783" w:space="4105"/>
            <w:col w:w="1682"/>
          </w:cols>
        </w:sectPr>
      </w:pPr>
    </w:p>
    <w:p>
      <w:pPr>
        <w:pStyle w:val="BodyText"/>
        <w:rPr>
          <w:rFonts w:ascii="Georgia"/>
          <w:sz w:val="20"/>
        </w:rPr>
      </w:pPr>
    </w:p>
    <w:p>
      <w:pPr>
        <w:pStyle w:val="BodyText"/>
        <w:rPr>
          <w:rFonts w:ascii="Georgia"/>
          <w:sz w:val="20"/>
        </w:rPr>
      </w:pPr>
    </w:p>
    <w:p>
      <w:pPr>
        <w:pStyle w:val="BodyText"/>
        <w:rPr>
          <w:rFonts w:ascii="Georgia"/>
          <w:sz w:val="20"/>
        </w:rPr>
      </w:pPr>
    </w:p>
    <w:p>
      <w:pPr>
        <w:pStyle w:val="BodyText"/>
        <w:spacing w:before="6"/>
        <w:rPr>
          <w:rFonts w:ascii="Georgia"/>
          <w:sz w:val="18"/>
        </w:rPr>
      </w:pPr>
    </w:p>
    <w:p>
      <w:pPr>
        <w:pStyle w:val="Heading1"/>
        <w:spacing w:line="328" w:lineRule="auto" w:before="101"/>
        <w:ind w:left="5486" w:right="95" w:firstLine="2032"/>
        <w:rPr>
          <w:rFonts w:ascii="Georgia"/>
        </w:rPr>
      </w:pPr>
      <w:r>
        <w:rPr>
          <w:rFonts w:ascii="Georgia"/>
        </w:rPr>
        <w:t>Biroul Permanent al Parlamentului Republicii Moldova</w:t>
      </w:r>
    </w:p>
    <w:p>
      <w:pPr>
        <w:pStyle w:val="BodyText"/>
        <w:rPr>
          <w:rFonts w:ascii="Georgia"/>
          <w:b/>
          <w:sz w:val="32"/>
        </w:rPr>
      </w:pPr>
    </w:p>
    <w:p>
      <w:pPr>
        <w:pStyle w:val="BodyText"/>
        <w:spacing w:before="5"/>
        <w:rPr>
          <w:rFonts w:ascii="Georgia"/>
          <w:b/>
          <w:sz w:val="45"/>
        </w:rPr>
      </w:pPr>
    </w:p>
    <w:p>
      <w:pPr>
        <w:pStyle w:val="BodyText"/>
        <w:spacing w:line="360" w:lineRule="auto"/>
        <w:ind w:left="818" w:right="103" w:firstLine="991"/>
        <w:jc w:val="both"/>
      </w:pPr>
      <w:r>
        <w:rPr/>
        <w:t>În conformitate cu articolul 73 din Constituția Republicii Moldova și articolul 47 din Regulamentul Parlamentului se înaintează cu titlu de inițiativă legislativă proiectul de lege cu privire la modificarea Legii nr. 668-XIII din 23.11.95 pentru aprobarea Listei unităților ale căror terenuri destinate agriculturii ramîn în proprietatea statului (republicată în Monitorul Oficial al Republicii Moldova nr.78- 80/572 din 12.07.2001 Monitorul Oficial al Republicii Moldova nr.54-55/519 din 15.08.1996)</w:t>
      </w:r>
    </w:p>
    <w:p>
      <w:pPr>
        <w:pStyle w:val="BodyText"/>
        <w:spacing w:before="9"/>
        <w:rPr>
          <w:sz w:val="41"/>
        </w:rPr>
      </w:pPr>
    </w:p>
    <w:p>
      <w:pPr>
        <w:pStyle w:val="Heading1"/>
        <w:spacing w:line="362" w:lineRule="auto"/>
        <w:ind w:left="1235" w:right="6406"/>
      </w:pPr>
      <w:r>
        <w:rPr/>
        <w:t>Deputați în Parlamentul Republicii Moldova</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4"/>
        <w:rPr>
          <w:b/>
          <w:sz w:val="21"/>
        </w:rPr>
      </w:pPr>
      <w:r>
        <w:rPr/>
        <w:pict>
          <v:line style="position:absolute;mso-position-horizontal-relative:page;mso-position-vertical-relative:paragraph;z-index:-1024;mso-wrap-distance-left:0;mso-wrap-distance-right:0" from="85.849998pt,14.65582pt" to="536.599998pt,14.65582pt" stroked="true" strokeweight=".75pt" strokecolor="#7e7e7e">
            <v:stroke dashstyle="solid"/>
            <w10:wrap type="topAndBottom"/>
          </v:line>
        </w:pict>
      </w:r>
    </w:p>
    <w:p>
      <w:pPr>
        <w:tabs>
          <w:tab w:pos="8519" w:val="left" w:leader="none"/>
        </w:tabs>
        <w:spacing w:before="155"/>
        <w:ind w:left="1104" w:right="0" w:firstLine="0"/>
        <w:jc w:val="left"/>
        <w:rPr>
          <w:rFonts w:ascii="Georgia" w:hAnsi="Georgia"/>
          <w:sz w:val="18"/>
        </w:rPr>
      </w:pPr>
      <w:r>
        <w:rPr>
          <w:rFonts w:ascii="Georgia" w:hAnsi="Georgia"/>
          <w:sz w:val="18"/>
        </w:rPr>
        <w:t>Republica Moldova,</w:t>
      </w:r>
      <w:r>
        <w:rPr>
          <w:rFonts w:ascii="Georgia" w:hAnsi="Georgia"/>
          <w:spacing w:val="-6"/>
          <w:sz w:val="18"/>
        </w:rPr>
        <w:t> </w:t>
      </w:r>
      <w:r>
        <w:rPr>
          <w:rFonts w:ascii="Georgia" w:hAnsi="Georgia"/>
          <w:sz w:val="18"/>
        </w:rPr>
        <w:t>MD-2004,</w:t>
      </w:r>
      <w:r>
        <w:rPr>
          <w:rFonts w:ascii="Georgia" w:hAnsi="Georgia"/>
          <w:spacing w:val="-5"/>
          <w:sz w:val="18"/>
        </w:rPr>
        <w:t> </w:t>
      </w:r>
      <w:r>
        <w:rPr>
          <w:rFonts w:ascii="Georgia" w:hAnsi="Georgia"/>
          <w:sz w:val="18"/>
        </w:rPr>
        <w:t>Chişinău</w:t>
        <w:tab/>
      </w:r>
      <w:hyperlink r:id="rId8">
        <w:r>
          <w:rPr>
            <w:rFonts w:ascii="Georgia" w:hAnsi="Georgia"/>
            <w:sz w:val="18"/>
          </w:rPr>
          <w:t>info@parlament.md</w:t>
        </w:r>
      </w:hyperlink>
    </w:p>
    <w:p>
      <w:pPr>
        <w:tabs>
          <w:tab w:pos="8553" w:val="left" w:leader="none"/>
        </w:tabs>
        <w:spacing w:before="31"/>
        <w:ind w:left="1104" w:right="0" w:firstLine="0"/>
        <w:jc w:val="left"/>
        <w:rPr>
          <w:rFonts w:ascii="Georgia" w:hAnsi="Georgia"/>
          <w:sz w:val="18"/>
        </w:rPr>
      </w:pPr>
      <w:r>
        <w:rPr>
          <w:rFonts w:ascii="Georgia" w:hAnsi="Georgia"/>
          <w:sz w:val="18"/>
        </w:rPr>
        <w:t>Bd. Ştefan cel Mare şi</w:t>
      </w:r>
      <w:r>
        <w:rPr>
          <w:rFonts w:ascii="Georgia" w:hAnsi="Georgia"/>
          <w:spacing w:val="-9"/>
          <w:sz w:val="18"/>
        </w:rPr>
        <w:t> </w:t>
      </w:r>
      <w:r>
        <w:rPr>
          <w:rFonts w:ascii="Georgia" w:hAnsi="Georgia"/>
          <w:sz w:val="18"/>
        </w:rPr>
        <w:t>Sfânt 105</w:t>
        <w:tab/>
      </w:r>
      <w:hyperlink r:id="rId9">
        <w:r>
          <w:rPr>
            <w:rFonts w:ascii="Georgia" w:hAnsi="Georgia"/>
            <w:sz w:val="18"/>
          </w:rPr>
          <w:t>www.parlament.md</w:t>
        </w:r>
      </w:hyperlink>
    </w:p>
    <w:p>
      <w:pPr>
        <w:spacing w:after="0"/>
        <w:jc w:val="left"/>
        <w:rPr>
          <w:rFonts w:ascii="Georgia" w:hAnsi="Georgia"/>
          <w:sz w:val="18"/>
        </w:rPr>
        <w:sectPr>
          <w:type w:val="continuous"/>
          <w:pgSz w:w="11910" w:h="16840"/>
          <w:pgMar w:top="260" w:bottom="280" w:left="600" w:right="740"/>
        </w:sectPr>
      </w:pPr>
    </w:p>
    <w:p>
      <w:pPr>
        <w:spacing w:before="74"/>
        <w:ind w:left="0" w:right="108" w:firstLine="0"/>
        <w:jc w:val="right"/>
        <w:rPr>
          <w:i/>
          <w:sz w:val="28"/>
        </w:rPr>
      </w:pPr>
      <w:bookmarkStart w:name="35 Modificarea Legii 668 din 1995 - Copy" w:id="2"/>
      <w:bookmarkEnd w:id="2"/>
      <w:r>
        <w:rPr/>
      </w:r>
      <w:r>
        <w:rPr>
          <w:i/>
          <w:sz w:val="28"/>
        </w:rPr>
        <w:t>Proiect</w:t>
      </w:r>
    </w:p>
    <w:p>
      <w:pPr>
        <w:pStyle w:val="BodyText"/>
        <w:rPr>
          <w:i/>
          <w:sz w:val="20"/>
        </w:rPr>
      </w:pPr>
    </w:p>
    <w:p>
      <w:pPr>
        <w:pStyle w:val="BodyText"/>
        <w:spacing w:before="5"/>
        <w:rPr>
          <w:i/>
        </w:rPr>
      </w:pPr>
    </w:p>
    <w:p>
      <w:pPr>
        <w:pStyle w:val="Heading1"/>
        <w:spacing w:before="89"/>
        <w:ind w:left="3028"/>
      </w:pPr>
      <w:r>
        <w:rPr/>
        <w:t>PARLAMENTUL REPUBLICII MOLDOVA</w:t>
      </w:r>
    </w:p>
    <w:p>
      <w:pPr>
        <w:pStyle w:val="BodyText"/>
        <w:spacing w:before="10"/>
        <w:rPr>
          <w:b/>
          <w:sz w:val="27"/>
        </w:rPr>
      </w:pPr>
    </w:p>
    <w:p>
      <w:pPr>
        <w:spacing w:line="322" w:lineRule="exact" w:before="0"/>
        <w:ind w:left="1250" w:right="109" w:firstLine="0"/>
        <w:jc w:val="center"/>
        <w:rPr>
          <w:b/>
          <w:sz w:val="28"/>
        </w:rPr>
      </w:pPr>
      <w:r>
        <w:rPr>
          <w:b/>
          <w:sz w:val="28"/>
        </w:rPr>
        <w:t>L E G E</w:t>
      </w:r>
    </w:p>
    <w:p>
      <w:pPr>
        <w:spacing w:line="240" w:lineRule="auto" w:before="0"/>
        <w:ind w:left="532" w:right="107" w:firstLine="720"/>
        <w:jc w:val="both"/>
        <w:rPr>
          <w:b/>
          <w:sz w:val="28"/>
        </w:rPr>
      </w:pPr>
      <w:r>
        <w:rPr>
          <w:b/>
          <w:sz w:val="28"/>
        </w:rPr>
        <w:t>pentru modificarea Legii nr. 668-XIII din 23.11.95 pentru aprobarea Listei unităților ale căror terenuri destinate agriculturii ramîn în proprietatea statului (republicată în Monitorul Oficial al Republicii Moldova nr.78-80/572 din 12.07.2001 Monitorul Oficial al Republicii Moldova nr.54-55/519 din 15.08.1996)</w:t>
      </w:r>
    </w:p>
    <w:p>
      <w:pPr>
        <w:pStyle w:val="BodyText"/>
        <w:rPr>
          <w:b/>
          <w:sz w:val="30"/>
        </w:rPr>
      </w:pPr>
    </w:p>
    <w:p>
      <w:pPr>
        <w:pStyle w:val="BodyText"/>
        <w:rPr>
          <w:b/>
          <w:sz w:val="30"/>
        </w:rPr>
      </w:pPr>
    </w:p>
    <w:p>
      <w:pPr>
        <w:pStyle w:val="BodyText"/>
        <w:spacing w:before="2"/>
        <w:rPr>
          <w:b/>
          <w:sz w:val="24"/>
        </w:rPr>
      </w:pPr>
    </w:p>
    <w:p>
      <w:pPr>
        <w:spacing w:before="0"/>
        <w:ind w:left="1099" w:right="0" w:firstLine="0"/>
        <w:jc w:val="left"/>
        <w:rPr>
          <w:i/>
          <w:sz w:val="28"/>
        </w:rPr>
      </w:pPr>
      <w:r>
        <w:rPr>
          <w:i/>
          <w:sz w:val="28"/>
        </w:rPr>
        <w:t>Parlamentul adoptă prezenta lege organică.</w:t>
      </w:r>
    </w:p>
    <w:p>
      <w:pPr>
        <w:pStyle w:val="BodyText"/>
        <w:spacing w:before="11"/>
        <w:rPr>
          <w:i/>
          <w:sz w:val="27"/>
        </w:rPr>
      </w:pPr>
    </w:p>
    <w:p>
      <w:pPr>
        <w:pStyle w:val="BodyText"/>
        <w:ind w:left="532" w:right="108" w:firstLine="720"/>
        <w:jc w:val="both"/>
      </w:pPr>
      <w:r>
        <w:rPr>
          <w:b/>
        </w:rPr>
        <w:t>Art. I. </w:t>
      </w:r>
      <w:r>
        <w:rPr/>
        <w:t>- Anexa Legii nr. 668-XIII din 23.11.95 pentru aprobarea Listei unităților ale căror terenuri destinate agriculturii ramîn în proprietatea statului (republicată în Monitorul Oficial al Republicii Moldova nr.78-80/572 din 12.07.2001 Monitorul Oficial al Republicii Moldova nr.54-55/519 din 15.08.1996), se modifică după cum urmează:</w:t>
      </w:r>
    </w:p>
    <w:p>
      <w:pPr>
        <w:pStyle w:val="BodyText"/>
      </w:pPr>
    </w:p>
    <w:p>
      <w:pPr>
        <w:pStyle w:val="ListParagraph"/>
        <w:numPr>
          <w:ilvl w:val="0"/>
          <w:numId w:val="1"/>
        </w:numPr>
        <w:tabs>
          <w:tab w:pos="1614" w:val="left" w:leader="none"/>
        </w:tabs>
        <w:spacing w:line="240" w:lineRule="auto" w:before="0" w:after="0"/>
        <w:ind w:left="1613" w:right="108" w:hanging="360"/>
        <w:jc w:val="both"/>
        <w:rPr>
          <w:sz w:val="28"/>
        </w:rPr>
      </w:pPr>
      <w:r>
        <w:rPr>
          <w:sz w:val="28"/>
        </w:rPr>
        <w:t>Se exclude două rânduri din tabelă cu sintagmele și cifrele ce indică suprafața terenurilor (ha) după cum</w:t>
      </w:r>
      <w:r>
        <w:rPr>
          <w:spacing w:val="-10"/>
          <w:sz w:val="28"/>
        </w:rPr>
        <w:t> </w:t>
      </w:r>
      <w:r>
        <w:rPr>
          <w:sz w:val="28"/>
        </w:rPr>
        <w:t>urmează:</w:t>
      </w:r>
    </w:p>
    <w:p>
      <w:pPr>
        <w:pStyle w:val="ListParagraph"/>
        <w:numPr>
          <w:ilvl w:val="1"/>
          <w:numId w:val="1"/>
        </w:numPr>
        <w:tabs>
          <w:tab w:pos="2763" w:val="left" w:leader="none"/>
        </w:tabs>
        <w:spacing w:line="321" w:lineRule="exact" w:before="0" w:after="0"/>
        <w:ind w:left="2762" w:right="0" w:hanging="223"/>
        <w:jc w:val="left"/>
        <w:rPr>
          <w:sz w:val="28"/>
        </w:rPr>
      </w:pPr>
      <w:r>
        <w:rPr>
          <w:sz w:val="28"/>
        </w:rPr>
        <w:t>ˮ satul Chetrosu, raionul Anenii Noi” cu cifra aferentă</w:t>
      </w:r>
      <w:r>
        <w:rPr>
          <w:spacing w:val="-18"/>
          <w:sz w:val="28"/>
        </w:rPr>
        <w:t> </w:t>
      </w:r>
      <w:r>
        <w:rPr>
          <w:sz w:val="28"/>
        </w:rPr>
        <w:t>ˮ1272,96”;</w:t>
      </w:r>
    </w:p>
    <w:p>
      <w:pPr>
        <w:pStyle w:val="ListParagraph"/>
        <w:numPr>
          <w:ilvl w:val="1"/>
          <w:numId w:val="1"/>
        </w:numPr>
        <w:tabs>
          <w:tab w:pos="2763" w:val="left" w:leader="none"/>
        </w:tabs>
        <w:spacing w:line="240" w:lineRule="auto" w:before="0" w:after="0"/>
        <w:ind w:left="2762" w:right="0" w:hanging="223"/>
        <w:jc w:val="left"/>
        <w:rPr>
          <w:sz w:val="28"/>
        </w:rPr>
      </w:pPr>
      <w:r>
        <w:rPr>
          <w:sz w:val="28"/>
        </w:rPr>
        <w:t>ˮ satul Todirești, raionul Anenii Noi” cu cifra aferentă</w:t>
      </w:r>
      <w:r>
        <w:rPr>
          <w:spacing w:val="-15"/>
          <w:sz w:val="28"/>
        </w:rPr>
        <w:t> </w:t>
      </w:r>
      <w:r>
        <w:rPr>
          <w:sz w:val="28"/>
        </w:rPr>
        <w:t>ˮ812”;</w:t>
      </w:r>
    </w:p>
    <w:p>
      <w:pPr>
        <w:pStyle w:val="BodyText"/>
        <w:spacing w:before="11"/>
        <w:rPr>
          <w:sz w:val="27"/>
        </w:rPr>
      </w:pPr>
    </w:p>
    <w:p>
      <w:pPr>
        <w:pStyle w:val="ListParagraph"/>
        <w:numPr>
          <w:ilvl w:val="0"/>
          <w:numId w:val="1"/>
        </w:numPr>
        <w:tabs>
          <w:tab w:pos="1527" w:val="left" w:leader="none"/>
        </w:tabs>
        <w:spacing w:line="240" w:lineRule="auto" w:before="0" w:after="0"/>
        <w:ind w:left="1612" w:right="108" w:hanging="360"/>
        <w:jc w:val="both"/>
        <w:rPr>
          <w:sz w:val="28"/>
        </w:rPr>
      </w:pPr>
      <w:r>
        <w:rPr>
          <w:sz w:val="28"/>
        </w:rPr>
        <w:t>Cifra ˮ2839,67” aferentă rândului ˮ Stațiunile didactice experimentale ale Universității Agrare de Stat din Moldova, total” se va schimba respectiv cu cifra</w:t>
      </w:r>
      <w:r>
        <w:rPr>
          <w:spacing w:val="68"/>
          <w:sz w:val="28"/>
        </w:rPr>
        <w:t> </w:t>
      </w:r>
      <w:r>
        <w:rPr>
          <w:sz w:val="28"/>
        </w:rPr>
        <w:t>ˮ754,71”</w:t>
      </w:r>
    </w:p>
    <w:p>
      <w:pPr>
        <w:pStyle w:val="BodyText"/>
        <w:spacing w:before="1"/>
      </w:pPr>
    </w:p>
    <w:p>
      <w:pPr>
        <w:pStyle w:val="ListParagraph"/>
        <w:numPr>
          <w:ilvl w:val="0"/>
          <w:numId w:val="1"/>
        </w:numPr>
        <w:tabs>
          <w:tab w:pos="1683" w:val="left" w:leader="none"/>
        </w:tabs>
        <w:spacing w:line="240" w:lineRule="auto" w:before="0" w:after="0"/>
        <w:ind w:left="1613" w:right="108" w:hanging="361"/>
        <w:jc w:val="both"/>
        <w:rPr>
          <w:sz w:val="28"/>
        </w:rPr>
      </w:pPr>
      <w:r>
        <w:rPr/>
        <w:tab/>
      </w:r>
      <w:r>
        <w:rPr>
          <w:sz w:val="28"/>
        </w:rPr>
        <w:t>Cifra ˮ21860,55” aferentă rândului ˮ Total” se va schimba respectiv cu cifra ˮ19775,59”</w:t>
      </w:r>
    </w:p>
    <w:p>
      <w:pPr>
        <w:pStyle w:val="BodyText"/>
        <w:spacing w:before="10"/>
        <w:rPr>
          <w:sz w:val="27"/>
        </w:rPr>
      </w:pPr>
    </w:p>
    <w:p>
      <w:pPr>
        <w:pStyle w:val="BodyText"/>
        <w:ind w:left="1099"/>
      </w:pPr>
      <w:r>
        <w:rPr>
          <w:b/>
        </w:rPr>
        <w:t>Art. II. - </w:t>
      </w:r>
      <w:r>
        <w:rPr/>
        <w:t>(1) Prezenta lege intră în vigoare la data publicării.</w:t>
      </w:r>
    </w:p>
    <w:p>
      <w:pPr>
        <w:pStyle w:val="BodyText"/>
        <w:spacing w:before="2"/>
      </w:pPr>
    </w:p>
    <w:p>
      <w:pPr>
        <w:pStyle w:val="ListParagraph"/>
        <w:numPr>
          <w:ilvl w:val="0"/>
          <w:numId w:val="2"/>
        </w:numPr>
        <w:tabs>
          <w:tab w:pos="1548" w:val="left" w:leader="none"/>
        </w:tabs>
        <w:spacing w:line="240" w:lineRule="auto" w:before="0" w:after="0"/>
        <w:ind w:left="532" w:right="108" w:firstLine="567"/>
        <w:jc w:val="left"/>
        <w:rPr>
          <w:sz w:val="28"/>
        </w:rPr>
      </w:pPr>
      <w:r>
        <w:rPr>
          <w:sz w:val="28"/>
        </w:rPr>
        <w:t>Guvernul în termen de 2 luni de la data publicării prezentei legi, va aduce actele sale normative în concordanță cu</w:t>
      </w:r>
      <w:r>
        <w:rPr>
          <w:spacing w:val="-9"/>
          <w:sz w:val="28"/>
        </w:rPr>
        <w:t> </w:t>
      </w:r>
      <w:r>
        <w:rPr>
          <w:sz w:val="28"/>
        </w:rPr>
        <w:t>aceasta.</w:t>
      </w:r>
    </w:p>
    <w:p>
      <w:pPr>
        <w:pStyle w:val="BodyText"/>
        <w:rPr>
          <w:sz w:val="30"/>
        </w:rPr>
      </w:pPr>
    </w:p>
    <w:p>
      <w:pPr>
        <w:pStyle w:val="Heading1"/>
        <w:spacing w:before="206"/>
        <w:ind w:left="1104"/>
      </w:pPr>
      <w:r>
        <w:rPr/>
        <w:t>PREŞEDINTELE PARLAMENTULUI</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6"/>
        <w:rPr>
          <w:b/>
          <w:sz w:val="24"/>
        </w:rPr>
      </w:pPr>
    </w:p>
    <w:p>
      <w:pPr>
        <w:spacing w:before="91"/>
        <w:ind w:left="1139" w:right="0" w:firstLine="0"/>
        <w:jc w:val="center"/>
        <w:rPr>
          <w:sz w:val="20"/>
        </w:rPr>
      </w:pPr>
      <w:r>
        <w:rPr>
          <w:w w:val="99"/>
          <w:sz w:val="20"/>
        </w:rPr>
        <w:t>1</w:t>
      </w:r>
    </w:p>
    <w:p>
      <w:pPr>
        <w:spacing w:after="0"/>
        <w:jc w:val="center"/>
        <w:rPr>
          <w:sz w:val="20"/>
        </w:rPr>
        <w:sectPr>
          <w:pgSz w:w="11910" w:h="16840"/>
          <w:pgMar w:top="1040" w:bottom="280" w:left="600" w:right="740"/>
        </w:sectPr>
      </w:pPr>
    </w:p>
    <w:p>
      <w:pPr>
        <w:pStyle w:val="Heading1"/>
        <w:spacing w:before="74"/>
        <w:ind w:left="4164"/>
      </w:pPr>
      <w:bookmarkStart w:name="35 Nota info Legea 668 " w:id="3"/>
      <w:bookmarkEnd w:id="3"/>
      <w:r>
        <w:rPr>
          <w:b w:val="0"/>
        </w:rPr>
      </w:r>
      <w:r>
        <w:rPr/>
        <w:t>NOTA INFORMATIVĂ</w:t>
      </w:r>
    </w:p>
    <w:p>
      <w:pPr>
        <w:spacing w:before="2"/>
        <w:ind w:left="818" w:right="109" w:firstLine="0"/>
        <w:jc w:val="center"/>
        <w:rPr>
          <w:b/>
          <w:sz w:val="28"/>
        </w:rPr>
      </w:pPr>
      <w:r>
        <w:rPr>
          <w:b/>
          <w:sz w:val="28"/>
        </w:rPr>
        <w:t>la proiectul de lege cu privire la modificarea Legii nr. 668-XIII din 23.11.95 pentru aprobarea Listei unităților ale căror terenuri destinate agriculturii ramîn în proprietatea statului (republicată în Monitorul Oficial al Republicii Moldova nr.78-80/572 din 12.07.2001 Monitorul Oficial al Republicii Moldova</w:t>
      </w:r>
    </w:p>
    <w:p>
      <w:pPr>
        <w:spacing w:line="320" w:lineRule="exact" w:before="0"/>
        <w:ind w:left="3945" w:right="0" w:firstLine="0"/>
        <w:jc w:val="left"/>
        <w:rPr>
          <w:b/>
          <w:sz w:val="28"/>
        </w:rPr>
      </w:pPr>
      <w:r>
        <w:rPr>
          <w:b/>
          <w:sz w:val="28"/>
        </w:rPr>
        <w:t>nr.54-55/519 din 15.08.1996)</w:t>
      </w:r>
    </w:p>
    <w:p>
      <w:pPr>
        <w:pStyle w:val="BodyText"/>
        <w:spacing w:before="2"/>
        <w:rPr>
          <w:b/>
        </w:rPr>
      </w:pPr>
    </w:p>
    <w:p>
      <w:pPr>
        <w:pStyle w:val="BodyText"/>
        <w:ind w:left="818" w:right="105" w:firstLine="707"/>
        <w:jc w:val="both"/>
      </w:pPr>
      <w:r>
        <w:rPr>
          <w:b/>
        </w:rPr>
        <w:t>Condițiile ce au impus elaborarea proiectului de act normativ și finalitățile urmărite. </w:t>
      </w:r>
      <w:r>
        <w:rPr/>
        <w:t>În urma reformei agrare localnicii din satele Chetrosu și Todirești, raionul Anenii Noi nu au primit terenuri agricole. Din prevederile articolului 16 a Constituției Republicii Moldova, precum și din efectele juridice ale prevederilor Legii nr. 668- XIII din 23.11.95 pentru aprobarea Listei unităților ale căror terenuri destinate agriculturii ramîn în proprietatea statului, constatăm că cetățenii – locuitori ai satelor Chetrosu și Todirești nu au beneficiat de egalitate în drepturile lor constituționale în raport cu întreaga populație rurală a Republicii Moldova, și anume distribuirea cotelor de pământ</w:t>
      </w:r>
      <w:r>
        <w:rPr>
          <w:spacing w:val="-4"/>
        </w:rPr>
        <w:t> </w:t>
      </w:r>
      <w:r>
        <w:rPr/>
        <w:t>agricol.</w:t>
      </w:r>
    </w:p>
    <w:p>
      <w:pPr>
        <w:pStyle w:val="BodyText"/>
        <w:ind w:left="818" w:right="104" w:firstLine="707"/>
        <w:jc w:val="both"/>
      </w:pPr>
      <w:r>
        <w:rPr>
          <w:b/>
        </w:rPr>
        <w:t>Principalele prevederi ale proiectului și evidențierea elementelor noi. Articolul I. </w:t>
      </w:r>
      <w:r>
        <w:rPr/>
        <w:t>al proiectului de lege prevede că, Anexa Legii nr. 668-XIII din 23.11.95 pentru aprobarea Listei unităților ale căror terenuri destinate agriculturii ramîn în proprietatea statului (republicată în Monitorul Oficial al Republicii Moldova nr.78- 80/572 din 12.07.2001 Monitorul Oficial al Republicii Moldova nr.54-55/519 din 15.08.1996), se modifică după cum urmează:</w:t>
      </w:r>
    </w:p>
    <w:p>
      <w:pPr>
        <w:pStyle w:val="ListParagraph"/>
        <w:numPr>
          <w:ilvl w:val="1"/>
          <w:numId w:val="2"/>
        </w:numPr>
        <w:tabs>
          <w:tab w:pos="1527" w:val="left" w:leader="none"/>
        </w:tabs>
        <w:spacing w:line="240" w:lineRule="auto" w:before="0" w:after="0"/>
        <w:ind w:left="818" w:right="108" w:firstLine="427"/>
        <w:jc w:val="left"/>
        <w:rPr>
          <w:sz w:val="28"/>
        </w:rPr>
      </w:pPr>
      <w:r>
        <w:rPr>
          <w:sz w:val="28"/>
        </w:rPr>
        <w:t>Se exclude două rânduri din tabelă cu sintagmele și cifrele ce indică suprafața terenurilor (ha) după cum</w:t>
      </w:r>
      <w:r>
        <w:rPr>
          <w:spacing w:val="-10"/>
          <w:sz w:val="28"/>
        </w:rPr>
        <w:t> </w:t>
      </w:r>
      <w:r>
        <w:rPr>
          <w:sz w:val="28"/>
        </w:rPr>
        <w:t>urmează:</w:t>
      </w:r>
    </w:p>
    <w:p>
      <w:pPr>
        <w:pStyle w:val="ListParagraph"/>
        <w:numPr>
          <w:ilvl w:val="0"/>
          <w:numId w:val="3"/>
        </w:numPr>
        <w:tabs>
          <w:tab w:pos="1596" w:val="left" w:leader="none"/>
          <w:tab w:pos="1597" w:val="left" w:leader="none"/>
        </w:tabs>
        <w:spacing w:line="321" w:lineRule="exact" w:before="0" w:after="0"/>
        <w:ind w:left="1596" w:right="0" w:hanging="351"/>
        <w:jc w:val="left"/>
        <w:rPr>
          <w:sz w:val="28"/>
        </w:rPr>
      </w:pPr>
      <w:r>
        <w:rPr>
          <w:sz w:val="28"/>
        </w:rPr>
        <w:t>ˮ satul Chetrosu, raionul Anenii Noi” cu cifra aferentă</w:t>
      </w:r>
      <w:r>
        <w:rPr>
          <w:spacing w:val="-12"/>
          <w:sz w:val="28"/>
        </w:rPr>
        <w:t> </w:t>
      </w:r>
      <w:r>
        <w:rPr>
          <w:sz w:val="28"/>
        </w:rPr>
        <w:t>ˮ1272,96”;</w:t>
      </w:r>
    </w:p>
    <w:p>
      <w:pPr>
        <w:pStyle w:val="ListParagraph"/>
        <w:numPr>
          <w:ilvl w:val="0"/>
          <w:numId w:val="3"/>
        </w:numPr>
        <w:tabs>
          <w:tab w:pos="1596" w:val="left" w:leader="none"/>
          <w:tab w:pos="1597" w:val="left" w:leader="none"/>
        </w:tabs>
        <w:spacing w:line="322" w:lineRule="exact" w:before="0" w:after="0"/>
        <w:ind w:left="1596" w:right="0" w:hanging="350"/>
        <w:jc w:val="left"/>
        <w:rPr>
          <w:sz w:val="28"/>
        </w:rPr>
      </w:pPr>
      <w:r>
        <w:rPr>
          <w:sz w:val="28"/>
        </w:rPr>
        <w:t>ˮ satul Todirești, raionul Anenii Noi” cu cifra aferentă</w:t>
      </w:r>
      <w:r>
        <w:rPr>
          <w:spacing w:val="-10"/>
          <w:sz w:val="28"/>
        </w:rPr>
        <w:t> </w:t>
      </w:r>
      <w:r>
        <w:rPr>
          <w:sz w:val="28"/>
        </w:rPr>
        <w:t>ˮ812”;</w:t>
      </w:r>
    </w:p>
    <w:p>
      <w:pPr>
        <w:pStyle w:val="ListParagraph"/>
        <w:numPr>
          <w:ilvl w:val="1"/>
          <w:numId w:val="2"/>
        </w:numPr>
        <w:tabs>
          <w:tab w:pos="1527" w:val="left" w:leader="none"/>
        </w:tabs>
        <w:spacing w:line="240" w:lineRule="auto" w:before="0" w:after="0"/>
        <w:ind w:left="819" w:right="104" w:firstLine="427"/>
        <w:jc w:val="both"/>
        <w:rPr>
          <w:sz w:val="28"/>
        </w:rPr>
      </w:pPr>
      <w:r>
        <w:rPr>
          <w:sz w:val="28"/>
        </w:rPr>
        <w:t>Cifra ˮ2839,67” aferentă rândului ˮ Stațiunile didactice experimentale ale Universității Agrare de Stat din Moldova, total” se va schimba respectiv cu cifra ˮ754,71”</w:t>
      </w:r>
    </w:p>
    <w:p>
      <w:pPr>
        <w:pStyle w:val="ListParagraph"/>
        <w:numPr>
          <w:ilvl w:val="1"/>
          <w:numId w:val="2"/>
        </w:numPr>
        <w:tabs>
          <w:tab w:pos="1597" w:val="left" w:leader="none"/>
        </w:tabs>
        <w:spacing w:line="240" w:lineRule="auto" w:before="0" w:after="0"/>
        <w:ind w:left="819" w:right="106" w:firstLine="427"/>
        <w:jc w:val="left"/>
        <w:rPr>
          <w:sz w:val="28"/>
        </w:rPr>
      </w:pPr>
      <w:r>
        <w:rPr>
          <w:sz w:val="28"/>
        </w:rPr>
        <w:t>Cifra ˮ21860,55” aferentă rândului ˮ Total” se va schimba respectiv cu cifra ˮ19775,59”</w:t>
      </w:r>
    </w:p>
    <w:p>
      <w:pPr>
        <w:pStyle w:val="BodyText"/>
        <w:ind w:left="818" w:right="104" w:firstLine="708"/>
        <w:jc w:val="both"/>
      </w:pPr>
      <w:r>
        <w:rPr>
          <w:b/>
        </w:rPr>
        <w:t>La articolul II. </w:t>
      </w:r>
      <w:r>
        <w:rPr/>
        <w:t>Al proiectului de lege este prevăzută data intrării în vigoare, respectiv din data publicării, precum și termenul de 2 luni în care  Guvernul de la  data publicării prezentei legi, va aduce actele sale normative în concordanță cu aceasta.</w:t>
      </w:r>
    </w:p>
    <w:p>
      <w:pPr>
        <w:pStyle w:val="BodyText"/>
        <w:ind w:left="818" w:right="105" w:firstLine="707"/>
        <w:jc w:val="both"/>
      </w:pPr>
      <w:r>
        <w:rPr>
          <w:b/>
        </w:rPr>
        <w:t>Efectele aprobării proiectului de lege</w:t>
      </w:r>
      <w:r>
        <w:rPr/>
        <w:t>. Impactul poate fi caracterizat prin respectarea drepturilor constituționale ale cetățenilor din satele Chetrosu și Todirești Anenii Noi, prin atribuirea cotelor de teren agricol persoanelor care trebuiau sa beneficieze în urma reformei agrare, dar care nu au beneficiat șinînd cont de faptul că terenurile agricole din localitatea vizată au rămas să fie gestionate și folosite de către Stația Experimentală care la moment este în procedură de insolvabilitate.</w:t>
      </w:r>
    </w:p>
    <w:p>
      <w:pPr>
        <w:pStyle w:val="BodyText"/>
        <w:spacing w:before="9"/>
        <w:rPr>
          <w:sz w:val="27"/>
        </w:rPr>
      </w:pPr>
    </w:p>
    <w:p>
      <w:pPr>
        <w:pStyle w:val="Heading1"/>
        <w:spacing w:line="322" w:lineRule="exact"/>
      </w:pPr>
      <w:r>
        <w:rPr/>
        <w:t>Deputat în Parlamentul</w:t>
      </w:r>
    </w:p>
    <w:p>
      <w:pPr>
        <w:tabs>
          <w:tab w:pos="6534" w:val="left" w:leader="none"/>
        </w:tabs>
        <w:spacing w:line="322" w:lineRule="exact" w:before="0"/>
        <w:ind w:left="818" w:right="0" w:firstLine="0"/>
        <w:jc w:val="left"/>
        <w:rPr>
          <w:b/>
          <w:sz w:val="28"/>
        </w:rPr>
      </w:pPr>
      <w:r>
        <w:rPr>
          <w:b/>
          <w:sz w:val="28"/>
        </w:rPr>
        <w:t>Republicii</w:t>
      </w:r>
      <w:r>
        <w:rPr>
          <w:b/>
          <w:spacing w:val="-3"/>
          <w:sz w:val="28"/>
        </w:rPr>
        <w:t> </w:t>
      </w:r>
      <w:r>
        <w:rPr>
          <w:b/>
          <w:sz w:val="28"/>
        </w:rPr>
        <w:t>Moldova</w:t>
        <w:tab/>
        <w:t>Alexandru</w:t>
      </w:r>
      <w:r>
        <w:rPr>
          <w:b/>
          <w:spacing w:val="-1"/>
          <w:sz w:val="28"/>
        </w:rPr>
        <w:t> </w:t>
      </w:r>
      <w:r>
        <w:rPr>
          <w:b/>
          <w:sz w:val="28"/>
        </w:rPr>
        <w:t>Slusari</w:t>
      </w:r>
    </w:p>
    <w:p>
      <w:pPr>
        <w:spacing w:after="0" w:line="322" w:lineRule="exact"/>
        <w:jc w:val="left"/>
        <w:rPr>
          <w:sz w:val="28"/>
        </w:rPr>
        <w:sectPr>
          <w:footerReference w:type="default" r:id="rId10"/>
          <w:pgSz w:w="11910" w:h="16840"/>
          <w:pgMar w:footer="879" w:header="0" w:top="1040" w:bottom="1060" w:left="600" w:right="740"/>
          <w:pgNumType w:start="1"/>
        </w:sectPr>
      </w:pPr>
    </w:p>
    <w:p>
      <w:pPr>
        <w:pStyle w:val="BodyText"/>
        <w:spacing w:before="4"/>
        <w:rPr>
          <w:sz w:val="17"/>
        </w:rPr>
      </w:pPr>
    </w:p>
    <w:sectPr>
      <w:pgSz w:w="11910" w:h="16840"/>
      <w:pgMar w:header="0" w:footer="879" w:top="1580" w:bottom="1060" w:left="60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eorgia">
    <w:altName w:val="Georgia"/>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545.799988pt;margin-top:782.964478pt;width:9pt;height:13.05pt;mso-position-horizontal-relative:page;mso-position-vertical-relative:page;z-index:-4768" type="#_x0000_t202" filled="false" stroked="false">
          <v:textbox inset="0,0,0,0">
            <w:txbxContent>
              <w:p>
                <w:pPr>
                  <w:spacing w:before="10"/>
                  <w:ind w:left="40" w:right="0" w:firstLine="0"/>
                  <w:jc w:val="left"/>
                  <w:rPr>
                    <w:sz w:val="20"/>
                  </w:rPr>
                </w:pPr>
                <w:r>
                  <w:rPr/>
                  <w:fldChar w:fldCharType="begin"/>
                </w:r>
                <w:r>
                  <w:rPr>
                    <w:w w:val="99"/>
                    <w:sz w:val="20"/>
                  </w:rPr>
                  <w:instrText> PAGE </w:instrText>
                </w:r>
                <w:r>
                  <w:rPr/>
                  <w:fldChar w:fldCharType="separate"/>
                </w:r>
                <w:r>
                  <w:rPr/>
                  <w:t>1</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0"/>
      <w:numFmt w:val="bullet"/>
      <w:lvlText w:val="-"/>
      <w:lvlJc w:val="left"/>
      <w:pPr>
        <w:ind w:left="1596" w:hanging="351"/>
      </w:pPr>
      <w:rPr>
        <w:rFonts w:hint="default" w:ascii="Times New Roman" w:hAnsi="Times New Roman" w:eastAsia="Times New Roman" w:cs="Times New Roman"/>
        <w:w w:val="100"/>
        <w:sz w:val="28"/>
        <w:szCs w:val="28"/>
      </w:rPr>
    </w:lvl>
    <w:lvl w:ilvl="1">
      <w:start w:val="0"/>
      <w:numFmt w:val="bullet"/>
      <w:lvlText w:val="•"/>
      <w:lvlJc w:val="left"/>
      <w:pPr>
        <w:ind w:left="2496" w:hanging="351"/>
      </w:pPr>
      <w:rPr>
        <w:rFonts w:hint="default"/>
      </w:rPr>
    </w:lvl>
    <w:lvl w:ilvl="2">
      <w:start w:val="0"/>
      <w:numFmt w:val="bullet"/>
      <w:lvlText w:val="•"/>
      <w:lvlJc w:val="left"/>
      <w:pPr>
        <w:ind w:left="3393" w:hanging="351"/>
      </w:pPr>
      <w:rPr>
        <w:rFonts w:hint="default"/>
      </w:rPr>
    </w:lvl>
    <w:lvl w:ilvl="3">
      <w:start w:val="0"/>
      <w:numFmt w:val="bullet"/>
      <w:lvlText w:val="•"/>
      <w:lvlJc w:val="left"/>
      <w:pPr>
        <w:ind w:left="4289" w:hanging="351"/>
      </w:pPr>
      <w:rPr>
        <w:rFonts w:hint="default"/>
      </w:rPr>
    </w:lvl>
    <w:lvl w:ilvl="4">
      <w:start w:val="0"/>
      <w:numFmt w:val="bullet"/>
      <w:lvlText w:val="•"/>
      <w:lvlJc w:val="left"/>
      <w:pPr>
        <w:ind w:left="5186" w:hanging="351"/>
      </w:pPr>
      <w:rPr>
        <w:rFonts w:hint="default"/>
      </w:rPr>
    </w:lvl>
    <w:lvl w:ilvl="5">
      <w:start w:val="0"/>
      <w:numFmt w:val="bullet"/>
      <w:lvlText w:val="•"/>
      <w:lvlJc w:val="left"/>
      <w:pPr>
        <w:ind w:left="6083" w:hanging="351"/>
      </w:pPr>
      <w:rPr>
        <w:rFonts w:hint="default"/>
      </w:rPr>
    </w:lvl>
    <w:lvl w:ilvl="6">
      <w:start w:val="0"/>
      <w:numFmt w:val="bullet"/>
      <w:lvlText w:val="•"/>
      <w:lvlJc w:val="left"/>
      <w:pPr>
        <w:ind w:left="6979" w:hanging="351"/>
      </w:pPr>
      <w:rPr>
        <w:rFonts w:hint="default"/>
      </w:rPr>
    </w:lvl>
    <w:lvl w:ilvl="7">
      <w:start w:val="0"/>
      <w:numFmt w:val="bullet"/>
      <w:lvlText w:val="•"/>
      <w:lvlJc w:val="left"/>
      <w:pPr>
        <w:ind w:left="7876" w:hanging="351"/>
      </w:pPr>
      <w:rPr>
        <w:rFonts w:hint="default"/>
      </w:rPr>
    </w:lvl>
    <w:lvl w:ilvl="8">
      <w:start w:val="0"/>
      <w:numFmt w:val="bullet"/>
      <w:lvlText w:val="•"/>
      <w:lvlJc w:val="left"/>
      <w:pPr>
        <w:ind w:left="8773" w:hanging="351"/>
      </w:pPr>
      <w:rPr>
        <w:rFonts w:hint="default"/>
      </w:rPr>
    </w:lvl>
  </w:abstractNum>
  <w:abstractNum w:abstractNumId="1">
    <w:multiLevelType w:val="hybridMultilevel"/>
    <w:lvl w:ilvl="0">
      <w:start w:val="2"/>
      <w:numFmt w:val="decimal"/>
      <w:lvlText w:val="(%1)"/>
      <w:lvlJc w:val="left"/>
      <w:pPr>
        <w:ind w:left="532" w:hanging="449"/>
        <w:jc w:val="left"/>
      </w:pPr>
      <w:rPr>
        <w:rFonts w:hint="default" w:ascii="Times New Roman" w:hAnsi="Times New Roman" w:eastAsia="Times New Roman" w:cs="Times New Roman"/>
        <w:w w:val="100"/>
        <w:sz w:val="28"/>
        <w:szCs w:val="28"/>
      </w:rPr>
    </w:lvl>
    <w:lvl w:ilvl="1">
      <w:start w:val="1"/>
      <w:numFmt w:val="decimal"/>
      <w:lvlText w:val="%2."/>
      <w:lvlJc w:val="left"/>
      <w:pPr>
        <w:ind w:left="818" w:hanging="281"/>
        <w:jc w:val="left"/>
      </w:pPr>
      <w:rPr>
        <w:rFonts w:hint="default" w:ascii="Times New Roman" w:hAnsi="Times New Roman" w:eastAsia="Times New Roman" w:cs="Times New Roman"/>
        <w:spacing w:val="0"/>
        <w:w w:val="100"/>
        <w:sz w:val="28"/>
        <w:szCs w:val="28"/>
      </w:rPr>
    </w:lvl>
    <w:lvl w:ilvl="2">
      <w:start w:val="0"/>
      <w:numFmt w:val="bullet"/>
      <w:lvlText w:val="•"/>
      <w:lvlJc w:val="left"/>
      <w:pPr>
        <w:ind w:left="1902" w:hanging="281"/>
      </w:pPr>
      <w:rPr>
        <w:rFonts w:hint="default"/>
      </w:rPr>
    </w:lvl>
    <w:lvl w:ilvl="3">
      <w:start w:val="0"/>
      <w:numFmt w:val="bullet"/>
      <w:lvlText w:val="•"/>
      <w:lvlJc w:val="left"/>
      <w:pPr>
        <w:ind w:left="2985" w:hanging="281"/>
      </w:pPr>
      <w:rPr>
        <w:rFonts w:hint="default"/>
      </w:rPr>
    </w:lvl>
    <w:lvl w:ilvl="4">
      <w:start w:val="0"/>
      <w:numFmt w:val="bullet"/>
      <w:lvlText w:val="•"/>
      <w:lvlJc w:val="left"/>
      <w:pPr>
        <w:ind w:left="4068" w:hanging="281"/>
      </w:pPr>
      <w:rPr>
        <w:rFonts w:hint="default"/>
      </w:rPr>
    </w:lvl>
    <w:lvl w:ilvl="5">
      <w:start w:val="0"/>
      <w:numFmt w:val="bullet"/>
      <w:lvlText w:val="•"/>
      <w:lvlJc w:val="left"/>
      <w:pPr>
        <w:ind w:left="5151" w:hanging="281"/>
      </w:pPr>
      <w:rPr>
        <w:rFonts w:hint="default"/>
      </w:rPr>
    </w:lvl>
    <w:lvl w:ilvl="6">
      <w:start w:val="0"/>
      <w:numFmt w:val="bullet"/>
      <w:lvlText w:val="•"/>
      <w:lvlJc w:val="left"/>
      <w:pPr>
        <w:ind w:left="6234" w:hanging="281"/>
      </w:pPr>
      <w:rPr>
        <w:rFonts w:hint="default"/>
      </w:rPr>
    </w:lvl>
    <w:lvl w:ilvl="7">
      <w:start w:val="0"/>
      <w:numFmt w:val="bullet"/>
      <w:lvlText w:val="•"/>
      <w:lvlJc w:val="left"/>
      <w:pPr>
        <w:ind w:left="7317" w:hanging="281"/>
      </w:pPr>
      <w:rPr>
        <w:rFonts w:hint="default"/>
      </w:rPr>
    </w:lvl>
    <w:lvl w:ilvl="8">
      <w:start w:val="0"/>
      <w:numFmt w:val="bullet"/>
      <w:lvlText w:val="•"/>
      <w:lvlJc w:val="left"/>
      <w:pPr>
        <w:ind w:left="8400" w:hanging="281"/>
      </w:pPr>
      <w:rPr>
        <w:rFonts w:hint="default"/>
      </w:rPr>
    </w:lvl>
  </w:abstractNum>
  <w:abstractNum w:abstractNumId="0">
    <w:multiLevelType w:val="hybridMultilevel"/>
    <w:lvl w:ilvl="0">
      <w:start w:val="1"/>
      <w:numFmt w:val="decimal"/>
      <w:lvlText w:val="%1."/>
      <w:lvlJc w:val="left"/>
      <w:pPr>
        <w:ind w:left="1613" w:hanging="360"/>
        <w:jc w:val="left"/>
      </w:pPr>
      <w:rPr>
        <w:rFonts w:hint="default" w:ascii="Times New Roman" w:hAnsi="Times New Roman" w:eastAsia="Times New Roman" w:cs="Times New Roman"/>
        <w:spacing w:val="0"/>
        <w:w w:val="100"/>
        <w:sz w:val="28"/>
        <w:szCs w:val="28"/>
      </w:rPr>
    </w:lvl>
    <w:lvl w:ilvl="1">
      <w:start w:val="0"/>
      <w:numFmt w:val="bullet"/>
      <w:lvlText w:val="-"/>
      <w:lvlJc w:val="left"/>
      <w:pPr>
        <w:ind w:left="2762" w:hanging="224"/>
      </w:pPr>
      <w:rPr>
        <w:rFonts w:hint="default" w:ascii="Times New Roman" w:hAnsi="Times New Roman" w:eastAsia="Times New Roman" w:cs="Times New Roman"/>
        <w:w w:val="100"/>
        <w:sz w:val="28"/>
        <w:szCs w:val="28"/>
      </w:rPr>
    </w:lvl>
    <w:lvl w:ilvl="2">
      <w:start w:val="0"/>
      <w:numFmt w:val="bullet"/>
      <w:lvlText w:val="•"/>
      <w:lvlJc w:val="left"/>
      <w:pPr>
        <w:ind w:left="3627" w:hanging="224"/>
      </w:pPr>
      <w:rPr>
        <w:rFonts w:hint="default"/>
      </w:rPr>
    </w:lvl>
    <w:lvl w:ilvl="3">
      <w:start w:val="0"/>
      <w:numFmt w:val="bullet"/>
      <w:lvlText w:val="•"/>
      <w:lvlJc w:val="left"/>
      <w:pPr>
        <w:ind w:left="4494" w:hanging="224"/>
      </w:pPr>
      <w:rPr>
        <w:rFonts w:hint="default"/>
      </w:rPr>
    </w:lvl>
    <w:lvl w:ilvl="4">
      <w:start w:val="0"/>
      <w:numFmt w:val="bullet"/>
      <w:lvlText w:val="•"/>
      <w:lvlJc w:val="left"/>
      <w:pPr>
        <w:ind w:left="5362" w:hanging="224"/>
      </w:pPr>
      <w:rPr>
        <w:rFonts w:hint="default"/>
      </w:rPr>
    </w:lvl>
    <w:lvl w:ilvl="5">
      <w:start w:val="0"/>
      <w:numFmt w:val="bullet"/>
      <w:lvlText w:val="•"/>
      <w:lvlJc w:val="left"/>
      <w:pPr>
        <w:ind w:left="6229" w:hanging="224"/>
      </w:pPr>
      <w:rPr>
        <w:rFonts w:hint="default"/>
      </w:rPr>
    </w:lvl>
    <w:lvl w:ilvl="6">
      <w:start w:val="0"/>
      <w:numFmt w:val="bullet"/>
      <w:lvlText w:val="•"/>
      <w:lvlJc w:val="left"/>
      <w:pPr>
        <w:ind w:left="7096" w:hanging="224"/>
      </w:pPr>
      <w:rPr>
        <w:rFonts w:hint="default"/>
      </w:rPr>
    </w:lvl>
    <w:lvl w:ilvl="7">
      <w:start w:val="0"/>
      <w:numFmt w:val="bullet"/>
      <w:lvlText w:val="•"/>
      <w:lvlJc w:val="left"/>
      <w:pPr>
        <w:ind w:left="7964" w:hanging="224"/>
      </w:pPr>
      <w:rPr>
        <w:rFonts w:hint="default"/>
      </w:rPr>
    </w:lvl>
    <w:lvl w:ilvl="8">
      <w:start w:val="0"/>
      <w:numFmt w:val="bullet"/>
      <w:lvlText w:val="•"/>
      <w:lvlJc w:val="left"/>
      <w:pPr>
        <w:ind w:left="8831" w:hanging="224"/>
      </w:pPr>
      <w:rPr>
        <w:rFonts w:hint="default"/>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28"/>
      <w:szCs w:val="28"/>
    </w:rPr>
  </w:style>
  <w:style w:styleId="Heading1" w:type="paragraph">
    <w:name w:val="Heading 1"/>
    <w:basedOn w:val="Normal"/>
    <w:uiPriority w:val="1"/>
    <w:qFormat/>
    <w:pPr>
      <w:ind w:left="818"/>
      <w:outlineLvl w:val="1"/>
    </w:pPr>
    <w:rPr>
      <w:rFonts w:ascii="Times New Roman" w:hAnsi="Times New Roman" w:eastAsia="Times New Roman" w:cs="Times New Roman"/>
      <w:b/>
      <w:bCs/>
      <w:sz w:val="28"/>
      <w:szCs w:val="28"/>
    </w:rPr>
  </w:style>
  <w:style w:styleId="ListParagraph" w:type="paragraph">
    <w:name w:val="List Paragraph"/>
    <w:basedOn w:val="Normal"/>
    <w:uiPriority w:val="1"/>
    <w:qFormat/>
    <w:pPr>
      <w:ind w:left="819" w:right="108" w:firstLine="427"/>
    </w:pPr>
    <w:rPr>
      <w:rFonts w:ascii="Times New Roman" w:hAnsi="Times New Roman" w:eastAsia="Times New Roman" w:cs="Times New Roman"/>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8" Type="http://schemas.openxmlformats.org/officeDocument/2006/relationships/hyperlink" Target="mailto:info@parlament.md" TargetMode="External"/><Relationship Id="rId13" Type="http://schemas.openxmlformats.org/officeDocument/2006/relationships/customXml" Target="../customXml/item2.xml"/><Relationship Id="rId3"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customXml" Target="../customXml/item1.xml"/><Relationship Id="rId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numbering" Target="numbering.xml"/><Relationship Id="rId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rlament.md/"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6FD9C9-FA5B-4E25-9633-F4FB1CF19017}"/>
</file>

<file path=customXml/itemProps2.xml><?xml version="1.0" encoding="utf-8"?>
<ds:datastoreItem xmlns:ds="http://schemas.openxmlformats.org/officeDocument/2006/customXml" ds:itemID="{C949D187-DD70-43EC-815B-C4D18224FD0B}"/>
</file>

<file path=customXml/itemProps3.xml><?xml version="1.0" encoding="utf-8"?>
<ds:datastoreItem xmlns:ds="http://schemas.openxmlformats.org/officeDocument/2006/customXml" ds:itemID="{FD2C856E-D074-4C6A-8166-2E0CAB290C18}"/>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388.2020.ro</dc:title>
  <dcterms:created xsi:type="dcterms:W3CDTF">2020-09-17T12:09:34Z</dcterms:created>
  <dcterms:modified xsi:type="dcterms:W3CDTF">2020-09-17T12:09:34Z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19 для Word</vt:lpwstr>
  </property>
  <property fmtid="{D5CDD505-2E9C-101B-9397-08002B2CF9AE}" pid="3" name="ContentTypeId">
    <vt:lpwstr>0x010100DB3619079C70BA4C8A987488329513F90014B383F883BBE84C9A1272D50E465059</vt:lpwstr>
  </property>
  <property fmtid="{D5CDD505-2E9C-101B-9397-08002B2CF9AE}" pid="5" name="Tipul documentului">
    <vt:lpwstr>Aviz</vt:lpwstr>
  </property>
</Properties>
</file>